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595959"/>
          <w:sz w:val="26"/>
          <w:szCs w:val="26"/>
        </w:rPr>
        <w:t xml:space="preserve">2026년도 제1차 변호사시험 모의시험</w:t>
      </w:r>
    </w:p>
    <w:p>
      <w:pPr>
        <w:spacing w:after="40"/>
        <w:jc w:val="center"/>
      </w:pPr>
      <w:r>
        <w:rPr>
          <w:b/>
          <w:bCs/>
          <w:color w:val="1F3864"/>
          <w:sz w:val="40"/>
          <w:szCs w:val="40"/>
        </w:rPr>
        <w:t xml:space="preserve">형사법 사례형 답안 첨삭 리포트</w:t>
      </w:r>
    </w:p>
    <w:p>
      <w:pPr>
        <w:spacing w:after="200"/>
        <w:jc w:val="center"/>
      </w:pPr>
      <w:r>
        <w:rPr>
          <w:color w:val="595959"/>
          <w:sz w:val="20"/>
          <w:szCs w:val="20"/>
        </w:rPr>
        <w:t xml:space="preserve">응시자 박세직 · 2026-06 실전 모의 · 채점기준표 기준 첨삭</w:t>
      </w:r>
    </w:p>
    <w:p>
      <w:pPr>
        <w:pBdr>
          <w:bottom w:val="single" w:color="2E75B6" w:sz="6" w:space="1"/>
        </w:pBdr>
        <w:spacing w:after="160"/>
      </w:pPr>
      <w:r>
        <w:t xml:space="preserve"/>
      </w:r>
    </w:p>
    <w:p>
      <w:pPr>
        <w:spacing w:after="100"/>
      </w:pPr>
      <w:r>
        <w:rPr>
          <w:b/>
          <w:bCs/>
          <w:color w:val="1F3864"/>
          <w:sz w:val="22"/>
          <w:szCs w:val="22"/>
        </w:rPr>
        <w:t xml:space="preserve">● 근거 자료: </w:t>
      </w:r>
      <w:r>
        <w:rPr>
          <w:sz w:val="22"/>
          <w:szCs w:val="22"/>
        </w:rPr>
        <w:t xml:space="preserve">형사법 채점기준표(2026.1차) 사례형. 법리·판례 인용은 전부 채점기준표에서만 발췌했으며, 임의로 생성한 법적 내용은 없습니다.</w:t>
      </w:r>
    </w:p>
    <w:p>
      <w:pPr>
        <w:spacing w:after="100"/>
      </w:pPr>
      <w:r>
        <w:rPr>
          <w:b/>
          <w:bCs/>
          <w:color w:val="2E75B6"/>
          <w:sz w:val="22"/>
          <w:szCs w:val="22"/>
        </w:rPr>
        <w:t xml:space="preserve">● 채점 관점: </w:t>
      </w:r>
      <w:r>
        <w:rPr>
          <w:sz w:val="22"/>
          <w:szCs w:val="22"/>
        </w:rPr>
        <w:t xml:space="preserve">형사법 사례형은 표준점수제(상대평가)입니다. 채점위원 원점수를 그 위원 전체 답안의 평균·표준편차로 조정 후 배점에 환산하므로, '만점 대비'가 아니라 '배점 항목별로 점수를 줄 수밖에 없는 키워드·판례·포섭을 확보했는가'가 핵심입니다. 원점수는 짜게 나오는 경향이 있어 합격권도 원점수 50~60%대가 흔합니다.</w:t>
      </w:r>
    </w:p>
    <w:p>
      <w:pPr>
        <w:spacing w:after="100"/>
      </w:pPr>
      <w:r>
        <w:rPr>
          <w:b/>
          <w:bCs/>
          <w:color w:val="C00000"/>
          <w:sz w:val="22"/>
          <w:szCs w:val="22"/>
        </w:rPr>
        <w:t xml:space="preserve">● 유의: </w:t>
      </w:r>
      <w:r>
        <w:rPr>
          <w:sz w:val="22"/>
          <w:szCs w:val="22"/>
        </w:rPr>
        <w:t xml:space="preserve">문제 지문(사례) 원본 없이 채점기준표와 답안만 대조했습니다. 따라서 '사실관계 오해'로 보이는 지적(특히 문제2 뇌물)은 채기표와의 불일치에 근거한 것이며, 지문 원문 대조가 필요한 부분은 별도 표시했습니다.</w:t>
      </w:r>
    </w:p>
    <w:p>
      <w:pPr>
        <w:spacing w:after="120"/>
      </w:pPr>
      <w:r>
        <w:t xml:space="preserve"/>
      </w:r>
    </w:p>
    <w:p>
      <w:pPr>
        <w:pStyle w:val="Heading1"/>
      </w:pPr>
      <w:r>
        <w:t xml:space="preserve">◆ 예상 원점수 요약 (추정)</w:t>
      </w:r>
    </w:p>
    <w:p>
      <w:pPr>
        <w:spacing w:after="100" w:before="0"/>
      </w:pPr>
      <w:r>
        <w:rPr>
          <w:i/>
          <w:iCs/>
          <w:color w:val="595959"/>
          <w:sz w:val="20"/>
          <w:szCs w:val="20"/>
        </w:rPr>
        <w:t xml:space="preserve">아래는 채점위원이 실제로 매기는 원점수 기준의 추정치입니다. 원점수는 짜게 나오는 경향이 있어 범위로 표기했으며, 표준점수 조정 전 값입니다. 각 항목 근거는 본문 항목별 첨삭을 참고하세요.</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1550"/>
        <w:gridCol w:w="1550"/>
        <w:gridCol w:w="3000"/>
      </w:tblGrid>
      <w:tr>
        <w:trPr>
          <w:tblHeader/>
        </w:trPr>
        <w:tc>
          <w:tcPr>
            <w:tcW w:type="dxa" w:w="3260"/>
            <w:shd w:fill="1F3864" w:val="clear"/>
            <w:tcMar>
              <w:top w:type="dxa" w:w="60"/>
              <w:left w:type="dxa" w:w="90"/>
              <w:bottom w:type="dxa" w:w="60"/>
              <w:right w:type="dxa" w:w="90"/>
            </w:tcMar>
            <w:vAlign w:val="center"/>
          </w:tcPr>
          <w:p>
            <w:pPr>
              <w:spacing w:after="0"/>
            </w:pPr>
            <w:r>
              <w:rPr>
                <w:b/>
                <w:bCs/>
                <w:color w:val="FFFFFF"/>
                <w:sz w:val="19"/>
                <w:szCs w:val="19"/>
              </w:rPr>
              <w:t xml:space="preserve">구분</w:t>
            </w:r>
          </w:p>
        </w:tc>
        <w:tc>
          <w:tcPr>
            <w:tcW w:type="dxa" w:w="1550"/>
            <w:shd w:fill="1F3864" w:val="clear"/>
            <w:tcMar>
              <w:top w:type="dxa" w:w="60"/>
              <w:left w:type="dxa" w:w="90"/>
              <w:bottom w:type="dxa" w:w="60"/>
              <w:right w:type="dxa" w:w="90"/>
            </w:tcMar>
            <w:vAlign w:val="center"/>
          </w:tcPr>
          <w:p>
            <w:pPr>
              <w:spacing w:after="0"/>
            </w:pPr>
            <w:r>
              <w:rPr>
                <w:b/>
                <w:bCs/>
                <w:color w:val="FFFFFF"/>
                <w:sz w:val="19"/>
                <w:szCs w:val="19"/>
              </w:rPr>
              <w:t xml:space="preserve">배점</w:t>
            </w:r>
          </w:p>
        </w:tc>
        <w:tc>
          <w:tcPr>
            <w:tcW w:type="dxa" w:w="1550"/>
            <w:shd w:fill="1F3864" w:val="clear"/>
            <w:tcMar>
              <w:top w:type="dxa" w:w="60"/>
              <w:left w:type="dxa" w:w="90"/>
              <w:bottom w:type="dxa" w:w="60"/>
              <w:right w:type="dxa" w:w="90"/>
            </w:tcMar>
            <w:vAlign w:val="center"/>
          </w:tcPr>
          <w:p>
            <w:pPr>
              <w:spacing w:after="0"/>
            </w:pPr>
            <w:r>
              <w:rPr>
                <w:b/>
                <w:bCs/>
                <w:color w:val="FFFFFF"/>
                <w:sz w:val="19"/>
                <w:szCs w:val="19"/>
              </w:rPr>
              <w:t xml:space="preserve">예상 원점수</w:t>
            </w:r>
          </w:p>
        </w:tc>
        <w:tc>
          <w:tcPr>
            <w:tcW w:type="dxa" w:w="3000"/>
            <w:shd w:fill="1F3864" w:val="clear"/>
            <w:tcMar>
              <w:top w:type="dxa" w:w="60"/>
              <w:left w:type="dxa" w:w="90"/>
              <w:bottom w:type="dxa" w:w="60"/>
              <w:right w:type="dxa" w:w="90"/>
            </w:tcMar>
            <w:vAlign w:val="center"/>
          </w:tcPr>
          <w:p>
            <w:pPr>
              <w:spacing w:after="0"/>
            </w:pPr>
            <w:r>
              <w:rPr>
                <w:b/>
                <w:bCs/>
                <w:color w:val="FFFFFF"/>
                <w:sz w:val="19"/>
                <w:szCs w:val="19"/>
              </w:rPr>
              <w:t xml:space="preserve">핵심 실점 사유</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제1세트 문제1 (과실치사)</w:t>
            </w:r>
          </w:p>
        </w:tc>
        <w:tc>
          <w:tcPr>
            <w:tcW w:type="dxa" w:w="1550"/>
            <w:tcMar>
              <w:top w:type="dxa" w:w="60"/>
              <w:left w:type="dxa" w:w="90"/>
              <w:bottom w:type="dxa" w:w="60"/>
              <w:right w:type="dxa" w:w="90"/>
            </w:tcMar>
            <w:vAlign w:val="center"/>
          </w:tcPr>
          <w:p>
            <w:pPr>
              <w:spacing w:after="0"/>
            </w:pPr>
            <w:r>
              <w:rPr>
                <w:b w:val="false"/>
                <w:bCs w:val="false"/>
                <w:sz w:val="19"/>
                <w:szCs w:val="19"/>
              </w:rPr>
              <w:t xml:space="preserve">45점</w:t>
            </w:r>
          </w:p>
        </w:tc>
        <w:tc>
          <w:tcPr>
            <w:tcW w:type="dxa" w:w="1550"/>
            <w:tcMar>
              <w:top w:type="dxa" w:w="60"/>
              <w:left w:type="dxa" w:w="90"/>
              <w:bottom w:type="dxa" w:w="60"/>
              <w:right w:type="dxa" w:w="90"/>
            </w:tcMar>
            <w:vAlign w:val="center"/>
          </w:tcPr>
          <w:p>
            <w:pPr>
              <w:spacing w:after="0"/>
            </w:pPr>
            <w:r>
              <w:rPr>
                <w:b/>
                <w:bCs/>
                <w:sz w:val="19"/>
                <w:szCs w:val="19"/>
              </w:rPr>
              <w:t xml:space="preserve">약 21~25점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인과관계 대체행위 법리·2024도1856 누락</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제1세트 문제2 (대향범 등)</w:t>
            </w:r>
          </w:p>
        </w:tc>
        <w:tc>
          <w:tcPr>
            <w:tcW w:type="dxa" w:w="1550"/>
            <w:tcMar>
              <w:top w:type="dxa" w:w="60"/>
              <w:left w:type="dxa" w:w="90"/>
              <w:bottom w:type="dxa" w:w="60"/>
              <w:right w:type="dxa" w:w="90"/>
            </w:tcMar>
            <w:vAlign w:val="center"/>
          </w:tcPr>
          <w:p>
            <w:pPr>
              <w:spacing w:after="0"/>
            </w:pPr>
            <w:r>
              <w:rPr>
                <w:b w:val="false"/>
                <w:bCs w:val="false"/>
                <w:sz w:val="19"/>
                <w:szCs w:val="19"/>
              </w:rPr>
              <w:t xml:space="preserve">55점</w:t>
            </w:r>
          </w:p>
        </w:tc>
        <w:tc>
          <w:tcPr>
            <w:tcW w:type="dxa" w:w="1550"/>
            <w:tcMar>
              <w:top w:type="dxa" w:w="60"/>
              <w:left w:type="dxa" w:w="90"/>
              <w:bottom w:type="dxa" w:w="60"/>
              <w:right w:type="dxa" w:w="90"/>
            </w:tcMar>
            <w:vAlign w:val="center"/>
          </w:tcPr>
          <w:p>
            <w:pPr>
              <w:spacing w:after="0"/>
            </w:pPr>
            <w:r>
              <w:rPr>
                <w:b/>
                <w:bCs/>
                <w:sz w:val="19"/>
                <w:szCs w:val="19"/>
              </w:rPr>
              <w:t xml:space="preserve">약 28~34점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丁 무죄결론·상고심 파기범위</w:t>
            </w:r>
          </w:p>
        </w:tc>
      </w:tr>
      <w:tr>
        <w:tc>
          <w:tcPr>
            <w:tcW w:type="dxa" w:w="3260"/>
            <w:shd w:fill="DDE7F2" w:val="clear"/>
            <w:tcMar>
              <w:top w:type="dxa" w:w="60"/>
              <w:left w:type="dxa" w:w="90"/>
              <w:bottom w:type="dxa" w:w="60"/>
              <w:right w:type="dxa" w:w="90"/>
            </w:tcMar>
            <w:vAlign w:val="center"/>
          </w:tcPr>
          <w:p>
            <w:pPr>
              <w:spacing w:after="0"/>
            </w:pPr>
            <w:r>
              <w:rPr>
                <w:b w:val="false"/>
                <w:bCs w:val="false"/>
                <w:sz w:val="19"/>
                <w:szCs w:val="19"/>
              </w:rPr>
              <w:t xml:space="preserve">【제1세트 소계】</w:t>
            </w:r>
          </w:p>
        </w:tc>
        <w:tc>
          <w:tcPr>
            <w:tcW w:type="dxa" w:w="1550"/>
            <w:shd w:fill="DDE7F2" w:val="clear"/>
            <w:tcMar>
              <w:top w:type="dxa" w:w="60"/>
              <w:left w:type="dxa" w:w="90"/>
              <w:bottom w:type="dxa" w:w="60"/>
              <w:right w:type="dxa" w:w="90"/>
            </w:tcMar>
            <w:vAlign w:val="center"/>
          </w:tcPr>
          <w:p>
            <w:pPr>
              <w:spacing w:after="0"/>
            </w:pPr>
            <w:r>
              <w:rPr>
                <w:b w:val="false"/>
                <w:bCs w:val="false"/>
                <w:sz w:val="19"/>
                <w:szCs w:val="19"/>
              </w:rPr>
              <w:t xml:space="preserve">100점</w:t>
            </w:r>
          </w:p>
        </w:tc>
        <w:tc>
          <w:tcPr>
            <w:tcW w:type="dxa" w:w="1550"/>
            <w:shd w:fill="DDE7F2" w:val="clear"/>
            <w:tcMar>
              <w:top w:type="dxa" w:w="60"/>
              <w:left w:type="dxa" w:w="90"/>
              <w:bottom w:type="dxa" w:w="60"/>
              <w:right w:type="dxa" w:w="90"/>
            </w:tcMar>
            <w:vAlign w:val="center"/>
          </w:tcPr>
          <w:p>
            <w:pPr>
              <w:spacing w:after="0"/>
            </w:pPr>
            <w:r>
              <w:rPr>
                <w:b/>
                <w:bCs/>
                <w:sz w:val="19"/>
                <w:szCs w:val="19"/>
              </w:rPr>
              <w:t xml:space="preserve">약 49~59점</w:t>
            </w:r>
          </w:p>
        </w:tc>
        <w:tc>
          <w:tcPr>
            <w:tcW w:type="dxa" w:w="3000"/>
            <w:shd w:fill="DDE7F2" w:val="clear"/>
            <w:tcMar>
              <w:top w:type="dxa" w:w="60"/>
              <w:left w:type="dxa" w:w="90"/>
              <w:bottom w:type="dxa" w:w="60"/>
              <w:right w:type="dxa" w:w="90"/>
            </w:tcMar>
            <w:vAlign w:val="center"/>
          </w:tcPr>
          <w:p>
            <w:pPr>
              <w:spacing w:after="0"/>
            </w:pPr>
            <w:r>
              <w:rPr>
                <w:b w:val="false"/>
                <w:bCs w:val="false"/>
                <w:sz w:val="19"/>
                <w:szCs w:val="19"/>
              </w:rPr>
              <w:t xml:space="preserve"/>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제2세트 문제1 (뇌물)</w:t>
            </w:r>
          </w:p>
        </w:tc>
        <w:tc>
          <w:tcPr>
            <w:tcW w:type="dxa" w:w="1550"/>
            <w:tcMar>
              <w:top w:type="dxa" w:w="60"/>
              <w:left w:type="dxa" w:w="90"/>
              <w:bottom w:type="dxa" w:w="60"/>
              <w:right w:type="dxa" w:w="90"/>
            </w:tcMar>
            <w:vAlign w:val="center"/>
          </w:tcPr>
          <w:p>
            <w:pPr>
              <w:spacing w:after="0"/>
            </w:pPr>
            <w:r>
              <w:rPr>
                <w:b w:val="false"/>
                <w:bCs w:val="false"/>
                <w:sz w:val="19"/>
                <w:szCs w:val="19"/>
              </w:rPr>
              <w:t xml:space="preserve">20점</w:t>
            </w:r>
          </w:p>
        </w:tc>
        <w:tc>
          <w:tcPr>
            <w:tcW w:type="dxa" w:w="1550"/>
            <w:tcMar>
              <w:top w:type="dxa" w:w="60"/>
              <w:left w:type="dxa" w:w="90"/>
              <w:bottom w:type="dxa" w:w="60"/>
              <w:right w:type="dxa" w:w="90"/>
            </w:tcMar>
            <w:vAlign w:val="center"/>
          </w:tcPr>
          <w:p>
            <w:pPr>
              <w:spacing w:after="0"/>
            </w:pPr>
            <w:r>
              <w:rPr>
                <w:b/>
                <w:bCs/>
                <w:sz w:val="19"/>
                <w:szCs w:val="19"/>
              </w:rPr>
              <w:t xml:space="preserve">약 3~5점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甲·乙 죄명 구성 오류</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제2세트 문제2 (카드론)</w:t>
            </w:r>
          </w:p>
        </w:tc>
        <w:tc>
          <w:tcPr>
            <w:tcW w:type="dxa" w:w="1550"/>
            <w:tcMar>
              <w:top w:type="dxa" w:w="60"/>
              <w:left w:type="dxa" w:w="90"/>
              <w:bottom w:type="dxa" w:w="60"/>
              <w:right w:type="dxa" w:w="90"/>
            </w:tcMar>
            <w:vAlign w:val="center"/>
          </w:tcPr>
          <w:p>
            <w:pPr>
              <w:spacing w:after="0"/>
            </w:pPr>
            <w:r>
              <w:rPr>
                <w:b w:val="false"/>
                <w:bCs w:val="false"/>
                <w:sz w:val="19"/>
                <w:szCs w:val="19"/>
              </w:rPr>
              <w:t xml:space="preserve">20점</w:t>
            </w:r>
          </w:p>
        </w:tc>
        <w:tc>
          <w:tcPr>
            <w:tcW w:type="dxa" w:w="1550"/>
            <w:tcMar>
              <w:top w:type="dxa" w:w="60"/>
              <w:left w:type="dxa" w:w="90"/>
              <w:bottom w:type="dxa" w:w="60"/>
              <w:right w:type="dxa" w:w="90"/>
            </w:tcMar>
            <w:vAlign w:val="center"/>
          </w:tcPr>
          <w:p>
            <w:pPr>
              <w:spacing w:after="0"/>
            </w:pPr>
            <w:r>
              <w:rPr>
                <w:b/>
                <w:bCs/>
                <w:sz w:val="19"/>
                <w:szCs w:val="19"/>
              </w:rPr>
              <w:t xml:space="preserve">약 6~8점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컴사기죄(8점) 통째 누락</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제2세트 문제3 (특수절도)</w:t>
            </w:r>
          </w:p>
        </w:tc>
        <w:tc>
          <w:tcPr>
            <w:tcW w:type="dxa" w:w="1550"/>
            <w:tcMar>
              <w:top w:type="dxa" w:w="60"/>
              <w:left w:type="dxa" w:w="90"/>
              <w:bottom w:type="dxa" w:w="60"/>
              <w:right w:type="dxa" w:w="90"/>
            </w:tcMar>
            <w:vAlign w:val="center"/>
          </w:tcPr>
          <w:p>
            <w:pPr>
              <w:spacing w:after="0"/>
            </w:pPr>
            <w:r>
              <w:rPr>
                <w:b w:val="false"/>
                <w:bCs w:val="false"/>
                <w:sz w:val="19"/>
                <w:szCs w:val="19"/>
              </w:rPr>
              <w:t xml:space="preserve">20점</w:t>
            </w:r>
          </w:p>
        </w:tc>
        <w:tc>
          <w:tcPr>
            <w:tcW w:type="dxa" w:w="1550"/>
            <w:tcMar>
              <w:top w:type="dxa" w:w="60"/>
              <w:left w:type="dxa" w:w="90"/>
              <w:bottom w:type="dxa" w:w="60"/>
              <w:right w:type="dxa" w:w="90"/>
            </w:tcMar>
            <w:vAlign w:val="center"/>
          </w:tcPr>
          <w:p>
            <w:pPr>
              <w:spacing w:after="0"/>
            </w:pPr>
            <w:r>
              <w:rPr>
                <w:b/>
                <w:bCs/>
                <w:sz w:val="19"/>
                <w:szCs w:val="19"/>
              </w:rPr>
              <w:t xml:space="preserve">약 11~13점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사기미수 누락·손괴 죄수 오류</w:t>
            </w:r>
          </w:p>
        </w:tc>
      </w:tr>
      <w:tr>
        <w:tc>
          <w:tcPr>
            <w:tcW w:type="dxa" w:w="3260"/>
            <w:tcMar>
              <w:top w:type="dxa" w:w="60"/>
              <w:left w:type="dxa" w:w="90"/>
              <w:bottom w:type="dxa" w:w="60"/>
              <w:right w:type="dxa" w:w="90"/>
            </w:tcMar>
            <w:vAlign w:val="center"/>
          </w:tcPr>
          <w:p>
            <w:pPr>
              <w:spacing w:after="0"/>
            </w:pPr>
            <w:r>
              <w:rPr>
                <w:b w:val="false"/>
                <w:bCs w:val="false"/>
                <w:sz w:val="19"/>
                <w:szCs w:val="19"/>
              </w:rPr>
              <w:t xml:space="preserve">제2세트 문제4~7</w:t>
            </w:r>
          </w:p>
        </w:tc>
        <w:tc>
          <w:tcPr>
            <w:tcW w:type="dxa" w:w="1550"/>
            <w:tcMar>
              <w:top w:type="dxa" w:w="60"/>
              <w:left w:type="dxa" w:w="90"/>
              <w:bottom w:type="dxa" w:w="60"/>
              <w:right w:type="dxa" w:w="90"/>
            </w:tcMar>
            <w:vAlign w:val="center"/>
          </w:tcPr>
          <w:p>
            <w:pPr>
              <w:spacing w:after="0"/>
            </w:pPr>
            <w:r>
              <w:rPr>
                <w:b w:val="false"/>
                <w:bCs w:val="false"/>
                <w:sz w:val="19"/>
                <w:szCs w:val="19"/>
              </w:rPr>
              <w:t xml:space="preserve">40점</w:t>
            </w:r>
          </w:p>
        </w:tc>
        <w:tc>
          <w:tcPr>
            <w:tcW w:type="dxa" w:w="1550"/>
            <w:tcMar>
              <w:top w:type="dxa" w:w="60"/>
              <w:left w:type="dxa" w:w="90"/>
              <w:bottom w:type="dxa" w:w="60"/>
              <w:right w:type="dxa" w:w="90"/>
            </w:tcMar>
            <w:vAlign w:val="center"/>
          </w:tcPr>
          <w:p>
            <w:pPr>
              <w:spacing w:after="0"/>
            </w:pPr>
            <w:r>
              <w:rPr>
                <w:b/>
                <w:bCs/>
                <w:sz w:val="19"/>
                <w:szCs w:val="19"/>
              </w:rPr>
              <w:t xml:space="preserve">약 16~21점</w:t>
            </w:r>
          </w:p>
        </w:tc>
        <w:tc>
          <w:tcPr>
            <w:tcW w:type="dxa" w:w="3000"/>
            <w:tcMar>
              <w:top w:type="dxa" w:w="60"/>
              <w:left w:type="dxa" w:w="90"/>
              <w:bottom w:type="dxa" w:w="60"/>
              <w:right w:type="dxa" w:w="90"/>
            </w:tcMar>
            <w:vAlign w:val="center"/>
          </w:tcPr>
          <w:p>
            <w:pPr>
              <w:spacing w:after="0"/>
            </w:pPr>
            <w:r>
              <w:rPr>
                <w:b w:val="false"/>
                <w:bCs w:val="false"/>
                <w:sz w:val="19"/>
                <w:szCs w:val="19"/>
              </w:rPr>
              <w:t xml:space="preserve">참여권 예외·공소장변경 이원판단·배상명령 미완성</w:t>
            </w:r>
          </w:p>
        </w:tc>
      </w:tr>
      <w:tr>
        <w:tc>
          <w:tcPr>
            <w:tcW w:type="dxa" w:w="3260"/>
            <w:shd w:fill="DDE7F2" w:val="clear"/>
            <w:tcMar>
              <w:top w:type="dxa" w:w="60"/>
              <w:left w:type="dxa" w:w="90"/>
              <w:bottom w:type="dxa" w:w="60"/>
              <w:right w:type="dxa" w:w="90"/>
            </w:tcMar>
            <w:vAlign w:val="center"/>
          </w:tcPr>
          <w:p>
            <w:pPr>
              <w:spacing w:after="0"/>
            </w:pPr>
            <w:r>
              <w:rPr>
                <w:b w:val="false"/>
                <w:bCs w:val="false"/>
                <w:sz w:val="19"/>
                <w:szCs w:val="19"/>
              </w:rPr>
              <w:t xml:space="preserve">【제2세트 소계】</w:t>
            </w:r>
          </w:p>
        </w:tc>
        <w:tc>
          <w:tcPr>
            <w:tcW w:type="dxa" w:w="1550"/>
            <w:shd w:fill="DDE7F2" w:val="clear"/>
            <w:tcMar>
              <w:top w:type="dxa" w:w="60"/>
              <w:left w:type="dxa" w:w="90"/>
              <w:bottom w:type="dxa" w:w="60"/>
              <w:right w:type="dxa" w:w="90"/>
            </w:tcMar>
            <w:vAlign w:val="center"/>
          </w:tcPr>
          <w:p>
            <w:pPr>
              <w:spacing w:after="0"/>
            </w:pPr>
            <w:r>
              <w:rPr>
                <w:b w:val="false"/>
                <w:bCs w:val="false"/>
                <w:sz w:val="19"/>
                <w:szCs w:val="19"/>
              </w:rPr>
              <w:t xml:space="preserve">100점</w:t>
            </w:r>
          </w:p>
        </w:tc>
        <w:tc>
          <w:tcPr>
            <w:tcW w:type="dxa" w:w="1550"/>
            <w:shd w:fill="DDE7F2" w:val="clear"/>
            <w:tcMar>
              <w:top w:type="dxa" w:w="60"/>
              <w:left w:type="dxa" w:w="90"/>
              <w:bottom w:type="dxa" w:w="60"/>
              <w:right w:type="dxa" w:w="90"/>
            </w:tcMar>
            <w:vAlign w:val="center"/>
          </w:tcPr>
          <w:p>
            <w:pPr>
              <w:spacing w:after="0"/>
            </w:pPr>
            <w:r>
              <w:rPr>
                <w:b/>
                <w:bCs/>
                <w:sz w:val="19"/>
                <w:szCs w:val="19"/>
              </w:rPr>
              <w:t xml:space="preserve">약 36~47점</w:t>
            </w:r>
          </w:p>
        </w:tc>
        <w:tc>
          <w:tcPr>
            <w:tcW w:type="dxa" w:w="3000"/>
            <w:shd w:fill="DDE7F2" w:val="clear"/>
            <w:tcMar>
              <w:top w:type="dxa" w:w="60"/>
              <w:left w:type="dxa" w:w="90"/>
              <w:bottom w:type="dxa" w:w="60"/>
              <w:right w:type="dxa" w:w="90"/>
            </w:tcMar>
            <w:vAlign w:val="center"/>
          </w:tcPr>
          <w:p>
            <w:pPr>
              <w:spacing w:after="0"/>
            </w:pPr>
            <w:r>
              <w:rPr>
                <w:b w:val="false"/>
                <w:bCs w:val="false"/>
                <w:sz w:val="19"/>
                <w:szCs w:val="19"/>
              </w:rPr>
              <w:t xml:space="preserve"/>
            </w:r>
          </w:p>
        </w:tc>
      </w:tr>
    </w:tbl>
    <w:p>
      <w:pPr>
        <w:spacing w:after="100" w:before="120"/>
      </w:pPr>
      <w:r>
        <w:rPr>
          <w:b/>
          <w:bCs/>
          <w:color w:val="1F3864"/>
          <w:sz w:val="21"/>
          <w:szCs w:val="21"/>
        </w:rPr>
        <w:t xml:space="preserve">종합: 사례형 200점 만점 기준 원점수 약 85~106점(≈43~53%) 추정. 표준점수제상 절대치보다 상대 위치가 중요하나, 제2세트 뇌물·컴사기 두 항목만 정상 궤도에 올려도 원점수 15~20점 회복이 가능한 구조입니다.</w:t>
      </w:r>
    </w:p>
    <w:p>
      <w:r>
        <w:br w:type="page"/>
      </w:r>
    </w:p>
    <w:p>
      <w:pPr>
        <w:pStyle w:val="Heading1"/>
      </w:pPr>
      <w:r>
        <w:t xml:space="preserve">Ⅰ. 사례형 제1세트 (100점)</w:t>
      </w:r>
    </w:p>
    <w:p>
      <w:pPr>
        <w:pStyle w:val="Heading2"/>
      </w:pPr>
      <w:r>
        <w:t xml:space="preserve">문제 1. 甲·乙 부작위 과실치사 사건 (45점)</w:t>
      </w:r>
    </w:p>
    <w:p>
      <w:pPr>
        <w:pStyle w:val="Heading3"/>
        <w:spacing w:after="80" w:before="220"/>
      </w:pPr>
      <w:r>
        <w:t xml:space="preserve">1)-① 작위·부작위 구별 (10점)</w:t>
      </w:r>
      <w:r>
        <w:rPr>
          <w:b/>
          <w:bCs/>
          <w:color w:val="B8860B"/>
          <w:sz w:val="20"/>
          <w:szCs w:val="20"/>
        </w:rPr>
        <w:t xml:space="preserve">   [평가: 중]</w:t>
      </w:r>
    </w:p>
    <w:p>
      <w:pPr>
        <w:spacing w:after="100"/>
      </w:pPr>
      <w:r>
        <w:rPr>
          <w:b/>
          <w:bCs/>
          <w:color w:val="000000"/>
          <w:sz w:val="22"/>
          <w:szCs w:val="22"/>
        </w:rPr>
        <w:t xml:space="preserve">[예상 원점수(추정)] </w:t>
      </w:r>
      <w:r>
        <w:rPr>
          <w:sz w:val="22"/>
          <w:szCs w:val="22"/>
        </w:rPr>
        <w:t xml:space="preserve">약 5~6 / 10점 — 판례 법리는 득점, 포섭 이탈로 절반 수준</w:t>
      </w:r>
    </w:p>
    <w:p>
      <w:pPr>
        <w:spacing w:after="100"/>
      </w:pPr>
      <w:r>
        <w:rPr>
          <w:b/>
          <w:bCs/>
          <w:color w:val="1F3864"/>
          <w:sz w:val="22"/>
          <w:szCs w:val="22"/>
        </w:rPr>
        <w:t xml:space="preserve">[채기표 요구 · 모범 논거] </w:t>
      </w:r>
      <w:r>
        <w:rPr>
          <w:sz w:val="22"/>
          <w:szCs w:val="22"/>
        </w:rPr>
        <w:t xml:space="preserve">쟁점은 「의식 잃은 A를 모텔로 옮긴 작위」와 「모텔에서 구호조치 없이 방치한 부작위」가 양립하는 상황에서 甲·乙의 행위를 무엇으로 볼 것인가. 학설은 의심스러울 때 작위를 먼저 판단하는 견해/규범적 척도설/자연과학적 척도설 대립. 판례(2002도995): '물리적·화학적 작용으로 적극적으로 타인의 법익상황을 악화시켜 침해에 이르렀다면 작위범이 원칙이고, 악화된 법익상황을 되돌리지 않은 점에 주목해 부작위범으로 볼 것은 아니다.' 결론은 ⓐ자연과학적 척도설→부작위(모텔로 옮긴 것은 선행행위) 또는 ⓑ구조가능성 차단에 비난 중점→작위, 어느 쪽도 가능.</w:t>
      </w:r>
    </w:p>
    <w:p>
      <w:pPr>
        <w:spacing w:after="100"/>
      </w:pPr>
      <w:r>
        <w:rPr>
          <w:b/>
          <w:bCs/>
          <w:color w:val="595959"/>
          <w:sz w:val="22"/>
          <w:szCs w:val="22"/>
        </w:rPr>
        <w:t xml:space="preserve">[내 답안 요지] </w:t>
      </w:r>
      <w:r>
        <w:rPr>
          <w:sz w:val="22"/>
          <w:szCs w:val="22"/>
        </w:rPr>
        <w:t xml:space="preserve">결론 부작위. 판단기준으로 '작위우선 부작위보충설·부작위설' 대립을 들고, 판례(2002도995) 법리를 정확히 인용. 다만 판례를 '작위우선부작위보충설의 입장'으로 평가. 포섭은 'A의 신체손상은 B와의 싸움으로 발생했고 甲·乙이 적극적 물리적 방식으로 손상을 발생시킨 경우가 아니므로 부작위'.</w:t>
      </w:r>
    </w:p>
    <w:p>
      <w:pPr>
        <w:spacing w:after="100"/>
      </w:pPr>
      <w:r>
        <w:rPr>
          <w:b/>
          <w:bCs/>
          <w:color w:val="2E7D32"/>
          <w:sz w:val="22"/>
          <w:szCs w:val="22"/>
        </w:rPr>
        <w:t xml:space="preserve">[득점 요소 ○] </w:t>
      </w:r>
      <w:r>
        <w:rPr>
          <w:sz w:val="22"/>
          <w:szCs w:val="22"/>
        </w:rPr>
        <w:t xml:space="preserve">판례(2002도995) 법리를 거의 정확히 재현한 점, 부작위 결론 도출은 자연과학적 척도설 결론과 합치.</w:t>
      </w:r>
    </w:p>
    <w:p>
      <w:pPr>
        <w:spacing w:after="100"/>
      </w:pPr>
      <w:r>
        <w:rPr>
          <w:b/>
          <w:bCs/>
          <w:color w:val="C00000"/>
          <w:sz w:val="22"/>
          <w:szCs w:val="22"/>
        </w:rPr>
        <w:t xml:space="preserve">[감점·누락·오류 ×] </w:t>
      </w:r>
      <w:r>
        <w:rPr>
          <w:sz w:val="22"/>
          <w:szCs w:val="22"/>
        </w:rPr>
        <w:t xml:space="preserve">① 학설 명칭이 채기표(의심스러울 때 작위선판단설/규범적/자연과학적)와 어긋나고 임의 명명('작위우선부작위보충설')에 그침. ② 판례를 특정 학설로 단정('작위우선…')했으나 채기표는 판례를 '자연과학적 or 규범적 척도로 평가되기도 한다'고 열어둠. ③ 결정적으로 포섭 대상이 빗나감 — 채기표의 핵심은 '모텔로 옮긴 작위 vs 방치 부작위'인데, 내 답안은 'A의 신체손상 발생 여부'를 논해 쟁점의 축을 놓침. '모텔 이동=선행행위/구조가능성 차단' 프레임 부재.</w:t>
      </w:r>
    </w:p>
    <w:p>
      <w:pPr>
        <w:spacing w:after="100"/>
      </w:pPr>
      <w:r>
        <w:rPr>
          <w:b/>
          <w:bCs/>
          <w:color w:val="B8860B"/>
          <w:sz w:val="22"/>
          <w:szCs w:val="22"/>
        </w:rPr>
        <w:t xml:space="preserve">[보완 포인트] </w:t>
      </w:r>
      <w:r>
        <w:rPr>
          <w:sz w:val="22"/>
          <w:szCs w:val="22"/>
        </w:rPr>
        <w:t xml:space="preserve">결론(부작위)은 유지하되, '모텔로 옮긴 행위가 작위이나 이는 사망결과에 대한 선행행위이고, 사망은 방치라는 부작위로 실현되었다'는 축으로 포섭할 것.</w:t>
      </w:r>
    </w:p>
    <w:p>
      <w:pPr>
        <w:pStyle w:val="Heading3"/>
        <w:spacing w:after="80" w:before="220"/>
      </w:pPr>
      <w:r>
        <w:t xml:space="preserve">1)-② 작위의무 인정 여부 (5점)</w:t>
      </w:r>
      <w:r>
        <w:rPr>
          <w:b/>
          <w:bCs/>
          <w:color w:val="B8860B"/>
          <w:sz w:val="20"/>
          <w:szCs w:val="20"/>
        </w:rPr>
        <w:t xml:space="preserve">   [평가: 중]</w:t>
      </w:r>
    </w:p>
    <w:p>
      <w:pPr>
        <w:spacing w:after="100"/>
      </w:pPr>
      <w:r>
        <w:rPr>
          <w:b/>
          <w:bCs/>
          <w:color w:val="000000"/>
          <w:sz w:val="22"/>
          <w:szCs w:val="22"/>
        </w:rPr>
        <w:t xml:space="preserve">[예상 원점수(추정)] </w:t>
      </w:r>
      <w:r>
        <w:rPr>
          <w:sz w:val="22"/>
          <w:szCs w:val="22"/>
        </w:rPr>
        <w:t xml:space="preserve">약 2.5~3 / 5점 — 결론·법리 OK, 선행행위 논거 누락</w:t>
      </w:r>
    </w:p>
    <w:p>
      <w:pPr>
        <w:spacing w:after="100"/>
      </w:pPr>
      <w:r>
        <w:rPr>
          <w:b/>
          <w:bCs/>
          <w:color w:val="1F3864"/>
          <w:sz w:val="22"/>
          <w:szCs w:val="22"/>
        </w:rPr>
        <w:t xml:space="preserve">[채기표 요구 · 모범 논거] </w:t>
      </w:r>
      <w:r>
        <w:rPr>
          <w:sz w:val="22"/>
          <w:szCs w:val="22"/>
        </w:rPr>
        <w:t xml:space="preserve">작위의무 발생근거 학설(형식설/실질설/종합설)과 판례(95도2551: 법령·법률행위·선행행위는 물론 신의칙·사회상규·조리상 작위의무도 법적 의무). 사안 핵심: 단순히 '같은 회사 동료'라는 사정만으로는 법률·계약상 보호의무 인정 곤란. 甲·乙이 쓰러진 A를 모텔로 옮겨 타인에 의한 구조가능성을 차단한 선행행위로 작위의무를 인정할지가 관건(선행행위 위법성 요부 학설 대립, 부산지법 2023노274: 선행행위가 위법하지 않아도 법익침해 위험을 상당히 증대시켰다면 조리상 구호의무 인정). 보호기능 인수 논함 시 가점.</w:t>
      </w:r>
    </w:p>
    <w:p>
      <w:pPr>
        <w:spacing w:after="100"/>
      </w:pPr>
      <w:r>
        <w:rPr>
          <w:b/>
          <w:bCs/>
          <w:color w:val="595959"/>
          <w:sz w:val="22"/>
          <w:szCs w:val="22"/>
        </w:rPr>
        <w:t xml:space="preserve">[내 답안 요지] </w:t>
      </w:r>
      <w:r>
        <w:rPr>
          <w:sz w:val="22"/>
          <w:szCs w:val="22"/>
        </w:rPr>
        <w:t xml:space="preserve">결론 작위의무 있음. 보증인지위·의무, 법령·법률행위·선행행위·조리 근거를 판례 법리로 서술. 포섭은 'A와 함께 술 마신 상황에서 도움이 필요함을 알았으므로 조리상 구호의무'.</w:t>
      </w:r>
    </w:p>
    <w:p>
      <w:pPr>
        <w:spacing w:after="100"/>
      </w:pPr>
      <w:r>
        <w:rPr>
          <w:b/>
          <w:bCs/>
          <w:color w:val="2E7D32"/>
          <w:sz w:val="22"/>
          <w:szCs w:val="22"/>
        </w:rPr>
        <w:t xml:space="preserve">[득점 요소 ○] </w:t>
      </w:r>
      <w:r>
        <w:rPr>
          <w:sz w:val="22"/>
          <w:szCs w:val="22"/>
        </w:rPr>
        <w:t xml:space="preserve">판례(95도2551) 법리(조리 포함) 서술, 결론 방향(작위의무 인정) 일치.</w:t>
      </w:r>
    </w:p>
    <w:p>
      <w:pPr>
        <w:spacing w:after="100"/>
      </w:pPr>
      <w:r>
        <w:rPr>
          <w:b/>
          <w:bCs/>
          <w:color w:val="C00000"/>
          <w:sz w:val="22"/>
          <w:szCs w:val="22"/>
        </w:rPr>
        <w:t xml:space="preserve">[감점·누락·오류 ×] </w:t>
      </w:r>
      <w:r>
        <w:rPr>
          <w:sz w:val="22"/>
          <w:szCs w:val="22"/>
        </w:rPr>
        <w:t xml:space="preserve">핵심 포섭 논거인 '선행행위(모텔 이동)로 타인의 구조가능성을 차단' 부분을 누락. 채기표가 '동석·동료 관계만으로는 부족'하다고 명시한 바로 그 약한 논거(함께 술 마셔서 조리상 의무)에 의존. 선행행위론이 이 문제의 배점 포인트인데 미언급.</w:t>
      </w:r>
    </w:p>
    <w:p>
      <w:pPr>
        <w:spacing w:after="100"/>
      </w:pPr>
      <w:r>
        <w:rPr>
          <w:b/>
          <w:bCs/>
          <w:color w:val="B8860B"/>
          <w:sz w:val="22"/>
          <w:szCs w:val="22"/>
        </w:rPr>
        <w:t xml:space="preserve">[보완 포인트] </w:t>
      </w:r>
      <w:r>
        <w:rPr>
          <w:sz w:val="22"/>
          <w:szCs w:val="22"/>
        </w:rPr>
        <w:t xml:space="preserve">'甲·乙이 A를 모텔로 옮겨 제3자의 구조 기회를 차단한 선행행위 → 조리상(또는 선행행위로 인한) 작위의무'로 연결하면 채기표 정면.</w:t>
      </w:r>
    </w:p>
    <w:p>
      <w:pPr>
        <w:pStyle w:val="Heading3"/>
        <w:spacing w:after="80" w:before="220"/>
      </w:pPr>
      <w:r>
        <w:t xml:space="preserve">2)-① 판례 법리상 甲·乙의 과실 인정 여부 (5점)</w:t>
      </w:r>
      <w:r>
        <w:rPr>
          <w:b/>
          <w:bCs/>
          <w:color w:val="2E7D32"/>
          <w:sz w:val="20"/>
          <w:szCs w:val="20"/>
        </w:rPr>
        <w:t xml:space="preserve">   [평가: 상]</w:t>
      </w:r>
    </w:p>
    <w:p>
      <w:pPr>
        <w:spacing w:after="100"/>
      </w:pPr>
      <w:r>
        <w:rPr>
          <w:b/>
          <w:bCs/>
          <w:color w:val="000000"/>
          <w:sz w:val="22"/>
          <w:szCs w:val="22"/>
        </w:rPr>
        <w:t xml:space="preserve">[예상 원점수(추정)] </w:t>
      </w:r>
      <w:r>
        <w:rPr>
          <w:sz w:val="22"/>
          <w:szCs w:val="22"/>
        </w:rPr>
        <w:t xml:space="preserve">약 3.5~4 / 5점 — 구조 양호, '평균인 표준설' 명시만 보완</w:t>
      </w:r>
    </w:p>
    <w:p>
      <w:pPr>
        <w:spacing w:after="100"/>
      </w:pPr>
      <w:r>
        <w:rPr>
          <w:b/>
          <w:bCs/>
          <w:color w:val="1F3864"/>
          <w:sz w:val="22"/>
          <w:szCs w:val="22"/>
        </w:rPr>
        <w:t xml:space="preserve">[채기표 요구 · 모범 논거] </w:t>
      </w:r>
      <w:r>
        <w:rPr>
          <w:sz w:val="22"/>
          <w:szCs w:val="22"/>
        </w:rPr>
        <w:t xml:space="preserve">판례(90도2106): 과실 인정에 예견가능성(및 회피가능성) 필요, 주의의무위반은 '평균인 표준설'로 판단. 사안: A가 쓰러진 뒤 신체활동 양상 급변·구토·의식 미회복을 인식 → 평균인 관점에서 방치 시 생명 위험 예견가능, 119신고 등 회피의무 발생, 방치로 주의의무위반+예견가능성 인정 → 과실 긍정.</w:t>
      </w:r>
    </w:p>
    <w:p>
      <w:pPr>
        <w:spacing w:after="100"/>
      </w:pPr>
      <w:r>
        <w:rPr>
          <w:b/>
          <w:bCs/>
          <w:color w:val="595959"/>
          <w:sz w:val="22"/>
          <w:szCs w:val="22"/>
        </w:rPr>
        <w:t xml:space="preserve">[내 답안 요지] </w:t>
      </w:r>
      <w:r>
        <w:rPr>
          <w:sz w:val="22"/>
          <w:szCs w:val="22"/>
        </w:rPr>
        <w:t xml:space="preserve">결론 과실 있음. 형법 제14조, 판례 법리(주의의무 게을리+예견가능성) 서술. 포섭: 구호의무 있었고 의식 미회복을 알면서 구호를 게을리했고 방치 시 위험을 예견할 수 있었으므로 과실 인정.</w:t>
      </w:r>
    </w:p>
    <w:p>
      <w:pPr>
        <w:spacing w:after="100"/>
      </w:pPr>
      <w:r>
        <w:rPr>
          <w:b/>
          <w:bCs/>
          <w:color w:val="2E7D32"/>
          <w:sz w:val="22"/>
          <w:szCs w:val="22"/>
        </w:rPr>
        <w:t xml:space="preserve">[득점 요소 ○] </w:t>
      </w:r>
      <w:r>
        <w:rPr>
          <w:sz w:val="22"/>
          <w:szCs w:val="22"/>
        </w:rPr>
        <w:t xml:space="preserve">채기표와 결론·포섭 방향이 대체로 합치. 예견가능성·주의의무위반 구조를 갖춤.</w:t>
      </w:r>
    </w:p>
    <w:p>
      <w:pPr>
        <w:spacing w:after="100"/>
      </w:pPr>
      <w:r>
        <w:rPr>
          <w:b/>
          <w:bCs/>
          <w:color w:val="C00000"/>
          <w:sz w:val="22"/>
          <w:szCs w:val="22"/>
        </w:rPr>
        <w:t xml:space="preserve">[감점·누락·오류 ×] </w:t>
      </w:r>
      <w:r>
        <w:rPr>
          <w:sz w:val="22"/>
          <w:szCs w:val="22"/>
        </w:rPr>
        <w:t xml:space="preserve">'평균인 표준설'이라는 판단기준 명시가 없음(경미). 오타 다수('게을리 하였고ㅏ') — 실전 가독성 감점 위험.</w:t>
      </w:r>
    </w:p>
    <w:p>
      <w:pPr>
        <w:spacing w:after="100"/>
      </w:pPr>
      <w:r>
        <w:rPr>
          <w:b/>
          <w:bCs/>
          <w:color w:val="B8860B"/>
          <w:sz w:val="22"/>
          <w:szCs w:val="22"/>
        </w:rPr>
        <w:t xml:space="preserve">[보완 포인트] </w:t>
      </w:r>
      <w:r>
        <w:rPr>
          <w:sz w:val="22"/>
          <w:szCs w:val="22"/>
        </w:rPr>
        <w:t xml:space="preserve">'평균인의 관점에서' 한 어절만 넣으면 채기표 기준 충족.</w:t>
      </w:r>
    </w:p>
    <w:p>
      <w:pPr>
        <w:pStyle w:val="Heading3"/>
        <w:spacing w:after="80" w:before="220"/>
      </w:pPr>
      <w:r>
        <w:t xml:space="preserve">2)-② 주의의무위반과 사망 간 인과관계 (10점)</w:t>
      </w:r>
      <w:r>
        <w:rPr>
          <w:b/>
          <w:bCs/>
          <w:color w:val="C00000"/>
          <w:sz w:val="20"/>
          <w:szCs w:val="20"/>
        </w:rPr>
        <w:t xml:space="preserve">   [평가: 하]</w:t>
      </w:r>
    </w:p>
    <w:p>
      <w:pPr>
        <w:spacing w:after="100"/>
      </w:pPr>
      <w:r>
        <w:rPr>
          <w:b/>
          <w:bCs/>
          <w:color w:val="000000"/>
          <w:sz w:val="22"/>
          <w:szCs w:val="22"/>
        </w:rPr>
        <w:t xml:space="preserve">[예상 원점수(추정)] </w:t>
      </w:r>
      <w:r>
        <w:rPr>
          <w:sz w:val="22"/>
          <w:szCs w:val="22"/>
        </w:rPr>
        <w:t xml:space="preserve">약 3~4 / 10점 — 적법한 대체행위 법리 누락이 치명적</w:t>
      </w:r>
    </w:p>
    <w:p>
      <w:pPr>
        <w:spacing w:after="100"/>
      </w:pPr>
      <w:r>
        <w:rPr>
          <w:b/>
          <w:bCs/>
          <w:color w:val="1F3864"/>
          <w:sz w:val="22"/>
          <w:szCs w:val="22"/>
        </w:rPr>
        <w:t xml:space="preserve">[채기표 요구 · 모범 논거] </w:t>
      </w:r>
      <w:r>
        <w:rPr>
          <w:sz w:val="22"/>
          <w:szCs w:val="22"/>
        </w:rPr>
        <w:t xml:space="preserve">과실범 인과관계는 판례의 '적법한 대체행위 법리'(=회피가능성설/의무위반관련성)로 해결. 판례는 상당인과관계설을 취하되 적법한 대체행위 법리로 '직접적' 인과관계를 판단(90도2856). 사안: 甲·乙이 주의에 합치하는 행위(모텔 이동 전·후라도 119신고·병원이송 등)를 했더라면 A가 사망하지 않았을 것이 '합리적 의심 없이' 증명되어야 인과관계 긍정, 증명 못하면 부정(부산지법 2023노274: 상당인과관계=결과의 법적 귀속 타당성). 위험증대설 답안도 가능.</w:t>
      </w:r>
    </w:p>
    <w:p>
      <w:pPr>
        <w:spacing w:after="100"/>
      </w:pPr>
      <w:r>
        <w:rPr>
          <w:b/>
          <w:bCs/>
          <w:color w:val="595959"/>
          <w:sz w:val="22"/>
          <w:szCs w:val="22"/>
        </w:rPr>
        <w:t xml:space="preserve">[내 답안 요지] </w:t>
      </w:r>
      <w:r>
        <w:rPr>
          <w:sz w:val="22"/>
          <w:szCs w:val="22"/>
        </w:rPr>
        <w:t xml:space="preserve">결론 인과관계 인정. 학설로 조건설/합법칙적 조건설/상당인과관계설을 대립시키고 판례를 상당인과관계설로 정리한 뒤, '구호 없이 방치 시 사망을 사회통념상 예견할 수 있다'며 상당인과관계 긍정.</w:t>
      </w:r>
    </w:p>
    <w:p>
      <w:pPr>
        <w:spacing w:after="100"/>
      </w:pPr>
      <w:r>
        <w:rPr>
          <w:b/>
          <w:bCs/>
          <w:color w:val="2E7D32"/>
          <w:sz w:val="22"/>
          <w:szCs w:val="22"/>
        </w:rPr>
        <w:t xml:space="preserve">[득점 요소 ○] </w:t>
      </w:r>
      <w:r>
        <w:rPr>
          <w:sz w:val="22"/>
          <w:szCs w:val="22"/>
        </w:rPr>
        <w:t xml:space="preserve">상당인과관계설 판례 입장·결론 방향은 제시.</w:t>
      </w:r>
    </w:p>
    <w:p>
      <w:pPr>
        <w:spacing w:after="100"/>
      </w:pPr>
      <w:r>
        <w:rPr>
          <w:b/>
          <w:bCs/>
          <w:color w:val="C00000"/>
          <w:sz w:val="22"/>
          <w:szCs w:val="22"/>
        </w:rPr>
        <w:t xml:space="preserve">[감점·누락·오류 ×] </w:t>
      </w:r>
      <w:r>
        <w:rPr>
          <w:sz w:val="22"/>
          <w:szCs w:val="22"/>
        </w:rPr>
        <w:t xml:space="preserve">이 항목(10점)의 핵심인 '적법한 대체행위 법리(회피가능성·의무위반관련성)'를 전혀 다루지 않음. 과실범 인과관계 특유의 논증(회피조치를 했더라면 결과를 회피할 수 있었는지) 부재. 일반 고의범식 상당인과관계로만 처리해 배점 요소 상당 부분 상실.</w:t>
      </w:r>
    </w:p>
    <w:p>
      <w:pPr>
        <w:spacing w:after="100"/>
      </w:pPr>
      <w:r>
        <w:rPr>
          <w:b/>
          <w:bCs/>
          <w:color w:val="B8860B"/>
          <w:sz w:val="22"/>
          <w:szCs w:val="22"/>
        </w:rPr>
        <w:t xml:space="preserve">[보완 포인트] </w:t>
      </w:r>
      <w:r>
        <w:rPr>
          <w:sz w:val="22"/>
          <w:szCs w:val="22"/>
        </w:rPr>
        <w:t xml:space="preserve">'甲·乙이 회피조치를 했더라면 A가 생존했을 것이 합리적 의심 없이 증명되는가'라는 적법한 대체행위 틀을 반드시 세울 것(또는 위험증대설로 대체).</w:t>
      </w:r>
    </w:p>
    <w:p>
      <w:pPr>
        <w:pStyle w:val="Heading3"/>
        <w:spacing w:after="80" w:before="220"/>
      </w:pPr>
      <w:r>
        <w:t xml:space="preserve">3) 판례 입장에 따른 과실치사죄 공동정범 성립 여부 (15점)</w:t>
      </w:r>
      <w:r>
        <w:rPr>
          <w:b/>
          <w:bCs/>
          <w:color w:val="B8860B"/>
          <w:sz w:val="20"/>
          <w:szCs w:val="20"/>
        </w:rPr>
        <w:t xml:space="preserve">   [평가: 중]</w:t>
      </w:r>
    </w:p>
    <w:p>
      <w:pPr>
        <w:spacing w:after="100"/>
      </w:pPr>
      <w:r>
        <w:rPr>
          <w:b/>
          <w:bCs/>
          <w:color w:val="000000"/>
          <w:sz w:val="22"/>
          <w:szCs w:val="22"/>
        </w:rPr>
        <w:t xml:space="preserve">[예상 원점수(추정)] </w:t>
      </w:r>
      <w:r>
        <w:rPr>
          <w:sz w:val="22"/>
          <w:szCs w:val="22"/>
        </w:rPr>
        <w:t xml:space="preserve">약 6~8 / 15점 — 결론·요건론은 득점, 최신판례(2024도1856) 누락</w:t>
      </w:r>
    </w:p>
    <w:p>
      <w:pPr>
        <w:spacing w:after="100"/>
      </w:pPr>
      <w:r>
        <w:rPr>
          <w:b/>
          <w:bCs/>
          <w:color w:val="1F3864"/>
          <w:sz w:val="22"/>
          <w:szCs w:val="22"/>
        </w:rPr>
        <w:t xml:space="preserve">[채기표 요구 · 모범 논거] </w:t>
      </w:r>
      <w:r>
        <w:rPr>
          <w:sz w:val="22"/>
          <w:szCs w:val="22"/>
        </w:rPr>
        <w:t xml:space="preserve">종래 판례는 행위공동설에 서서 2인 이상이 의사연락하에 과실행위로 결과를 발생시키면 과실범 공동정범 인정(79도1249 등). 그러나 최근 대법원 2024도1856(가습기살균제)은 '의사연락 또는 주의의무위반에 대한 공동의 인식'이 없으면 「공동하여」 죄를 범했다고 볼 수 없다며 성립요건을 강화. 이 강화된 법리로 甲·乙의 과실치사 공동정범 성립 여부를 검토·결론.</w:t>
      </w:r>
    </w:p>
    <w:p>
      <w:pPr>
        <w:spacing w:after="100"/>
      </w:pPr>
      <w:r>
        <w:rPr>
          <w:b/>
          <w:bCs/>
          <w:color w:val="595959"/>
          <w:sz w:val="22"/>
          <w:szCs w:val="22"/>
        </w:rPr>
        <w:t xml:space="preserve">[내 답안 요지] </w:t>
      </w:r>
      <w:r>
        <w:rPr>
          <w:sz w:val="22"/>
          <w:szCs w:val="22"/>
        </w:rPr>
        <w:t xml:space="preserve">결론 공동정범 불성립. 과실범 공동정범 학설 대립·판례 긍정론(각자 과실 결합), 부작위에 의한 공동정범, 공동정범 요건(공동가공의사+기능적 행위지배)을 서술한 뒤, 甲·乙은 기능적 행위지배·공동가공의사가 없고 각자 작위의무를 위반했을 뿐이므로 공동정범이 아니라 과실치사죄의 각 정범이라 결론.</w:t>
      </w:r>
    </w:p>
    <w:p>
      <w:pPr>
        <w:spacing w:after="100"/>
      </w:pPr>
      <w:r>
        <w:rPr>
          <w:b/>
          <w:bCs/>
          <w:color w:val="2E7D32"/>
          <w:sz w:val="22"/>
          <w:szCs w:val="22"/>
        </w:rPr>
        <w:t xml:space="preserve">[득점 요소 ○] </w:t>
      </w:r>
      <w:r>
        <w:rPr>
          <w:sz w:val="22"/>
          <w:szCs w:val="22"/>
        </w:rPr>
        <w:t xml:space="preserve">결론(불성립)은 채기표가 강화된 요건 하에 열어둔 방향과 양립 가능. 공동정범 일반요건 서술은 안정적.</w:t>
      </w:r>
    </w:p>
    <w:p>
      <w:pPr>
        <w:spacing w:after="100"/>
      </w:pPr>
      <w:r>
        <w:rPr>
          <w:b/>
          <w:bCs/>
          <w:color w:val="C00000"/>
          <w:sz w:val="22"/>
          <w:szCs w:val="22"/>
        </w:rPr>
        <w:t xml:space="preserve">[감점·누락·오류 ×] </w:t>
      </w:r>
      <w:r>
        <w:rPr>
          <w:sz w:val="22"/>
          <w:szCs w:val="22"/>
        </w:rPr>
        <w:t xml:space="preserve">배점 15점의 결정적 포인트인 최신판례 2024도1856('주의의무위반에 대한 공동의 인식' 요건 강화)을 미언급. 채기표가 요구하는 것은 바로 이 최신 법리를 매개로 한 검토인데, 나는 전통적 공동정범 요건론(행위지배)만으로 결론을 냄. '부작위에 의한 공동정범'은 채기표 배점에 없는 곁가지.</w:t>
      </w:r>
    </w:p>
    <w:p>
      <w:pPr>
        <w:spacing w:after="100"/>
      </w:pPr>
      <w:r>
        <w:rPr>
          <w:b/>
          <w:bCs/>
          <w:color w:val="B8860B"/>
          <w:sz w:val="22"/>
          <w:szCs w:val="22"/>
        </w:rPr>
        <w:t xml:space="preserve">[보완 포인트] </w:t>
      </w:r>
      <w:r>
        <w:rPr>
          <w:sz w:val="22"/>
          <w:szCs w:val="22"/>
        </w:rPr>
        <w:t xml:space="preserve">'최근 판례(2024도1856)는 과실범 공동정범에 주의의무위반의 공동인식을 요구 → 사안에서 그 공동인식이 인정되지 않으므로 불성립'으로 최신판례를 축으로 세울 것.</w:t>
      </w:r>
    </w:p>
    <w:p>
      <w:pPr>
        <w:pStyle w:val="Heading2"/>
      </w:pPr>
      <w:r>
        <w:t xml:space="preserve">문제 2. 대향범·상고심·공소시효·증거능력 (55점)</w:t>
      </w:r>
    </w:p>
    <w:p>
      <w:pPr>
        <w:pStyle w:val="Heading3"/>
        <w:spacing w:after="80" w:before="220"/>
      </w:pPr>
      <w:r>
        <w:t xml:space="preserve">1) 丁의 죄책 (15점)</w:t>
      </w:r>
      <w:r>
        <w:rPr>
          <w:b/>
          <w:bCs/>
          <w:color w:val="C00000"/>
          <w:sz w:val="20"/>
          <w:szCs w:val="20"/>
        </w:rPr>
        <w:t xml:space="preserve">   [평가: 중하]</w:t>
      </w:r>
    </w:p>
    <w:p>
      <w:pPr>
        <w:spacing w:after="100"/>
      </w:pPr>
      <w:r>
        <w:rPr>
          <w:b/>
          <w:bCs/>
          <w:color w:val="000000"/>
          <w:sz w:val="22"/>
          <w:szCs w:val="22"/>
        </w:rPr>
        <w:t xml:space="preserve">[예상 원점수(추정)] </w:t>
      </w:r>
      <w:r>
        <w:rPr>
          <w:sz w:val="22"/>
          <w:szCs w:val="22"/>
        </w:rPr>
        <w:t xml:space="preserve">약 5~7 / 15점 — 방조 논거는 득점, 무죄결론·2020도7866 누락</w:t>
      </w:r>
    </w:p>
    <w:p>
      <w:pPr>
        <w:spacing w:after="100"/>
      </w:pPr>
      <w:r>
        <w:rPr>
          <w:b/>
          <w:bCs/>
          <w:color w:val="1F3864"/>
          <w:sz w:val="22"/>
          <w:szCs w:val="22"/>
        </w:rPr>
        <w:t xml:space="preserve">[채기표 요구 · 모범 논거] </w:t>
      </w:r>
      <w:r>
        <w:rPr>
          <w:sz w:val="22"/>
          <w:szCs w:val="22"/>
        </w:rPr>
        <w:t xml:space="preserve">대향범에 형법총칙 공범규정 적용 여부: 판례(2004도3994 등)는 대향범에 총칙 공범규정 적용 불가. 반대설은 불가벌적 대향자가 '최소한의 협력'을 넘어 정범을 적극 도와 독자적 불법을 구성하면 총칙 임의적 공범규정 적용 가능. 마약거래방지법위반(불법수익 은닉·가장)죄가 ⓐ대향범인 경우: 판례→丁의 방조범 부정, 반대설→적극가담한 丁에게 방조 긍정. ⓑ대향범이 아닌 경우: 총칙 적용→방조 긍정. 핵심 참조판례 2020도7866: '원래 단독으로 범할 수 있는 구성요건이 구체적 사례에서 대향범 형태로 실현된 경우'에는 임의적 공범규정 적용을 긍정(즉 丁의 방조 성립 방향).</w:t>
      </w:r>
    </w:p>
    <w:p>
      <w:pPr>
        <w:spacing w:after="100"/>
      </w:pPr>
      <w:r>
        <w:rPr>
          <w:b/>
          <w:bCs/>
          <w:color w:val="595959"/>
          <w:sz w:val="22"/>
          <w:szCs w:val="22"/>
        </w:rPr>
        <w:t xml:space="preserve">[내 답안 요지] </w:t>
      </w:r>
      <w:r>
        <w:rPr>
          <w:sz w:val="22"/>
          <w:szCs w:val="22"/>
        </w:rPr>
        <w:t xml:space="preserve">결론: 대향범으로 보지 않으면 방조범, 대향범으로 보면 무죄. 비대향범 구성 시 형법 제32조로 방조 인정. 대향범 구성 시 대향자 처벌규정 부재→긍정설/부정설→판례 부정설→죄형법정주의·in dubio pro reo→무죄.</w:t>
      </w:r>
    </w:p>
    <w:p>
      <w:pPr>
        <w:spacing w:after="100"/>
      </w:pPr>
      <w:r>
        <w:rPr>
          <w:b/>
          <w:bCs/>
          <w:color w:val="2E7D32"/>
          <w:sz w:val="22"/>
          <w:szCs w:val="22"/>
        </w:rPr>
        <w:t xml:space="preserve">[득점 요소 ○] </w:t>
      </w:r>
      <w:r>
        <w:rPr>
          <w:sz w:val="22"/>
          <w:szCs w:val="22"/>
        </w:rPr>
        <w:t xml:space="preserve">방조범 성립 논거(제32조, 丙의 은닉·가장을 용이하게 함) 제시, 대향범 처벌규정 부재 논점 인식.</w:t>
      </w:r>
    </w:p>
    <w:p>
      <w:pPr>
        <w:spacing w:after="100"/>
      </w:pPr>
      <w:r>
        <w:rPr>
          <w:b/>
          <w:bCs/>
          <w:color w:val="C00000"/>
          <w:sz w:val="22"/>
          <w:szCs w:val="22"/>
        </w:rPr>
        <w:t xml:space="preserve">[감점·누락·오류 ×] </w:t>
      </w:r>
      <w:r>
        <w:rPr>
          <w:sz w:val="22"/>
          <w:szCs w:val="22"/>
        </w:rPr>
        <w:t xml:space="preserve">① 채기표 핵심판례 2020도7866(단독범이 대향범 형태로 실현된 경우 공범규정 적용 긍정) 미언급. ② 丁의 지위를 '불가벌적 대향자(→무죄)'로 몰고 갔으나, 채기표는 丁을 정범을 적극 도운 '방조자'로 보아 이중고의(정범·방조의 고의) 하에 방조 성립 쪽에 무게. '대향범이면 무죄'라는 결론 논거가 채기표 방향과 어긋남.</w:t>
      </w:r>
    </w:p>
    <w:p>
      <w:pPr>
        <w:spacing w:after="100"/>
      </w:pPr>
      <w:r>
        <w:rPr>
          <w:b/>
          <w:bCs/>
          <w:color w:val="B8860B"/>
          <w:sz w:val="22"/>
          <w:szCs w:val="22"/>
        </w:rPr>
        <w:t xml:space="preserve">[보완 포인트] </w:t>
      </w:r>
      <w:r>
        <w:rPr>
          <w:sz w:val="22"/>
          <w:szCs w:val="22"/>
        </w:rPr>
        <w:t xml:space="preserve">대향자 처벌규정 부재론과 방조자 처벌론을 구별하고, 2020도7866을 인용해 '대향범 형태라도 적극가담한 丁에게 방조 성립 가능'을 주논거로 세울 것.</w:t>
      </w:r>
    </w:p>
    <w:p>
      <w:pPr>
        <w:pStyle w:val="Heading3"/>
        <w:spacing w:after="80" w:before="220"/>
      </w:pPr>
      <w:r>
        <w:t xml:space="preserve">2) 상고심의 파기 범위 (10점)</w:t>
      </w:r>
      <w:r>
        <w:rPr>
          <w:b/>
          <w:bCs/>
          <w:color w:val="C00000"/>
          <w:sz w:val="20"/>
          <w:szCs w:val="20"/>
        </w:rPr>
        <w:t xml:space="preserve">   [평가: 하 (지문 대조 요망)]</w:t>
      </w:r>
    </w:p>
    <w:p>
      <w:pPr>
        <w:spacing w:after="100"/>
      </w:pPr>
      <w:r>
        <w:rPr>
          <w:b/>
          <w:bCs/>
          <w:color w:val="000000"/>
          <w:sz w:val="22"/>
          <w:szCs w:val="22"/>
        </w:rPr>
        <w:t xml:space="preserve">[예상 원점수(추정)] </w:t>
      </w:r>
      <w:r>
        <w:rPr>
          <w:sz w:val="22"/>
          <w:szCs w:val="22"/>
        </w:rPr>
        <w:t xml:space="preserve">약 3~4 / 10점 — 결론이 채기표와 배치될 소지(지문 대조 필요)</w:t>
      </w:r>
    </w:p>
    <w:p>
      <w:pPr>
        <w:spacing w:after="100"/>
      </w:pPr>
      <w:r>
        <w:rPr>
          <w:b/>
          <w:bCs/>
          <w:color w:val="1F3864"/>
          <w:sz w:val="22"/>
          <w:szCs w:val="22"/>
        </w:rPr>
        <w:t xml:space="preserve">[채기표 요구 · 모범 논거] </w:t>
      </w:r>
      <w:r>
        <w:rPr>
          <w:sz w:val="22"/>
          <w:szCs w:val="22"/>
        </w:rPr>
        <w:t xml:space="preserve">먼저 ㉠·㉡·㉢죄의 죄수·경합관계를 도출. 판례(2005도7473): 실체적 경합범인 수개 범죄 중 일부 유죄·일부 무죄가 선고되고, 유죄부분은 피고인이·무죄부분은 검사가 상고한 경우, 항소심 판결 전부가 확정 차단되어 상고심에 이심된다. 유죄부분에 대한 피고인 상고가 이유 없더라도 무죄부분에 대한 검사 상고가 이유 있으면, 피고인에게 하나의 형이 선고되어야 하는 관계로 무죄부분뿐 아니라 유죄부분도 함께 파기되어야 한다.</w:t>
      </w:r>
    </w:p>
    <w:p>
      <w:pPr>
        <w:spacing w:after="100"/>
      </w:pPr>
      <w:r>
        <w:rPr>
          <w:b/>
          <w:bCs/>
          <w:color w:val="595959"/>
          <w:sz w:val="22"/>
          <w:szCs w:val="22"/>
        </w:rPr>
        <w:t xml:space="preserve">[내 답안 요지] </w:t>
      </w:r>
      <w:r>
        <w:rPr>
          <w:sz w:val="22"/>
          <w:szCs w:val="22"/>
        </w:rPr>
        <w:t xml:space="preserve">결론: ㄷ죄만 파기해야 함. ㄱ·ㄴ죄는 상상적 경합이라 일부파기 불가하나, ㄷ죄는 ㄱ·ㄴ죄와 분리 판결 가능하므로 ㄷ죄만 파기환송.</w:t>
      </w:r>
    </w:p>
    <w:p>
      <w:pPr>
        <w:spacing w:after="100"/>
      </w:pPr>
      <w:r>
        <w:rPr>
          <w:b/>
          <w:bCs/>
          <w:color w:val="2E7D32"/>
          <w:sz w:val="22"/>
          <w:szCs w:val="22"/>
        </w:rPr>
        <w:t xml:space="preserve">[득점 요소 ○] </w:t>
      </w:r>
      <w:r>
        <w:rPr>
          <w:sz w:val="22"/>
          <w:szCs w:val="22"/>
        </w:rPr>
        <w:t xml:space="preserve">형소법 제391조·이심 범위(ㄱㄴㄷ 전부) 언급, 파기 범위가 죄수관계에 좌우된다는 문제의식은 포착.</w:t>
      </w:r>
    </w:p>
    <w:p>
      <w:pPr>
        <w:spacing w:after="100"/>
      </w:pPr>
      <w:r>
        <w:rPr>
          <w:b/>
          <w:bCs/>
          <w:color w:val="C00000"/>
          <w:sz w:val="22"/>
          <w:szCs w:val="22"/>
        </w:rPr>
        <w:t xml:space="preserve">[감점·누락·오류 ×] </w:t>
      </w:r>
      <w:r>
        <w:rPr>
          <w:sz w:val="22"/>
          <w:szCs w:val="22"/>
        </w:rPr>
        <w:t xml:space="preserve">채기표의 모범 방향(2005도7473)은 '무죄부분 검사 상고가 이유 있으면 하나의 형 관계상 유죄부분도 함께 파기'인데, 내 결론은 'ㄷ죄만 파기'로 정면 배치될 소지가 큼. ※ 다만 이는 ㄱ·ㄴ·ㄷ의 실제 죄수관계에 따라 갈리므로 문제 지문 원문 대조 필요. 지문상 유·무죄 부분이 실체적 경합으로 하나의 형이 선고되는 관계라면 '유죄부분도 함께 파기'가 정답.</w:t>
      </w:r>
    </w:p>
    <w:p>
      <w:pPr>
        <w:spacing w:after="100"/>
      </w:pPr>
      <w:r>
        <w:rPr>
          <w:b/>
          <w:bCs/>
          <w:color w:val="B8860B"/>
          <w:sz w:val="22"/>
          <w:szCs w:val="22"/>
        </w:rPr>
        <w:t xml:space="preserve">[보완 포인트] </w:t>
      </w:r>
      <w:r>
        <w:rPr>
          <w:sz w:val="22"/>
          <w:szCs w:val="22"/>
        </w:rPr>
        <w:t xml:space="preserve">'하나의 형이 선고되는 실체적 경합 관계인지'를 먼저 확정하고, 그렇다면 2005도7473에 따라 유죄부분까지 함께 파기로 결론낼 것.</w:t>
      </w:r>
    </w:p>
    <w:p>
      <w:pPr>
        <w:pStyle w:val="Heading3"/>
        <w:spacing w:after="80" w:before="220"/>
      </w:pPr>
      <w:r>
        <w:t xml:space="preserve">3) 공소시효 정지와 양벌규정 (10점)</w:t>
      </w:r>
      <w:r>
        <w:rPr>
          <w:b/>
          <w:bCs/>
          <w:color w:val="2E7D32"/>
          <w:sz w:val="20"/>
          <w:szCs w:val="20"/>
        </w:rPr>
        <w:t xml:space="preserve">   [평가: 상]</w:t>
      </w:r>
    </w:p>
    <w:p>
      <w:pPr>
        <w:spacing w:after="100"/>
      </w:pPr>
      <w:r>
        <w:rPr>
          <w:b/>
          <w:bCs/>
          <w:color w:val="000000"/>
          <w:sz w:val="22"/>
          <w:szCs w:val="22"/>
        </w:rPr>
        <w:t xml:space="preserve">[예상 원점수(추정)] </w:t>
      </w:r>
      <w:r>
        <w:rPr>
          <w:sz w:val="22"/>
          <w:szCs w:val="22"/>
        </w:rPr>
        <w:t xml:space="preserve">약 8~9 / 10점 — 법리·결론 정확, 사실상 만점권</w:t>
      </w:r>
    </w:p>
    <w:p>
      <w:pPr>
        <w:spacing w:after="100"/>
      </w:pPr>
      <w:r>
        <w:rPr>
          <w:b/>
          <w:bCs/>
          <w:color w:val="1F3864"/>
          <w:sz w:val="22"/>
          <w:szCs w:val="22"/>
        </w:rPr>
        <w:t xml:space="preserve">[채기표 요구 · 모범 논거] </w:t>
      </w:r>
      <w:r>
        <w:rPr>
          <w:sz w:val="22"/>
          <w:szCs w:val="22"/>
        </w:rPr>
        <w:t xml:space="preserve">양벌규정으로 처벌되는 C회사와 그 종업원 丙의 관계에서, 丙(또는 C)에 대한 공소제기로 인한 공소시효 정지 효력이 상대방에게 미치는지. 형소법 제253조 제2항은 공소시효 정지의 인적 효력을 확장하는 규정이라 엄격해석 필요. 판례(2024도15290): 양벌규정상 사업주와 행위자의 관계는 2인 이상이 공동 구성요건을 실현하는 공범관계와 동일하게 볼 수 없다 → 제253조 제2항의 '공범'이 아니므로 시효정지 효력이 미치지 않음.</w:t>
      </w:r>
    </w:p>
    <w:p>
      <w:pPr>
        <w:spacing w:after="100"/>
      </w:pPr>
      <w:r>
        <w:rPr>
          <w:b/>
          <w:bCs/>
          <w:color w:val="595959"/>
          <w:sz w:val="22"/>
          <w:szCs w:val="22"/>
        </w:rPr>
        <w:t xml:space="preserve">[내 답안 요지] </w:t>
      </w:r>
      <w:r>
        <w:rPr>
          <w:sz w:val="22"/>
          <w:szCs w:val="22"/>
        </w:rPr>
        <w:t xml:space="preserve">결론: C회사는 공소시효 만료로 면소(형소법 제326조 제3호). 형소법 제253조 제1·2항, 판례(양벌규정상 법인·종업원은 제253조 제2항의 공범이 아님)를 들어 丙에 대한 공소제기가 C회사의 시효를 중단시키지 않는다고 정확히 논증.</w:t>
      </w:r>
    </w:p>
    <w:p>
      <w:pPr>
        <w:spacing w:after="100"/>
      </w:pPr>
      <w:r>
        <w:rPr>
          <w:b/>
          <w:bCs/>
          <w:color w:val="2E7D32"/>
          <w:sz w:val="22"/>
          <w:szCs w:val="22"/>
        </w:rPr>
        <w:t xml:space="preserve">[득점 요소 ○] </w:t>
      </w:r>
      <w:r>
        <w:rPr>
          <w:sz w:val="22"/>
          <w:szCs w:val="22"/>
        </w:rPr>
        <w:t xml:space="preserve">판례 취지(양벌규정 법인·종업원≠공범, 시효정지 효력 불급)와 결론(면소, 제326조 제3호)이 채기표와 정확히 합치. 이 항목은 사실상 만점권.</w:t>
      </w:r>
    </w:p>
    <w:p>
      <w:pPr>
        <w:spacing w:after="100"/>
      </w:pPr>
      <w:r>
        <w:rPr>
          <w:b/>
          <w:bCs/>
          <w:color w:val="C00000"/>
          <w:sz w:val="22"/>
          <w:szCs w:val="22"/>
        </w:rPr>
        <w:t xml:space="preserve">[감점·누락·오류 ×] </w:t>
      </w:r>
      <w:r>
        <w:rPr>
          <w:sz w:val="22"/>
          <w:szCs w:val="22"/>
        </w:rPr>
        <w:t xml:space="preserve">최신판례 번호(2024도15290) 특정은 없으나 법리·결론이 정확해 실질적 감점 요인 미미.</w:t>
      </w:r>
    </w:p>
    <w:p>
      <w:pPr>
        <w:spacing w:after="100"/>
      </w:pPr>
      <w:r>
        <w:rPr>
          <w:b/>
          <w:bCs/>
          <w:color w:val="B8860B"/>
          <w:sz w:val="22"/>
          <w:szCs w:val="22"/>
        </w:rPr>
        <w:t xml:space="preserve">[보완 포인트] </w:t>
      </w:r>
      <w:r>
        <w:rPr>
          <w:sz w:val="22"/>
          <w:szCs w:val="22"/>
        </w:rPr>
        <w:t xml:space="preserve">현행대로 유지. 판례 문구('엄격해석') 한 줄만 얹으면 완성도 상승.</w:t>
      </w:r>
    </w:p>
    <w:p>
      <w:pPr>
        <w:pStyle w:val="Heading3"/>
        <w:spacing w:after="80" w:before="220"/>
      </w:pPr>
      <w:r>
        <w:t xml:space="preserve">4)-① 출력물의 증거능력 (10점)</w:t>
      </w:r>
      <w:r>
        <w:rPr>
          <w:b/>
          <w:bCs/>
          <w:color w:val="2E7D32"/>
          <w:sz w:val="20"/>
          <w:szCs w:val="20"/>
        </w:rPr>
        <w:t xml:space="preserve">   [평가: 중상]</w:t>
      </w:r>
    </w:p>
    <w:p>
      <w:pPr>
        <w:spacing w:after="100"/>
      </w:pPr>
      <w:r>
        <w:rPr>
          <w:b/>
          <w:bCs/>
          <w:color w:val="000000"/>
          <w:sz w:val="22"/>
          <w:szCs w:val="22"/>
        </w:rPr>
        <w:t xml:space="preserve">[예상 원점수(추정)] </w:t>
      </w:r>
      <w:r>
        <w:rPr>
          <w:sz w:val="22"/>
          <w:szCs w:val="22"/>
        </w:rPr>
        <w:t xml:space="preserve">약 6~7 / 10점 — 결론 일치, '수사 전제성' 논점만 미확보</w:t>
      </w:r>
    </w:p>
    <w:p>
      <w:pPr>
        <w:spacing w:after="100"/>
      </w:pPr>
      <w:r>
        <w:rPr>
          <w:b/>
          <w:bCs/>
          <w:color w:val="1F3864"/>
          <w:sz w:val="22"/>
          <w:szCs w:val="22"/>
        </w:rPr>
        <w:t xml:space="preserve">[채기표 요구 · 모범 논거] </w:t>
      </w:r>
      <w:r>
        <w:rPr>
          <w:sz w:val="22"/>
          <w:szCs w:val="22"/>
        </w:rPr>
        <w:t xml:space="preserve">핵심은 택시기사의 습득물 제출이 '수사'를 전제로 한 것이 아니라는 점. 판례(2021도1181): 정보저장매체 소지자가 권리를 포기했거나 포기한 것으로 인식할 수 있으면 유류물 영장 없는 압수 시 참여권이 필수는 아니나, 이 사안은 택시기사가 소유자 확인 후 반환할 목적이었으므로 애초에 제218조의 '유류물/임의제출물'로 보기 어렵다. 따라서 영장·참여권 없이 정보탐색·출력한 출력물은 위법수집증거(2024도12689). 결국 제308조의2에 따라 증거동의 유무와 무관하게 증거능력 부정.</w:t>
      </w:r>
    </w:p>
    <w:p>
      <w:pPr>
        <w:spacing w:after="100"/>
      </w:pPr>
      <w:r>
        <w:rPr>
          <w:b/>
          <w:bCs/>
          <w:color w:val="595959"/>
          <w:sz w:val="22"/>
          <w:szCs w:val="22"/>
        </w:rPr>
        <w:t xml:space="preserve">[내 답안 요지] </w:t>
      </w:r>
      <w:r>
        <w:rPr>
          <w:sz w:val="22"/>
          <w:szCs w:val="22"/>
        </w:rPr>
        <w:t xml:space="preserve">결론: 출력물은 위법수집증거로 증거능력 없음. 제218조 유류물 압수는 적법하나 정보저장매체 탐색 시 범위 특정·출력·복제 및 실질적 피압수자 참여권 보장 필요(제106조 제3항·제219조), 판례상 소유권을 포기하지 않은 정보주체(丙)가 실질적 피압수자인데 참여권 미보장·목록 미교부 → 위법수집증거. 출력물 요건(원본 존재·전사 정확성)도 부기.</w:t>
      </w:r>
    </w:p>
    <w:p>
      <w:pPr>
        <w:spacing w:after="100"/>
      </w:pPr>
      <w:r>
        <w:rPr>
          <w:b/>
          <w:bCs/>
          <w:color w:val="2E7D32"/>
          <w:sz w:val="22"/>
          <w:szCs w:val="22"/>
        </w:rPr>
        <w:t xml:space="preserve">[득점 요소 ○] </w:t>
      </w:r>
      <w:r>
        <w:rPr>
          <w:sz w:val="22"/>
          <w:szCs w:val="22"/>
        </w:rPr>
        <w:t xml:space="preserve">결론(위법수집증거) 일치. '실질적 피압수자 참여권' 판례 법리와 목록 미교부 지적은 유효 득점.</w:t>
      </w:r>
    </w:p>
    <w:p>
      <w:pPr>
        <w:spacing w:after="100"/>
      </w:pPr>
      <w:r>
        <w:rPr>
          <w:b/>
          <w:bCs/>
          <w:color w:val="C00000"/>
          <w:sz w:val="22"/>
          <w:szCs w:val="22"/>
        </w:rPr>
        <w:t xml:space="preserve">[감점·누락·오류 ×] </w:t>
      </w:r>
      <w:r>
        <w:rPr>
          <w:sz w:val="22"/>
          <w:szCs w:val="22"/>
        </w:rPr>
        <w:t xml:space="preserve">채기표가 강조한 '습득물 제출이 수사 전제가 아니라 제218조 유류물 자체가 아니다'라는 논점(2021도1181의 역방향 적용)을 놓치고, 제218조 유류물임을 전제로 참여권 위반만 논함. 결론이 같아 큰 손실은 아니나 채기표 정밀 논점 일부 미확보.</w:t>
      </w:r>
    </w:p>
    <w:p>
      <w:pPr>
        <w:spacing w:after="100"/>
      </w:pPr>
      <w:r>
        <w:rPr>
          <w:b/>
          <w:bCs/>
          <w:color w:val="B8860B"/>
          <w:sz w:val="22"/>
          <w:szCs w:val="22"/>
        </w:rPr>
        <w:t xml:space="preserve">[보완 포인트] </w:t>
      </w:r>
      <w:r>
        <w:rPr>
          <w:sz w:val="22"/>
          <w:szCs w:val="22"/>
        </w:rPr>
        <w:t xml:space="preserve">'택시기사 제출은 수사 목적이 아니어서 제218조 유류물로 포섭되기 어렵다'는 한 단계를 추가하면 채기표 정면.</w:t>
      </w:r>
    </w:p>
    <w:p>
      <w:pPr>
        <w:pStyle w:val="Heading3"/>
        <w:spacing w:after="80" w:before="220"/>
      </w:pPr>
      <w:r>
        <w:t xml:space="preserve">4)-② 법정진술의 증거능력 (10점)</w:t>
      </w:r>
      <w:r>
        <w:rPr>
          <w:b/>
          <w:bCs/>
          <w:color w:val="2E7D32"/>
          <w:sz w:val="20"/>
          <w:szCs w:val="20"/>
        </w:rPr>
        <w:t xml:space="preserve">   [평가: 중상]</w:t>
      </w:r>
    </w:p>
    <w:p>
      <w:pPr>
        <w:spacing w:after="100"/>
      </w:pPr>
      <w:r>
        <w:rPr>
          <w:b/>
          <w:bCs/>
          <w:color w:val="000000"/>
          <w:sz w:val="22"/>
          <w:szCs w:val="22"/>
        </w:rPr>
        <w:t xml:space="preserve">[예상 원점수(추정)] </w:t>
      </w:r>
      <w:r>
        <w:rPr>
          <w:sz w:val="22"/>
          <w:szCs w:val="22"/>
        </w:rPr>
        <w:t xml:space="preserve">약 6~7 / 10점 — 독수독과 프레임·결론 일치</w:t>
      </w:r>
    </w:p>
    <w:p>
      <w:pPr>
        <w:spacing w:after="100"/>
      </w:pPr>
      <w:r>
        <w:rPr>
          <w:b/>
          <w:bCs/>
          <w:color w:val="1F3864"/>
          <w:sz w:val="22"/>
          <w:szCs w:val="22"/>
        </w:rPr>
        <w:t xml:space="preserve">[채기표 요구 · 모범 논거] </w:t>
      </w:r>
      <w:r>
        <w:rPr>
          <w:sz w:val="22"/>
          <w:szCs w:val="22"/>
        </w:rPr>
        <w:t xml:space="preserve">丁의 법정진술과 위법한 출력물 수집 사이 인과관계의 희석·단절 인정 여부. 판례(2024도12689): 위법수집 1차 증거가 수사 단서이자 사실상 유일·핵심 증거이고 위법의 정도가 상당하며 피고인이 그 1차 증거를 제시받거나 그 존재를 전제로 신문받았다면, 특별한 사정이 없는 한 법정진술도 1차 증거를 전제한 것이어서 희석·단절을 인정하기 어렵다 → 2차 증거인 법정진술도 증거능력 부정.</w:t>
      </w:r>
    </w:p>
    <w:p>
      <w:pPr>
        <w:spacing w:after="100"/>
      </w:pPr>
      <w:r>
        <w:rPr>
          <w:b/>
          <w:bCs/>
          <w:color w:val="595959"/>
          <w:sz w:val="22"/>
          <w:szCs w:val="22"/>
        </w:rPr>
        <w:t xml:space="preserve">[내 답안 요지] </w:t>
      </w:r>
      <w:r>
        <w:rPr>
          <w:sz w:val="22"/>
          <w:szCs w:val="22"/>
        </w:rPr>
        <w:t xml:space="preserve">결론: 출력물·법정진술 모두 증거능력 없음. 위법하게 압수한 출력물을 제시해 받은 자백은 위법수집증거에 기인, 희석·단절의 특별한 사정이 없는 한 독수독과이론상 증거능력 없고 법정진술도 하자 미치유 시 동일.</w:t>
      </w:r>
    </w:p>
    <w:p>
      <w:pPr>
        <w:spacing w:after="100"/>
      </w:pPr>
      <w:r>
        <w:rPr>
          <w:b/>
          <w:bCs/>
          <w:color w:val="2E7D32"/>
          <w:sz w:val="22"/>
          <w:szCs w:val="22"/>
        </w:rPr>
        <w:t xml:space="preserve">[득점 요소 ○] </w:t>
      </w:r>
      <w:r>
        <w:rPr>
          <w:sz w:val="22"/>
          <w:szCs w:val="22"/>
        </w:rPr>
        <w:t xml:space="preserve">독수독과·인과관계 희석/단절 프레임과 결론이 채기표와 합치. 2차 증거 논리 정확.</w:t>
      </w:r>
    </w:p>
    <w:p>
      <w:pPr>
        <w:spacing w:after="100"/>
      </w:pPr>
      <w:r>
        <w:rPr>
          <w:b/>
          <w:bCs/>
          <w:color w:val="C00000"/>
          <w:sz w:val="22"/>
          <w:szCs w:val="22"/>
        </w:rPr>
        <w:t xml:space="preserve">[감점·누락·오류 ×] </w:t>
      </w:r>
      <w:r>
        <w:rPr>
          <w:sz w:val="22"/>
          <w:szCs w:val="22"/>
        </w:rPr>
        <w:t xml:space="preserve">'임의성 없는 자백'이라는 표현은 부정확(쟁점은 임의성이 아니라 위법수집 2차증거의 파생성). 다만 독수독과를 함께 적시해 실질 만회.</w:t>
      </w:r>
    </w:p>
    <w:p>
      <w:pPr>
        <w:spacing w:after="100"/>
      </w:pPr>
      <w:r>
        <w:rPr>
          <w:b/>
          <w:bCs/>
          <w:color w:val="B8860B"/>
          <w:sz w:val="22"/>
          <w:szCs w:val="22"/>
        </w:rPr>
        <w:t xml:space="preserve">[보완 포인트] </w:t>
      </w:r>
      <w:r>
        <w:rPr>
          <w:sz w:val="22"/>
          <w:szCs w:val="22"/>
        </w:rPr>
        <w:t xml:space="preserve">'임의성' 표현을 빼고 '위법수집증거에 기한 2차적 증거의 파생성(희석·단절 여부)'으로 통일할 것.</w:t>
      </w:r>
    </w:p>
    <w:p>
      <w:r>
        <w:br w:type="page"/>
      </w:r>
    </w:p>
    <w:p>
      <w:pPr>
        <w:pStyle w:val="Heading1"/>
      </w:pPr>
      <w:r>
        <w:t xml:space="preserve">Ⅱ. 사례형 제2세트 (100점)</w:t>
      </w:r>
    </w:p>
    <w:p>
      <w:pPr>
        <w:pStyle w:val="Heading2"/>
      </w:pPr>
      <w:r>
        <w:t xml:space="preserve">문제 1. 甲·乙·丙의 죄책 — 뇌물 (20점)</w:t>
      </w:r>
    </w:p>
    <w:p>
      <w:pPr>
        <w:pStyle w:val="Heading3"/>
        <w:spacing w:after="80" w:before="220"/>
      </w:pPr>
      <w:r>
        <w:t xml:space="preserve">甲·乙·丙 죄책 전체 (20점)</w:t>
      </w:r>
      <w:r>
        <w:rPr>
          <w:b/>
          <w:bCs/>
          <w:color w:val="C00000"/>
          <w:sz w:val="20"/>
          <w:szCs w:val="20"/>
        </w:rPr>
        <w:t xml:space="preserve">   [평가: 하 (지문 대조 요망)]</w:t>
      </w:r>
    </w:p>
    <w:p>
      <w:pPr>
        <w:spacing w:after="100"/>
      </w:pPr>
      <w:r>
        <w:rPr>
          <w:b/>
          <w:bCs/>
          <w:color w:val="000000"/>
          <w:sz w:val="22"/>
          <w:szCs w:val="22"/>
        </w:rPr>
        <w:t xml:space="preserve">[예상 원점수(추정)] </w:t>
      </w:r>
      <w:r>
        <w:rPr>
          <w:sz w:val="22"/>
          <w:szCs w:val="22"/>
        </w:rPr>
        <w:t xml:space="preserve">약 3~5 / 20점 — 丙만 일치, 甲·乙 죄명 구성 오류(지문 대조 필요)</w:t>
      </w:r>
    </w:p>
    <w:p>
      <w:pPr>
        <w:spacing w:after="100"/>
      </w:pPr>
      <w:r>
        <w:rPr>
          <w:b/>
          <w:bCs/>
          <w:color w:val="1F3864"/>
          <w:sz w:val="22"/>
          <w:szCs w:val="22"/>
        </w:rPr>
        <w:t xml:space="preserve">[채기표 요구 · 모범 논거] </w:t>
      </w:r>
      <w:r>
        <w:rPr>
          <w:sz w:val="22"/>
          <w:szCs w:val="22"/>
        </w:rPr>
        <w:t xml:space="preserve">[甲 3점] 丙에게 돈봉투를 받아 乙에게 전달 → 수뢰죄(제129조). 공무원 신분·객관적 구성요건은 충족하나 고의 결여로 불성립, 과실범 처벌규정 부재. [乙 12점] ① 甲을 이용해 丙으로부터 1,000만원 수령 → 수뢰죄의 교사범(제129조 제1항·제33조): 신분 없는 자가 신분자에게 가담 시 제33조로 교사범 성립. ② 丙이 甲에게 증뢰하게 함 → 뇌물공여죄의 교사범(제133조 제1항·제31조): 甲에 대한 필요적 공범으로는 무죄이나 丙에 대한 교사범 성립. ③ 죄수 2점. [丙 5점] 甲에게 직무관련 1,000만원 제공 → 뇌물공여죄(제133조 제1항). 甲의 수뢰죄 불성립(고의 결여)과 증뢰자 범죄 성립은 무관(참조판례 2007도10804).</w:t>
      </w:r>
    </w:p>
    <w:p>
      <w:pPr>
        <w:spacing w:after="100"/>
      </w:pPr>
      <w:r>
        <w:rPr>
          <w:b/>
          <w:bCs/>
          <w:color w:val="595959"/>
          <w:sz w:val="22"/>
          <w:szCs w:val="22"/>
        </w:rPr>
        <w:t xml:space="preserve">[내 답안 요지] </w:t>
      </w:r>
      <w:r>
        <w:rPr>
          <w:sz w:val="22"/>
          <w:szCs w:val="22"/>
        </w:rPr>
        <w:t xml:space="preserve">결론: 甲=증뢰죄, 乙=변호사법위반죄, 丙=뇌물공여죄. 甲은 봉투에 돈이 있을 수 있음을 인식하며 '지급받아' 증뢰죄, 甲·乙은 부부로 동일인이라 제3자뇌물제공죄 문제 없음. 乙은 공무원 甲을 통해 丙의 부정한 목적을 이뤄줄 수 있다며 뇌물을 요구·수령해 변호사법위반죄.</w:t>
      </w:r>
    </w:p>
    <w:p>
      <w:pPr>
        <w:spacing w:after="100"/>
      </w:pPr>
      <w:r>
        <w:rPr>
          <w:b/>
          <w:bCs/>
          <w:color w:val="2E7D32"/>
          <w:sz w:val="22"/>
          <w:szCs w:val="22"/>
        </w:rPr>
        <w:t xml:space="preserve">[득점 요소 ○] </w:t>
      </w:r>
      <w:r>
        <w:rPr>
          <w:sz w:val="22"/>
          <w:szCs w:val="22"/>
        </w:rPr>
        <w:t xml:space="preserve">丙의 뇌물공여죄(제133조 제1항)만 채기표와 일치.</w:t>
      </w:r>
    </w:p>
    <w:p>
      <w:pPr>
        <w:spacing w:after="100"/>
      </w:pPr>
      <w:r>
        <w:rPr>
          <w:b/>
          <w:bCs/>
          <w:color w:val="C00000"/>
          <w:sz w:val="22"/>
          <w:szCs w:val="22"/>
        </w:rPr>
        <w:t xml:space="preserve">[감점·누락·오류 ×] </w:t>
      </w:r>
      <w:r>
        <w:rPr>
          <w:sz w:val="22"/>
          <w:szCs w:val="22"/>
        </w:rPr>
        <w:t xml:space="preserve">이 문제는 사실관계·죄명 구성이 채기표와 광범위하게 어긋남. ① 甲은 '받은 자'인데 '증뢰죄(주는 죄)'로 처리(용어·구조 모순, 채기표는 甲=수뢰죄 고의결여 불성립). ② 乙을 '변호사법위반죄'로 구성했으나 채기표는 乙=수뢰죄 교사범+뇌물공여죄 교사범(제33조·제31조). ③ '甲·乙은 부부'라는 사실관계는 채기표 어디에도 없음(甲=공무원, 乙=비신분자 배후). ⇒ 제33조 신분범 공범, 필요적 공범과 교사범의 구별이라는 배점 핵심을 통째로 놓침.</w:t>
      </w:r>
    </w:p>
    <w:p>
      <w:pPr>
        <w:spacing w:after="100"/>
      </w:pPr>
      <w:r>
        <w:rPr>
          <w:b/>
          <w:bCs/>
          <w:color w:val="B8860B"/>
          <w:sz w:val="22"/>
          <w:szCs w:val="22"/>
        </w:rPr>
        <w:t xml:space="preserve">[보완 포인트] </w:t>
      </w:r>
      <w:r>
        <w:rPr>
          <w:sz w:val="22"/>
          <w:szCs w:val="22"/>
        </w:rPr>
        <w:t xml:space="preserve">※ 지문 원문 대조 최우선 항목. 채기표 기준으로는 '甲 수뢰죄(고의결여 불성립) / 乙 수뢰죄 교사범+뇌물공여죄 교사범 / 丙 뇌물공여죄' 구조를 반드시 복원할 것. 제33조(신분자에 가담한 비신분자)와 제31조(교사범) 적용이 관건.</w:t>
      </w:r>
    </w:p>
    <w:p>
      <w:pPr>
        <w:pStyle w:val="Heading2"/>
      </w:pPr>
      <w:r>
        <w:t xml:space="preserve">문제 2. 甲의 죄책 — 카드론 (20점)</w:t>
      </w:r>
    </w:p>
    <w:p>
      <w:pPr>
        <w:pStyle w:val="Heading3"/>
        <w:spacing w:after="80" w:before="220"/>
      </w:pPr>
      <w:r>
        <w:t xml:space="preserve">甲 죄책 (사기·컴사기·여전법) (20점)</w:t>
      </w:r>
      <w:r>
        <w:rPr>
          <w:b/>
          <w:bCs/>
          <w:color w:val="C00000"/>
          <w:sz w:val="20"/>
          <w:szCs w:val="20"/>
        </w:rPr>
        <w:t xml:space="preserve">   [평가: 중하]</w:t>
      </w:r>
    </w:p>
    <w:p>
      <w:pPr>
        <w:spacing w:after="100"/>
      </w:pPr>
      <w:r>
        <w:rPr>
          <w:b/>
          <w:bCs/>
          <w:color w:val="000000"/>
          <w:sz w:val="22"/>
          <w:szCs w:val="22"/>
        </w:rPr>
        <w:t xml:space="preserve">[예상 원점수(추정)] </w:t>
      </w:r>
      <w:r>
        <w:rPr>
          <w:sz w:val="22"/>
          <w:szCs w:val="22"/>
        </w:rPr>
        <w:t xml:space="preserve">약 6~8 / 20점 — 사기 불성립·여전법은 득점, 컴사기(8점)·죄수 통째 누락</w:t>
      </w:r>
    </w:p>
    <w:p>
      <w:pPr>
        <w:spacing w:after="100"/>
      </w:pPr>
      <w:r>
        <w:rPr>
          <w:b/>
          <w:bCs/>
          <w:color w:val="1F3864"/>
          <w:sz w:val="22"/>
          <w:szCs w:val="22"/>
        </w:rPr>
        <w:t xml:space="preserve">[채기표 요구 · 모범 논거] </w:t>
      </w:r>
      <w:r>
        <w:rPr>
          <w:sz w:val="22"/>
          <w:szCs w:val="22"/>
        </w:rPr>
        <w:t xml:space="preserve">[사기죄 5점] 카드사 애플리케이션을 통한 온라인 카드론은 사람의 개입(기망·착오·처분행위)이 없으므로 사기죄 불성립(2024도18441). [컴퓨터등사용사기죄 8점] 甲 자신 명의 카드 대출은 '허위정보 입력' 인정 여부가 쟁점이나, 乙의 신용카드를 무단 사용해 받은 카드론은 권한 없이 정보를 입력·정보처리하게 하여 재산상 이익을 취득한 전형적 컴퓨터등사용사기죄에 해당(2024도19846) → 乙 카드 이용 대출은 컴사기 성립. [여신전문금융업법위반(신용카드부정사용죄) 3점] 타인(乙) 카드를 본래 용법대로 사용(카드대출)했으므로 성립, 사용 후 곧 반환해 불법영득의사가 부정돼도 성립에 영향 없음(95도997). [죄수 4점] 여전법위반과 컴사기는 보호법익·행위태양이 전혀 달라 실체적 경합(96도1181).</w:t>
      </w:r>
    </w:p>
    <w:p>
      <w:pPr>
        <w:spacing w:after="100"/>
      </w:pPr>
      <w:r>
        <w:rPr>
          <w:b/>
          <w:bCs/>
          <w:color w:val="595959"/>
          <w:sz w:val="22"/>
          <w:szCs w:val="22"/>
        </w:rPr>
        <w:t xml:space="preserve">[내 답안 요지] </w:t>
      </w:r>
      <w:r>
        <w:rPr>
          <w:sz w:val="22"/>
          <w:szCs w:val="22"/>
        </w:rPr>
        <w:t xml:space="preserve">결론: 甲은 절도죄, 신용카드부정사용죄. 사기죄는 앱 자동 전산처리로 기망당한 사람이 없어 불성립(판례 정확). 乙 명의 카드를 절취했으므로 절도죄, 도난카드로 카드론을 받았으므로 신용카드부정사용죄(본래 용법=카드대출) 성립.</w:t>
      </w:r>
    </w:p>
    <w:p>
      <w:pPr>
        <w:spacing w:after="100"/>
      </w:pPr>
      <w:r>
        <w:rPr>
          <w:b/>
          <w:bCs/>
          <w:color w:val="2E7D32"/>
          <w:sz w:val="22"/>
          <w:szCs w:val="22"/>
        </w:rPr>
        <w:t xml:space="preserve">[득점 요소 ○] </w:t>
      </w:r>
      <w:r>
        <w:rPr>
          <w:sz w:val="22"/>
          <w:szCs w:val="22"/>
        </w:rPr>
        <w:t xml:space="preserve">사기죄 불성립 논거(2024도18441 취지)는 정확히 득점. 신용카드부정사용죄(여전법 제70조) 성립 결론도 채기표와 일치.</w:t>
      </w:r>
    </w:p>
    <w:p>
      <w:pPr>
        <w:spacing w:after="100"/>
      </w:pPr>
      <w:r>
        <w:rPr>
          <w:b/>
          <w:bCs/>
          <w:color w:val="C00000"/>
          <w:sz w:val="22"/>
          <w:szCs w:val="22"/>
        </w:rPr>
        <w:t xml:space="preserve">[감점·누락·오류 ×] </w:t>
      </w:r>
      <w:r>
        <w:rPr>
          <w:sz w:val="22"/>
          <w:szCs w:val="22"/>
        </w:rPr>
        <w:t xml:space="preserve">① 배점 8점의 핵심 쟁점 '컴퓨터등사용사기죄(乙 카드 무단사용 대출=권한 없는 정보입력)'를 전혀 다루지 않음 → 8점 통째 상실 위험. ② 그 결과 죄수(여전법위반 vs 컴사기 실체적 경합, 96도1181)도 논증 불가. ③ 채기표 배점에 없는 '절도죄'를 추가(카드 취득 경위는 문제2에서 무단사용 전제로 보이며, 지문 대조 필요).</w:t>
      </w:r>
    </w:p>
    <w:p>
      <w:pPr>
        <w:spacing w:after="100"/>
      </w:pPr>
      <w:r>
        <w:rPr>
          <w:b/>
          <w:bCs/>
          <w:color w:val="B8860B"/>
          <w:sz w:val="22"/>
          <w:szCs w:val="22"/>
        </w:rPr>
        <w:t xml:space="preserve">[보완 포인트] </w:t>
      </w:r>
      <w:r>
        <w:rPr>
          <w:sz w:val="22"/>
          <w:szCs w:val="22"/>
        </w:rPr>
        <w:t xml:space="preserve">'乙 카드 무단사용 카드론 → 컴퓨터등사용사기죄(제347조의2, 2024도19846)'를 반드시 세우고, 이를 여전법위반죄와 실체적 경합(96도1181)으로 처리할 것.</w:t>
      </w:r>
    </w:p>
    <w:p>
      <w:pPr>
        <w:pStyle w:val="Heading2"/>
      </w:pPr>
      <w:r>
        <w:t xml:space="preserve">문제 3. 甲·乙·丁의 죄책 — 특수절도 (20점)</w:t>
      </w:r>
    </w:p>
    <w:p>
      <w:pPr>
        <w:pStyle w:val="Heading3"/>
        <w:spacing w:after="80" w:before="220"/>
      </w:pPr>
      <w:r>
        <w:t xml:space="preserve">甲·乙·丁 죄책 전체 (20점)</w:t>
      </w:r>
      <w:r>
        <w:rPr>
          <w:b/>
          <w:bCs/>
          <w:color w:val="B8860B"/>
          <w:sz w:val="20"/>
          <w:szCs w:val="20"/>
        </w:rPr>
        <w:t xml:space="preserve">   [평가: 중]</w:t>
      </w:r>
    </w:p>
    <w:p>
      <w:pPr>
        <w:spacing w:after="100"/>
      </w:pPr>
      <w:r>
        <w:rPr>
          <w:b/>
          <w:bCs/>
          <w:color w:val="000000"/>
          <w:sz w:val="22"/>
          <w:szCs w:val="22"/>
        </w:rPr>
        <w:t xml:space="preserve">[예상 원점수(추정)] </w:t>
      </w:r>
      <w:r>
        <w:rPr>
          <w:sz w:val="22"/>
          <w:szCs w:val="22"/>
        </w:rPr>
        <w:t xml:space="preserve">약 11~13 / 20점 — 특수절도·주거·장물 득점, 사기미수 누락·손괴 죄수 오류</w:t>
      </w:r>
    </w:p>
    <w:p>
      <w:pPr>
        <w:spacing w:after="100"/>
      </w:pPr>
      <w:r>
        <w:rPr>
          <w:b/>
          <w:bCs/>
          <w:color w:val="1F3864"/>
          <w:sz w:val="22"/>
          <w:szCs w:val="22"/>
        </w:rPr>
        <w:t xml:space="preserve">[채기표 요구 · 모범 논거] </w:t>
      </w:r>
      <w:r>
        <w:rPr>
          <w:sz w:val="22"/>
          <w:szCs w:val="22"/>
        </w:rPr>
        <w:t xml:space="preserve">[아파트 주차장 출입 4점] 공동주거침입죄(폭처법). 공동주거자가 공동주거 내에서 범죄를 저질러도 사실상 주거의 평온 침해로 볼 수 없어 불성립(2020도12630 전합, 2017도18272 전합). [전선 절단·문 개방 4점] 공동재물손괴죄(폭처법). 도난방지시스템 전선을 끊어 기능을 일시적으로라도 못 쓰게 하면 손괴, 甲·乙 공동 → 성립. [차량 절취 3점] 특수(합동)절도죄(제331조 제2항): 2인 이상 현장 합동 → 성립. [가명 매각 4점] 사기죄(제347조): 가명으로 도품이 아닌 것처럼 매각했으나 매수인이 정상품이 아님을 알아채 착오가 없으므로 사기(장애)미수. [죄수 2점] 손괴·절도·사기 실체적 경합. 손괴는 절도의 불가벌적 수반행위가 아님(2012도1895). [丁 3점] 정상품이 아님을 알고 자동차를 싼값에 구입 → 장물취득죄(제362조), 미필적 고의·대가 지급도 성립.</w:t>
      </w:r>
    </w:p>
    <w:p>
      <w:pPr>
        <w:spacing w:after="100"/>
      </w:pPr>
      <w:r>
        <w:rPr>
          <w:b/>
          <w:bCs/>
          <w:color w:val="595959"/>
          <w:sz w:val="22"/>
          <w:szCs w:val="22"/>
        </w:rPr>
        <w:t xml:space="preserve">[내 답안 요지] </w:t>
      </w:r>
      <w:r>
        <w:rPr>
          <w:sz w:val="22"/>
          <w:szCs w:val="22"/>
        </w:rPr>
        <w:t xml:space="preserve">결론: 甲·乙=특수절도죄, 丁=장물취득죄. 특수절도 '합동' 의미(판례: 시간·장소적 근접 협력) 정확히 포섭. 주거침입죄는 甲·乙도 입주민이고 객관적 행위태양이 평온을 깨지 않아 불성립. 자동차 매각은 절도 후 불가벌적 사후행위(횡령죄 불성립). 손괴죄는 성립하나 특수절도죄에 흡수. 丁은 도난차량임을 알고 매입해 장물취득죄.</w:t>
      </w:r>
    </w:p>
    <w:p>
      <w:pPr>
        <w:spacing w:after="100"/>
      </w:pPr>
      <w:r>
        <w:rPr>
          <w:b/>
          <w:bCs/>
          <w:color w:val="2E7D32"/>
          <w:sz w:val="22"/>
          <w:szCs w:val="22"/>
        </w:rPr>
        <w:t xml:space="preserve">[득점 요소 ○] </w:t>
      </w:r>
      <w:r>
        <w:rPr>
          <w:sz w:val="22"/>
          <w:szCs w:val="22"/>
        </w:rPr>
        <w:t xml:space="preserve">특수(합동)절도죄 '합동' 법리·포섭 정확, 주거침입죄 불성립(2020도12630 취지)·丁 장물취득죄는 채기표와 합치. 상당한 득점 항목.</w:t>
      </w:r>
    </w:p>
    <w:p>
      <w:pPr>
        <w:spacing w:after="100"/>
      </w:pPr>
      <w:r>
        <w:rPr>
          <w:b/>
          <w:bCs/>
          <w:color w:val="C00000"/>
          <w:sz w:val="22"/>
          <w:szCs w:val="22"/>
        </w:rPr>
        <w:t xml:space="preserve">[감점·누락·오류 ×] </w:t>
      </w:r>
      <w:r>
        <w:rPr>
          <w:sz w:val="22"/>
          <w:szCs w:val="22"/>
        </w:rPr>
        <w:t xml:space="preserve">① 가명 매각을 '횡령/불가벌적 사후행위'로만 처리하고 채기표의 '사기(장애)미수'(가명·정상품 가장→매수인 착오 없음) 쟁점을 놓침. ② 손괴죄를 '특수절도에 흡수'라고 했으나 채기표는 반대 — 손괴는 절도의 불가벌적 수반행위가 아니어서 실체적 경합(2012도1895). 죄수 처리 오류. ③ 주거침입·손괴를 폭처법(공동) 구성이 아닌 일반범으로 처리(결론엔 영향 적음).</w:t>
      </w:r>
    </w:p>
    <w:p>
      <w:pPr>
        <w:spacing w:after="100"/>
      </w:pPr>
      <w:r>
        <w:rPr>
          <w:b/>
          <w:bCs/>
          <w:color w:val="B8860B"/>
          <w:sz w:val="22"/>
          <w:szCs w:val="22"/>
        </w:rPr>
        <w:t xml:space="preserve">[보완 포인트] </w:t>
      </w:r>
      <w:r>
        <w:rPr>
          <w:sz w:val="22"/>
          <w:szCs w:val="22"/>
        </w:rPr>
        <w:t xml:space="preserve">매각행위는 사기미수로, 손괴는 절도와 실체적 경합으로 교정. 죄수 파트(2012도1895 불가벌적 수반행위 개념)를 명시할 것.</w:t>
      </w:r>
    </w:p>
    <w:p>
      <w:pPr>
        <w:pStyle w:val="Heading2"/>
      </w:pPr>
      <w:r>
        <w:t xml:space="preserve">문제 4. 공소장변경 신청에 대한 법원의 판단 (10점)</w:t>
      </w:r>
    </w:p>
    <w:p>
      <w:pPr>
        <w:pStyle w:val="Heading3"/>
        <w:spacing w:after="80" w:before="220"/>
      </w:pPr>
      <w:r>
        <w:t xml:space="preserve">공소장변경 허가 여부 (10점)</w:t>
      </w:r>
      <w:r>
        <w:rPr>
          <w:b/>
          <w:bCs/>
          <w:color w:val="B8860B"/>
          <w:sz w:val="20"/>
          <w:szCs w:val="20"/>
        </w:rPr>
        <w:t xml:space="preserve">   [평가: 중]</w:t>
      </w:r>
    </w:p>
    <w:p>
      <w:pPr>
        <w:spacing w:after="100"/>
      </w:pPr>
      <w:r>
        <w:rPr>
          <w:b/>
          <w:bCs/>
          <w:color w:val="000000"/>
          <w:sz w:val="22"/>
          <w:szCs w:val="22"/>
        </w:rPr>
        <w:t xml:space="preserve">[예상 원점수(추정)] </w:t>
      </w:r>
      <w:r>
        <w:rPr>
          <w:sz w:val="22"/>
          <w:szCs w:val="22"/>
        </w:rPr>
        <w:t xml:space="preserve">약 4~5 / 10점 — 일반론 득점, 죄명별 이원 판단 누락</w:t>
      </w:r>
    </w:p>
    <w:p>
      <w:pPr>
        <w:spacing w:after="100"/>
      </w:pPr>
      <w:r>
        <w:rPr>
          <w:b/>
          <w:bCs/>
          <w:color w:val="1F3864"/>
          <w:sz w:val="22"/>
          <w:szCs w:val="22"/>
        </w:rPr>
        <w:t xml:space="preserve">[채기표 요구 · 모범 논거] </w:t>
      </w:r>
      <w:r>
        <w:rPr>
          <w:sz w:val="22"/>
          <w:szCs w:val="22"/>
        </w:rPr>
        <w:t xml:space="preserve">공소사실 동일성 범위를 죄명별로 나눠 판단. 乙 카드 다수 사용에 따른 여신전문금융업법위반은 포괄일죄 → 공소사실 동일성 인정, 변경 허가. 반면 컴퓨터등사용사기죄는 피해자(카드사)가 다르고 방법·동기·범의를 종합할 때 동일성 인정이 어려워 상습범 여부 등에 따라 판단. 동일성 인정 시 법원은 허가 의무(판례 2025도903: 포괄일죄에서는 개별 공소사실별이 아니라 변경된 사실이 전체적으로 포괄일죄 범주 내에 있는지에 초점).</w:t>
      </w:r>
    </w:p>
    <w:p>
      <w:pPr>
        <w:spacing w:after="100"/>
      </w:pPr>
      <w:r>
        <w:rPr>
          <w:b/>
          <w:bCs/>
          <w:color w:val="595959"/>
          <w:sz w:val="22"/>
          <w:szCs w:val="22"/>
        </w:rPr>
        <w:t xml:space="preserve">[내 답안 요지] </w:t>
      </w:r>
      <w:r>
        <w:rPr>
          <w:sz w:val="22"/>
          <w:szCs w:val="22"/>
        </w:rPr>
        <w:t xml:space="preserve">결론: 법원은 공소장변경을 허가해야 함. 형소법 제298조 제1항, 동일성 판단학설(소인동일설/기본적 사실관계 동일설), 판례(기본적 사실관계 동일설+규범적 요소). 기존 대출과 추가 발견 대출은 기본적 사실관계가 동일하고 습벽에 의한 일련의 범죄이므로 동일성 인정 → 허가.</w:t>
      </w:r>
    </w:p>
    <w:p>
      <w:pPr>
        <w:spacing w:after="100"/>
      </w:pPr>
      <w:r>
        <w:rPr>
          <w:b/>
          <w:bCs/>
          <w:color w:val="2E7D32"/>
          <w:sz w:val="22"/>
          <w:szCs w:val="22"/>
        </w:rPr>
        <w:t xml:space="preserve">[득점 요소 ○] </w:t>
      </w:r>
      <w:r>
        <w:rPr>
          <w:sz w:val="22"/>
          <w:szCs w:val="22"/>
        </w:rPr>
        <w:t xml:space="preserve">동일성 일반 법리·기본적 사실관계 동일설·'습벽/포괄일죄' 언급으로 2025도903 취지 일부 반영. 허가 결론 방향은 여전법위반 부분에서 타당.</w:t>
      </w:r>
    </w:p>
    <w:p>
      <w:pPr>
        <w:spacing w:after="100"/>
      </w:pPr>
      <w:r>
        <w:rPr>
          <w:b/>
          <w:bCs/>
          <w:color w:val="C00000"/>
          <w:sz w:val="22"/>
          <w:szCs w:val="22"/>
        </w:rPr>
        <w:t xml:space="preserve">[감점·누락·오류 ×] </w:t>
      </w:r>
      <w:r>
        <w:rPr>
          <w:sz w:val="22"/>
          <w:szCs w:val="22"/>
        </w:rPr>
        <w:t xml:space="preserve">채기표의 핵심인 '죄명별 분리 판단'(여전법위반=포괄일죄→허가 / 컴사기=동일성 인정 곤란)을 하지 않고 '전부 동일성 인정→일괄 허가'로 뭉뚱그림. 컴사기죄의 동일성 부정 가능성이라는 반대 축을 놓침.</w:t>
      </w:r>
    </w:p>
    <w:p>
      <w:pPr>
        <w:spacing w:after="100"/>
      </w:pPr>
      <w:r>
        <w:rPr>
          <w:b/>
          <w:bCs/>
          <w:color w:val="B8860B"/>
          <w:sz w:val="22"/>
          <w:szCs w:val="22"/>
        </w:rPr>
        <w:t xml:space="preserve">[보완 포인트] </w:t>
      </w:r>
      <w:r>
        <w:rPr>
          <w:sz w:val="22"/>
          <w:szCs w:val="22"/>
        </w:rPr>
        <w:t xml:space="preserve">'여전법위반은 포괄일죄로 허가, 컴사기는 동일성(상습성) 여부에 따라 달리 판단'으로 이원화할 것.</w:t>
      </w:r>
    </w:p>
    <w:p>
      <w:pPr>
        <w:pStyle w:val="Heading2"/>
      </w:pPr>
      <w:r>
        <w:t xml:space="preserve">문제 5. 변호인의 압수·수색 참여권 (10점)</w:t>
      </w:r>
    </w:p>
    <w:p>
      <w:pPr>
        <w:pStyle w:val="Heading3"/>
        <w:spacing w:after="80" w:before="220"/>
      </w:pPr>
      <w:r>
        <w:t xml:space="preserve">변호인 참여권 침해와 증거능력 (10점)</w:t>
      </w:r>
      <w:r>
        <w:rPr>
          <w:b/>
          <w:bCs/>
          <w:color w:val="C00000"/>
          <w:sz w:val="20"/>
          <w:szCs w:val="20"/>
        </w:rPr>
        <w:t xml:space="preserve">   [평가: 중하]</w:t>
      </w:r>
    </w:p>
    <w:p>
      <w:pPr>
        <w:spacing w:after="100"/>
      </w:pPr>
      <w:r>
        <w:rPr>
          <w:b/>
          <w:bCs/>
          <w:color w:val="000000"/>
          <w:sz w:val="22"/>
          <w:szCs w:val="22"/>
        </w:rPr>
        <w:t xml:space="preserve">[예상 원점수(추정)] </w:t>
      </w:r>
      <w:r>
        <w:rPr>
          <w:sz w:val="22"/>
          <w:szCs w:val="22"/>
        </w:rPr>
        <w:t xml:space="preserve">약 3~5 / 10점 — 원칙만 서술, 예외 법리(2024도19106) 누락</w:t>
      </w:r>
    </w:p>
    <w:p>
      <w:pPr>
        <w:spacing w:after="100"/>
      </w:pPr>
      <w:r>
        <w:rPr>
          <w:b/>
          <w:bCs/>
          <w:color w:val="1F3864"/>
          <w:sz w:val="22"/>
          <w:szCs w:val="22"/>
        </w:rPr>
        <w:t xml:space="preserve">[채기표 요구 · 모범 논거] </w:t>
      </w:r>
      <w:r>
        <w:rPr>
          <w:sz w:val="22"/>
          <w:szCs w:val="22"/>
        </w:rPr>
        <w:t xml:space="preserve">변호인의 압수·수색 참여권(제219조·제121조)은 피압수자 보호를 위한 변호인의 '고유권'. 피의자에게만 통지하고 변호인에게 통지·참여기회를 별도 보장하지 않으면 원칙적으로 위법수집증거. 다만 판례(2024도19106)는 예외를 인정 — 절차위반이 적법절차의 실질적 내용을 침해하지 않고, 오히려 증거배제가 형사사법정의 실현 취지에 반하는 예외적 경우 또는 2차 증거와의 인과관계 희석·단절이 인정되면, 법원은 그 증거를 유죄의 증거로 사용할 수 있다.</w:t>
      </w:r>
    </w:p>
    <w:p>
      <w:pPr>
        <w:spacing w:after="100"/>
      </w:pPr>
      <w:r>
        <w:rPr>
          <w:b/>
          <w:bCs/>
          <w:color w:val="595959"/>
          <w:sz w:val="22"/>
          <w:szCs w:val="22"/>
        </w:rPr>
        <w:t xml:space="preserve">[내 답안 요지] </w:t>
      </w:r>
      <w:r>
        <w:rPr>
          <w:sz w:val="22"/>
          <w:szCs w:val="22"/>
        </w:rPr>
        <w:t xml:space="preserve">결론: 유죄의 증거로 사용할 수 없음. 제121조·제219조 변호인 참여권, 통지 대상에서 변호인 누락 → 위법, 판례상 변호인 미통지 압수·수색은 위법 → 위법수집증거(제308조의2)로 사용 불가.</w:t>
      </w:r>
    </w:p>
    <w:p>
      <w:pPr>
        <w:spacing w:after="100"/>
      </w:pPr>
      <w:r>
        <w:rPr>
          <w:b/>
          <w:bCs/>
          <w:color w:val="2E7D32"/>
          <w:sz w:val="22"/>
          <w:szCs w:val="22"/>
        </w:rPr>
        <w:t xml:space="preserve">[득점 요소 ○] </w:t>
      </w:r>
      <w:r>
        <w:rPr>
          <w:sz w:val="22"/>
          <w:szCs w:val="22"/>
        </w:rPr>
        <w:t xml:space="preserve">참여권이 변호인에게 인정된다는 점, 미통지의 위법성, 위법수집증거 원칙(제308조의2)은 정확히 서술.</w:t>
      </w:r>
    </w:p>
    <w:p>
      <w:pPr>
        <w:spacing w:after="100"/>
      </w:pPr>
      <w:r>
        <w:rPr>
          <w:b/>
          <w:bCs/>
          <w:color w:val="C00000"/>
          <w:sz w:val="22"/>
          <w:szCs w:val="22"/>
        </w:rPr>
        <w:t xml:space="preserve">[감점·누락·오류 ×] </w:t>
      </w:r>
      <w:r>
        <w:rPr>
          <w:sz w:val="22"/>
          <w:szCs w:val="22"/>
        </w:rPr>
        <w:t xml:space="preserve">채기표가 요구하는 '고유권' 성질 명시와, 무엇보다 예외 법리(2024도19106: 적법절차 실질 침해가 아니고 인과관계 희석·단절 등 예외적 경우 증거능력 인정 가능)를 전혀 다루지 않음. 배점 10점 중 예외 판단 부분이 큰 비중인데 원칙만 서술하고 단정. 채기표의 모범 결론은 예외 요건 검토 후 '증거능력 인정 가능' 쪽도 열어둠.</w:t>
      </w:r>
    </w:p>
    <w:p>
      <w:pPr>
        <w:spacing w:after="100"/>
      </w:pPr>
      <w:r>
        <w:rPr>
          <w:b/>
          <w:bCs/>
          <w:color w:val="B8860B"/>
          <w:sz w:val="22"/>
          <w:szCs w:val="22"/>
        </w:rPr>
        <w:t xml:space="preserve">[보완 포인트] </w:t>
      </w:r>
      <w:r>
        <w:rPr>
          <w:sz w:val="22"/>
          <w:szCs w:val="22"/>
        </w:rPr>
        <w:t xml:space="preserve">'참여권=변호인 고유권 침해→원칙 위법수집증거, 그러나 2024도19106의 예외(적법절차 실질 침해 여부·희석·단절)를 검토'라는 원칙-예외 2단 구성을 갖출 것.</w:t>
      </w:r>
    </w:p>
    <w:p>
      <w:pPr>
        <w:pStyle w:val="Heading2"/>
      </w:pPr>
      <w:r>
        <w:t xml:space="preserve">문제 6. 공동피고인의 증인적격 (10점)</w:t>
      </w:r>
    </w:p>
    <w:p>
      <w:pPr>
        <w:pStyle w:val="Heading3"/>
        <w:spacing w:after="80" w:before="220"/>
      </w:pPr>
      <w:r>
        <w:t xml:space="preserve">공범/비공범 공동피고인 증인적격 (10점)</w:t>
      </w:r>
      <w:r>
        <w:rPr>
          <w:b/>
          <w:bCs/>
          <w:color w:val="2E7D32"/>
          <w:sz w:val="20"/>
          <w:szCs w:val="20"/>
        </w:rPr>
        <w:t xml:space="preserve">   [평가: 상]</w:t>
      </w:r>
    </w:p>
    <w:p>
      <w:pPr>
        <w:spacing w:after="100"/>
      </w:pPr>
      <w:r>
        <w:rPr>
          <w:b/>
          <w:bCs/>
          <w:color w:val="000000"/>
          <w:sz w:val="22"/>
          <w:szCs w:val="22"/>
        </w:rPr>
        <w:t xml:space="preserve">[예상 원점수(추정)] </w:t>
      </w:r>
      <w:r>
        <w:rPr>
          <w:sz w:val="22"/>
          <w:szCs w:val="22"/>
        </w:rPr>
        <w:t xml:space="preserve">약 7~8 / 10점 — 핵심 축 정확, 증인신문 요건 상술만 보완</w:t>
      </w:r>
    </w:p>
    <w:p>
      <w:pPr>
        <w:spacing w:after="100"/>
      </w:pPr>
      <w:r>
        <w:rPr>
          <w:b/>
          <w:bCs/>
          <w:color w:val="1F3864"/>
          <w:sz w:val="22"/>
          <w:szCs w:val="22"/>
        </w:rPr>
        <w:t xml:space="preserve">[채기표 요구 · 모범 논거] </w:t>
      </w:r>
      <w:r>
        <w:rPr>
          <w:sz w:val="22"/>
          <w:szCs w:val="22"/>
        </w:rPr>
        <w:t xml:space="preserve">[공범인 공동피고인 6점] 특수(합동)절도 공범인 공동피고인은 당해 절차에서 피고인 지위라 다른 공동피고인 공소사실의 증인이 될 수 없으나, 변론을 분리하면 증인적격 인정(2023도7528). 절차: 증거채택(제294·295조, 법원 재량, 2013도12155)→변론분리→증인신문요건(진술거부권 고지·선서·교호신문). [비공범 공동피고인 4점] 절도범과 장물범은 서로 증인 지위에 있어 당연히 증인적격 인정, 증인신문절차로 진행(2005도7601).</w:t>
      </w:r>
    </w:p>
    <w:p>
      <w:pPr>
        <w:spacing w:after="100"/>
      </w:pPr>
      <w:r>
        <w:rPr>
          <w:b/>
          <w:bCs/>
          <w:color w:val="595959"/>
          <w:sz w:val="22"/>
          <w:szCs w:val="22"/>
        </w:rPr>
        <w:t xml:space="preserve">[내 답안 요지] </w:t>
      </w:r>
      <w:r>
        <w:rPr>
          <w:sz w:val="22"/>
          <w:szCs w:val="22"/>
        </w:rPr>
        <w:t xml:space="preserve">결론: 乙에 대해서는 증거로 채택할 수 없고, 丁에 대해서는 채택해야 함. 甲·乙은 특수절도 공범인 공동피고인 → 변론분리 없이는 甲이 乙에 대한 증인적격 없음(2023도7528 취지) → 증거채택 불가. 甲·丁은 장물취득죄 대향범(판례상 공범 아님) → 甲은 丁에 대해 제3자로 증인적격 있음(2005도7601 취지).</w:t>
      </w:r>
    </w:p>
    <w:p>
      <w:pPr>
        <w:spacing w:after="100"/>
      </w:pPr>
      <w:r>
        <w:rPr>
          <w:b/>
          <w:bCs/>
          <w:color w:val="2E7D32"/>
          <w:sz w:val="22"/>
          <w:szCs w:val="22"/>
        </w:rPr>
        <w:t xml:space="preserve">[득점 요소 ○] </w:t>
      </w:r>
      <w:r>
        <w:rPr>
          <w:sz w:val="22"/>
          <w:szCs w:val="22"/>
        </w:rPr>
        <w:t xml:space="preserve">공범/비공범 구별, 변론분리에 의한 증인적격, 대향범 비공범성이라는 핵심 축을 판례와 함께 정확히 처리. 결론도 채기표와 합치하는 고득점 항목.</w:t>
      </w:r>
    </w:p>
    <w:p>
      <w:pPr>
        <w:spacing w:after="100"/>
      </w:pPr>
      <w:r>
        <w:rPr>
          <w:b/>
          <w:bCs/>
          <w:color w:val="C00000"/>
          <w:sz w:val="22"/>
          <w:szCs w:val="22"/>
        </w:rPr>
        <w:t xml:space="preserve">[감점·누락·오류 ×] </w:t>
      </w:r>
      <w:r>
        <w:rPr>
          <w:sz w:val="22"/>
          <w:szCs w:val="22"/>
        </w:rPr>
        <w:t xml:space="preserve">증인신문 절차요건(진술거부권 고지·선서·교호신문)까지는 상술하지 않음(가점 여지). '선서 없는 증언은 증거능력 없음' 정도만 언급.</w:t>
      </w:r>
    </w:p>
    <w:p>
      <w:pPr>
        <w:spacing w:after="100"/>
      </w:pPr>
      <w:r>
        <w:rPr>
          <w:b/>
          <w:bCs/>
          <w:color w:val="B8860B"/>
          <w:sz w:val="22"/>
          <w:szCs w:val="22"/>
        </w:rPr>
        <w:t xml:space="preserve">[보완 포인트] </w:t>
      </w:r>
      <w:r>
        <w:rPr>
          <w:sz w:val="22"/>
          <w:szCs w:val="22"/>
        </w:rPr>
        <w:t xml:space="preserve">현행 유지. 변론분리 후 진술거부권 고지·선서 등 증인신문 요건 한 줄만 추가하면 완성.</w:t>
      </w:r>
    </w:p>
    <w:p>
      <w:pPr>
        <w:pStyle w:val="Heading2"/>
      </w:pPr>
      <w:r>
        <w:t xml:space="preserve">문제 7. 형사배상명령제도 (10점)</w:t>
      </w:r>
    </w:p>
    <w:p>
      <w:pPr>
        <w:pStyle w:val="Heading3"/>
        <w:spacing w:after="80" w:before="220"/>
      </w:pPr>
      <w:r>
        <w:t xml:space="preserve">배상명령 가부 (10점)</w:t>
      </w:r>
      <w:r>
        <w:rPr>
          <w:b/>
          <w:bCs/>
          <w:color w:val="C00000"/>
          <w:sz w:val="20"/>
          <w:szCs w:val="20"/>
        </w:rPr>
        <w:t xml:space="preserve">   [평가: 하 (미완성)]</w:t>
      </w:r>
    </w:p>
    <w:p>
      <w:pPr>
        <w:spacing w:after="100"/>
      </w:pPr>
      <w:r>
        <w:rPr>
          <w:b/>
          <w:bCs/>
          <w:color w:val="000000"/>
          <w:sz w:val="22"/>
          <w:szCs w:val="22"/>
        </w:rPr>
        <w:t xml:space="preserve">[예상 원점수(추정)] </w:t>
      </w:r>
      <w:r>
        <w:rPr>
          <w:sz w:val="22"/>
          <w:szCs w:val="22"/>
        </w:rPr>
        <w:t xml:space="preserve">약 2~3 / 10점 — 결론만 제시, 요건 미서술·문장 중단</w:t>
      </w:r>
    </w:p>
    <w:p>
      <w:pPr>
        <w:spacing w:after="100"/>
      </w:pPr>
      <w:r>
        <w:rPr>
          <w:b/>
          <w:bCs/>
          <w:color w:val="1F3864"/>
          <w:sz w:val="22"/>
          <w:szCs w:val="22"/>
        </w:rPr>
        <w:t xml:space="preserve">[채기표 요구 · 모범 논거] </w:t>
      </w:r>
      <w:r>
        <w:rPr>
          <w:sz w:val="22"/>
          <w:szCs w:val="22"/>
        </w:rPr>
        <w:t xml:space="preserve">[요건] 소촉법 제25조 이하 — 항소심 유죄판결 선고 시, 직권 또는 피해자·상속인의 신청, 직접적 물적 피해, 대상범죄(절도죄 등, 합동절도 포함), 피해금액 특정(피해자 성명·주소 분명, 배상범위 명백). [결론] 차량절도로 인한 직접적 물적 피해의 배상범위가 명백하면 피해자 B의 신청 또는 항소심의 직권으로 배상을 명할 수 있음.</w:t>
      </w:r>
    </w:p>
    <w:p>
      <w:pPr>
        <w:spacing w:after="100"/>
      </w:pPr>
      <w:r>
        <w:rPr>
          <w:b/>
          <w:bCs/>
          <w:color w:val="595959"/>
          <w:sz w:val="22"/>
          <w:szCs w:val="22"/>
        </w:rPr>
        <w:t xml:space="preserve">[내 답안 요지] </w:t>
      </w:r>
      <w:r>
        <w:rPr>
          <w:sz w:val="22"/>
          <w:szCs w:val="22"/>
        </w:rPr>
        <w:t xml:space="preserve">결론: 4,000만원 범위에서 손해배상을 명할 수 있음. 법원은 피해액 범위에서 배상을 명할 수 있고 피해가 발생하고 피해액 범위가… (문장이 미완성으로 중단됨).</w:t>
      </w:r>
    </w:p>
    <w:p>
      <w:pPr>
        <w:spacing w:after="100"/>
      </w:pPr>
      <w:r>
        <w:rPr>
          <w:b/>
          <w:bCs/>
          <w:color w:val="2E7D32"/>
          <w:sz w:val="22"/>
          <w:szCs w:val="22"/>
        </w:rPr>
        <w:t xml:space="preserve">[득점 요소 ○] </w:t>
      </w:r>
      <w:r>
        <w:rPr>
          <w:sz w:val="22"/>
          <w:szCs w:val="22"/>
        </w:rPr>
        <w:t xml:space="preserve">배상명령 가능·피해액 범위 배상이라는 결론 방향은 채기표와 일치.</w:t>
      </w:r>
    </w:p>
    <w:p>
      <w:pPr>
        <w:spacing w:after="100"/>
      </w:pPr>
      <w:r>
        <w:rPr>
          <w:b/>
          <w:bCs/>
          <w:color w:val="C00000"/>
          <w:sz w:val="22"/>
          <w:szCs w:val="22"/>
        </w:rPr>
        <w:t xml:space="preserve">[감점·누락·오류 ×] </w:t>
      </w:r>
      <w:r>
        <w:rPr>
          <w:sz w:val="22"/>
          <w:szCs w:val="22"/>
        </w:rPr>
        <w:t xml:space="preserve">소촉법 제25조 요건(항소심·유죄판결·직권/신청·직접적 물적 피해·대상범죄·피해금액 특정)을 거의 서술하지 못하고 문장이 중단됨(시간 부족 추정). 배점 10점 대비 논거 대부분 미확보.</w:t>
      </w:r>
    </w:p>
    <w:p>
      <w:pPr>
        <w:spacing w:after="100"/>
      </w:pPr>
      <w:r>
        <w:rPr>
          <w:b/>
          <w:bCs/>
          <w:color w:val="B8860B"/>
          <w:sz w:val="22"/>
          <w:szCs w:val="22"/>
        </w:rPr>
        <w:t xml:space="preserve">[보완 포인트] </w:t>
      </w:r>
      <w:r>
        <w:rPr>
          <w:sz w:val="22"/>
          <w:szCs w:val="22"/>
        </w:rPr>
        <w:t xml:space="preserve">실전 시간 배분 문제. 최소한 요건 열거(소촉법 제25조: 유죄·직접적 물적 피해·피해액 특정)만이라도 한 문장으로 압축해 결론과 함께 남길 것.</w:t>
      </w:r>
    </w:p>
    <w:p>
      <w:r>
        <w:br w:type="page"/>
      </w:r>
    </w:p>
    <w:p>
      <w:pPr>
        <w:pStyle w:val="Heading1"/>
      </w:pPr>
      <w:r>
        <w:t xml:space="preserve">Ⅲ. 오답·누락 학습 정리표 (채기표 대조)</w:t>
      </w:r>
    </w:p>
    <w:p>
      <w:pPr>
        <w:spacing w:after="100" w:before="0"/>
      </w:pPr>
      <w:r>
        <w:rPr>
          <w:i/>
          <w:iCs/>
          <w:color w:val="595959"/>
          <w:sz w:val="22"/>
          <w:szCs w:val="22"/>
        </w:rPr>
        <w:t xml:space="preserve">복습 우선순위 순으로, 채기표와 다른 부분만 압축했습니다. '정답 방향'은 전부 채점기준표에서 인용한 것입니다.</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150"/>
        <w:gridCol w:w="900"/>
        <w:gridCol w:w="2900"/>
        <w:gridCol w:w="3210"/>
        <w:gridCol w:w="1200"/>
      </w:tblGrid>
      <w:tr>
        <w:trPr>
          <w:tblHeader/>
        </w:trPr>
        <w:tc>
          <w:tcPr>
            <w:tcW w:type="dxa" w:w="1150"/>
            <w:shd w:fill="1F3864" w:val="clear"/>
            <w:tcMar>
              <w:top w:type="dxa" w:w="60"/>
              <w:left w:type="dxa" w:w="90"/>
              <w:bottom w:type="dxa" w:w="60"/>
              <w:right w:type="dxa" w:w="90"/>
            </w:tcMar>
            <w:vAlign w:val="center"/>
          </w:tcPr>
          <w:p>
            <w:pPr>
              <w:spacing w:after="0"/>
            </w:pPr>
            <w:r>
              <w:rPr>
                <w:b/>
                <w:bCs/>
                <w:color w:val="FFFFFF"/>
                <w:sz w:val="19"/>
                <w:szCs w:val="19"/>
              </w:rPr>
              <w:t xml:space="preserve">문항</w:t>
            </w:r>
          </w:p>
        </w:tc>
        <w:tc>
          <w:tcPr>
            <w:tcW w:type="dxa" w:w="900"/>
            <w:shd w:fill="1F3864" w:val="clear"/>
            <w:tcMar>
              <w:top w:type="dxa" w:w="60"/>
              <w:left w:type="dxa" w:w="90"/>
              <w:bottom w:type="dxa" w:w="60"/>
              <w:right w:type="dxa" w:w="90"/>
            </w:tcMar>
            <w:vAlign w:val="center"/>
          </w:tcPr>
          <w:p>
            <w:pPr>
              <w:spacing w:after="0"/>
            </w:pPr>
            <w:r>
              <w:rPr>
                <w:b/>
                <w:bCs/>
                <w:color w:val="FFFFFF"/>
                <w:sz w:val="19"/>
                <w:szCs w:val="19"/>
              </w:rPr>
              <w:t xml:space="preserve">구분</w:t>
            </w:r>
          </w:p>
        </w:tc>
        <w:tc>
          <w:tcPr>
            <w:tcW w:type="dxa" w:w="2900"/>
            <w:shd w:fill="1F3864" w:val="clear"/>
            <w:tcMar>
              <w:top w:type="dxa" w:w="60"/>
              <w:left w:type="dxa" w:w="90"/>
              <w:bottom w:type="dxa" w:w="60"/>
              <w:right w:type="dxa" w:w="90"/>
            </w:tcMar>
            <w:vAlign w:val="center"/>
          </w:tcPr>
          <w:p>
            <w:pPr>
              <w:spacing w:after="0"/>
            </w:pPr>
            <w:r>
              <w:rPr>
                <w:b/>
                <w:bCs/>
                <w:color w:val="FFFFFF"/>
                <w:sz w:val="19"/>
                <w:szCs w:val="19"/>
              </w:rPr>
              <w:t xml:space="preserve">내가 쓴 것 / 놓친 것</w:t>
            </w:r>
          </w:p>
        </w:tc>
        <w:tc>
          <w:tcPr>
            <w:tcW w:type="dxa" w:w="3210"/>
            <w:shd w:fill="1F3864" w:val="clear"/>
            <w:tcMar>
              <w:top w:type="dxa" w:w="60"/>
              <w:left w:type="dxa" w:w="90"/>
              <w:bottom w:type="dxa" w:w="60"/>
              <w:right w:type="dxa" w:w="90"/>
            </w:tcMar>
            <w:vAlign w:val="center"/>
          </w:tcPr>
          <w:p>
            <w:pPr>
              <w:spacing w:after="0"/>
            </w:pPr>
            <w:r>
              <w:rPr>
                <w:b/>
                <w:bCs/>
                <w:color w:val="FFFFFF"/>
                <w:sz w:val="19"/>
                <w:szCs w:val="19"/>
              </w:rPr>
              <w:t xml:space="preserve">채기표 정답 방향(판례)</w:t>
            </w:r>
          </w:p>
        </w:tc>
        <w:tc>
          <w:tcPr>
            <w:tcW w:type="dxa" w:w="1200"/>
            <w:shd w:fill="1F3864" w:val="clear"/>
            <w:tcMar>
              <w:top w:type="dxa" w:w="60"/>
              <w:left w:type="dxa" w:w="90"/>
              <w:bottom w:type="dxa" w:w="60"/>
              <w:right w:type="dxa" w:w="90"/>
            </w:tcMar>
            <w:vAlign w:val="center"/>
          </w:tcPr>
          <w:p>
            <w:pPr>
              <w:spacing w:after="0"/>
            </w:pPr>
            <w:r>
              <w:rPr>
                <w:b/>
                <w:bCs/>
                <w:color w:val="FFFFFF"/>
                <w:sz w:val="19"/>
                <w:szCs w:val="19"/>
              </w:rPr>
              <w:t xml:space="preserve">우선순위</w:t>
            </w:r>
          </w:p>
        </w:tc>
      </w:tr>
      <w:tr>
        <w:tc>
          <w:tcPr>
            <w:tcW w:type="dxa" w:w="1150"/>
            <w:tcMar>
              <w:top w:type="dxa" w:w="60"/>
              <w:left w:type="dxa" w:w="90"/>
              <w:bottom w:type="dxa" w:w="60"/>
              <w:right w:type="dxa" w:w="90"/>
            </w:tcMar>
            <w:vAlign w:val="center"/>
          </w:tcPr>
          <w:p>
            <w:pPr>
              <w:spacing w:after="0"/>
            </w:pPr>
            <w:r>
              <w:rPr>
                <w:sz w:val="18"/>
                <w:szCs w:val="18"/>
              </w:rPr>
              <w:t xml:space="preserve">1-①</w:t>
            </w:r>
          </w:p>
        </w:tc>
        <w:tc>
          <w:tcPr>
            <w:tcW w:type="dxa" w:w="900"/>
            <w:tcMar>
              <w:top w:type="dxa" w:w="60"/>
              <w:left w:type="dxa" w:w="90"/>
              <w:bottom w:type="dxa" w:w="60"/>
              <w:right w:type="dxa" w:w="90"/>
            </w:tcMar>
            <w:vAlign w:val="center"/>
          </w:tcPr>
          <w:p>
            <w:pPr>
              <w:spacing w:after="0"/>
            </w:pPr>
            <w:r>
              <w:rPr>
                <w:sz w:val="18"/>
                <w:szCs w:val="18"/>
              </w:rPr>
              <w:t xml:space="preserve">포섭 빗나감</w:t>
            </w:r>
          </w:p>
        </w:tc>
        <w:tc>
          <w:tcPr>
            <w:tcW w:type="dxa" w:w="2900"/>
            <w:tcMar>
              <w:top w:type="dxa" w:w="60"/>
              <w:left w:type="dxa" w:w="90"/>
              <w:bottom w:type="dxa" w:w="60"/>
              <w:right w:type="dxa" w:w="90"/>
            </w:tcMar>
            <w:vAlign w:val="center"/>
          </w:tcPr>
          <w:p>
            <w:pPr>
              <w:spacing w:after="0"/>
            </w:pPr>
            <w:r>
              <w:rPr>
                <w:sz w:val="18"/>
                <w:szCs w:val="18"/>
              </w:rPr>
              <w:t xml:space="preserve">'A 신체손상 발생 여부'를 논함</w:t>
            </w:r>
          </w:p>
        </w:tc>
        <w:tc>
          <w:tcPr>
            <w:tcW w:type="dxa" w:w="3210"/>
            <w:tcMar>
              <w:top w:type="dxa" w:w="60"/>
              <w:left w:type="dxa" w:w="90"/>
              <w:bottom w:type="dxa" w:w="60"/>
              <w:right w:type="dxa" w:w="90"/>
            </w:tcMar>
            <w:vAlign w:val="center"/>
          </w:tcPr>
          <w:p>
            <w:pPr>
              <w:spacing w:after="0"/>
            </w:pPr>
            <w:r>
              <w:rPr>
                <w:sz w:val="18"/>
                <w:szCs w:val="18"/>
              </w:rPr>
              <w:t xml:space="preserve">'모텔 이동=선행행위, 방치=부작위'가 축 (2002도995)</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150"/>
            <w:tcMar>
              <w:top w:type="dxa" w:w="60"/>
              <w:left w:type="dxa" w:w="90"/>
              <w:bottom w:type="dxa" w:w="60"/>
              <w:right w:type="dxa" w:w="90"/>
            </w:tcMar>
            <w:vAlign w:val="center"/>
          </w:tcPr>
          <w:p>
            <w:pPr>
              <w:spacing w:after="0"/>
            </w:pPr>
            <w:r>
              <w:rPr>
                <w:sz w:val="18"/>
                <w:szCs w:val="18"/>
              </w:rPr>
              <w:t xml:space="preserve">1-②</w:t>
            </w:r>
          </w:p>
        </w:tc>
        <w:tc>
          <w:tcPr>
            <w:tcW w:type="dxa" w:w="900"/>
            <w:tcMar>
              <w:top w:type="dxa" w:w="60"/>
              <w:left w:type="dxa" w:w="90"/>
              <w:bottom w:type="dxa" w:w="60"/>
              <w:right w:type="dxa" w:w="90"/>
            </w:tcMar>
            <w:vAlign w:val="center"/>
          </w:tcPr>
          <w:p>
            <w:pPr>
              <w:spacing w:after="0"/>
            </w:pPr>
            <w:r>
              <w:rPr>
                <w:sz w:val="18"/>
                <w:szCs w:val="18"/>
              </w:rPr>
              <w:t xml:space="preserve">논거 누락</w:t>
            </w:r>
          </w:p>
        </w:tc>
        <w:tc>
          <w:tcPr>
            <w:tcW w:type="dxa" w:w="2900"/>
            <w:tcMar>
              <w:top w:type="dxa" w:w="60"/>
              <w:left w:type="dxa" w:w="90"/>
              <w:bottom w:type="dxa" w:w="60"/>
              <w:right w:type="dxa" w:w="90"/>
            </w:tcMar>
            <w:vAlign w:val="center"/>
          </w:tcPr>
          <w:p>
            <w:pPr>
              <w:spacing w:after="0"/>
            </w:pPr>
            <w:r>
              <w:rPr>
                <w:sz w:val="18"/>
                <w:szCs w:val="18"/>
              </w:rPr>
              <w:t xml:space="preserve">'함께 술 마셔 조리상 의무'</w:t>
            </w:r>
          </w:p>
        </w:tc>
        <w:tc>
          <w:tcPr>
            <w:tcW w:type="dxa" w:w="3210"/>
            <w:tcMar>
              <w:top w:type="dxa" w:w="60"/>
              <w:left w:type="dxa" w:w="90"/>
              <w:bottom w:type="dxa" w:w="60"/>
              <w:right w:type="dxa" w:w="90"/>
            </w:tcMar>
            <w:vAlign w:val="center"/>
          </w:tcPr>
          <w:p>
            <w:pPr>
              <w:spacing w:after="0"/>
            </w:pPr>
            <w:r>
              <w:rPr>
                <w:sz w:val="18"/>
                <w:szCs w:val="18"/>
              </w:rPr>
              <w:t xml:space="preserve">'모텔 이동으로 구조가능성 차단'한 선행행위 (부산지법 2023노274)</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150"/>
            <w:tcMar>
              <w:top w:type="dxa" w:w="60"/>
              <w:left w:type="dxa" w:w="90"/>
              <w:bottom w:type="dxa" w:w="60"/>
              <w:right w:type="dxa" w:w="90"/>
            </w:tcMar>
            <w:vAlign w:val="center"/>
          </w:tcPr>
          <w:p>
            <w:pPr>
              <w:spacing w:after="0"/>
            </w:pPr>
            <w:r>
              <w:rPr>
                <w:sz w:val="18"/>
                <w:szCs w:val="18"/>
              </w:rPr>
              <w:t xml:space="preserve">1-2)②</w:t>
            </w:r>
          </w:p>
        </w:tc>
        <w:tc>
          <w:tcPr>
            <w:tcW w:type="dxa" w:w="900"/>
            <w:tcMar>
              <w:top w:type="dxa" w:w="60"/>
              <w:left w:type="dxa" w:w="90"/>
              <w:bottom w:type="dxa" w:w="60"/>
              <w:right w:type="dxa" w:w="90"/>
            </w:tcMar>
            <w:vAlign w:val="center"/>
          </w:tcPr>
          <w:p>
            <w:pPr>
              <w:spacing w:after="0"/>
            </w:pPr>
            <w:r>
              <w:rPr>
                <w:sz w:val="18"/>
                <w:szCs w:val="18"/>
              </w:rPr>
              <w:t xml:space="preserve">핵심 법리 누락</w:t>
            </w:r>
          </w:p>
        </w:tc>
        <w:tc>
          <w:tcPr>
            <w:tcW w:type="dxa" w:w="2900"/>
            <w:tcMar>
              <w:top w:type="dxa" w:w="60"/>
              <w:left w:type="dxa" w:w="90"/>
              <w:bottom w:type="dxa" w:w="60"/>
              <w:right w:type="dxa" w:w="90"/>
            </w:tcMar>
            <w:vAlign w:val="center"/>
          </w:tcPr>
          <w:p>
            <w:pPr>
              <w:spacing w:after="0"/>
            </w:pPr>
            <w:r>
              <w:rPr>
                <w:sz w:val="18"/>
                <w:szCs w:val="18"/>
              </w:rPr>
              <w:t xml:space="preserve">일반 상당인과관계로만 처리</w:t>
            </w:r>
          </w:p>
        </w:tc>
        <w:tc>
          <w:tcPr>
            <w:tcW w:type="dxa" w:w="3210"/>
            <w:tcMar>
              <w:top w:type="dxa" w:w="60"/>
              <w:left w:type="dxa" w:w="90"/>
              <w:bottom w:type="dxa" w:w="60"/>
              <w:right w:type="dxa" w:w="90"/>
            </w:tcMar>
            <w:vAlign w:val="center"/>
          </w:tcPr>
          <w:p>
            <w:pPr>
              <w:spacing w:after="0"/>
            </w:pPr>
            <w:r>
              <w:rPr>
                <w:sz w:val="18"/>
                <w:szCs w:val="18"/>
              </w:rPr>
              <w:t xml:space="preserve">적법한 대체행위 법리(회피가능성) 필수 (90도2856)</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150"/>
            <w:tcMar>
              <w:top w:type="dxa" w:w="60"/>
              <w:left w:type="dxa" w:w="90"/>
              <w:bottom w:type="dxa" w:w="60"/>
              <w:right w:type="dxa" w:w="90"/>
            </w:tcMar>
            <w:vAlign w:val="center"/>
          </w:tcPr>
          <w:p>
            <w:pPr>
              <w:spacing w:after="0"/>
            </w:pPr>
            <w:r>
              <w:rPr>
                <w:sz w:val="18"/>
                <w:szCs w:val="18"/>
              </w:rPr>
              <w:t xml:space="preserve">1-3)</w:t>
            </w:r>
          </w:p>
        </w:tc>
        <w:tc>
          <w:tcPr>
            <w:tcW w:type="dxa" w:w="900"/>
            <w:tcMar>
              <w:top w:type="dxa" w:w="60"/>
              <w:left w:type="dxa" w:w="90"/>
              <w:bottom w:type="dxa" w:w="60"/>
              <w:right w:type="dxa" w:w="90"/>
            </w:tcMar>
            <w:vAlign w:val="center"/>
          </w:tcPr>
          <w:p>
            <w:pPr>
              <w:spacing w:after="0"/>
            </w:pPr>
            <w:r>
              <w:rPr>
                <w:sz w:val="18"/>
                <w:szCs w:val="18"/>
              </w:rPr>
              <w:t xml:space="preserve">최신판례 누락</w:t>
            </w:r>
          </w:p>
        </w:tc>
        <w:tc>
          <w:tcPr>
            <w:tcW w:type="dxa" w:w="2900"/>
            <w:tcMar>
              <w:top w:type="dxa" w:w="60"/>
              <w:left w:type="dxa" w:w="90"/>
              <w:bottom w:type="dxa" w:w="60"/>
              <w:right w:type="dxa" w:w="90"/>
            </w:tcMar>
            <w:vAlign w:val="center"/>
          </w:tcPr>
          <w:p>
            <w:pPr>
              <w:spacing w:after="0"/>
            </w:pPr>
            <w:r>
              <w:rPr>
                <w:sz w:val="18"/>
                <w:szCs w:val="18"/>
              </w:rPr>
              <w:t xml:space="preserve">전통 행위지배론으로 결론</w:t>
            </w:r>
          </w:p>
        </w:tc>
        <w:tc>
          <w:tcPr>
            <w:tcW w:type="dxa" w:w="3210"/>
            <w:tcMar>
              <w:top w:type="dxa" w:w="60"/>
              <w:left w:type="dxa" w:w="90"/>
              <w:bottom w:type="dxa" w:w="60"/>
              <w:right w:type="dxa" w:w="90"/>
            </w:tcMar>
            <w:vAlign w:val="center"/>
          </w:tcPr>
          <w:p>
            <w:pPr>
              <w:spacing w:after="0"/>
            </w:pPr>
            <w:r>
              <w:rPr>
                <w:sz w:val="18"/>
                <w:szCs w:val="18"/>
              </w:rPr>
              <w:t xml:space="preserve">과실범 공동정범 요건강화 '주의의무위반 공동인식' (2024도1856)</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150"/>
            <w:tcMar>
              <w:top w:type="dxa" w:w="60"/>
              <w:left w:type="dxa" w:w="90"/>
              <w:bottom w:type="dxa" w:w="60"/>
              <w:right w:type="dxa" w:w="90"/>
            </w:tcMar>
            <w:vAlign w:val="center"/>
          </w:tcPr>
          <w:p>
            <w:pPr>
              <w:spacing w:after="0"/>
            </w:pPr>
            <w:r>
              <w:rPr>
                <w:sz w:val="18"/>
                <w:szCs w:val="18"/>
              </w:rPr>
              <w:t xml:space="preserve">2-1)</w:t>
            </w:r>
          </w:p>
        </w:tc>
        <w:tc>
          <w:tcPr>
            <w:tcW w:type="dxa" w:w="900"/>
            <w:tcMar>
              <w:top w:type="dxa" w:w="60"/>
              <w:left w:type="dxa" w:w="90"/>
              <w:bottom w:type="dxa" w:w="60"/>
              <w:right w:type="dxa" w:w="90"/>
            </w:tcMar>
            <w:vAlign w:val="center"/>
          </w:tcPr>
          <w:p>
            <w:pPr>
              <w:spacing w:after="0"/>
            </w:pPr>
            <w:r>
              <w:rPr>
                <w:sz w:val="18"/>
                <w:szCs w:val="18"/>
              </w:rPr>
              <w:t xml:space="preserve">판례·논거 어긋남</w:t>
            </w:r>
          </w:p>
        </w:tc>
        <w:tc>
          <w:tcPr>
            <w:tcW w:type="dxa" w:w="2900"/>
            <w:tcMar>
              <w:top w:type="dxa" w:w="60"/>
              <w:left w:type="dxa" w:w="90"/>
              <w:bottom w:type="dxa" w:w="60"/>
              <w:right w:type="dxa" w:w="90"/>
            </w:tcMar>
            <w:vAlign w:val="center"/>
          </w:tcPr>
          <w:p>
            <w:pPr>
              <w:spacing w:after="0"/>
            </w:pPr>
            <w:r>
              <w:rPr>
                <w:sz w:val="18"/>
                <w:szCs w:val="18"/>
              </w:rPr>
              <w:t xml:space="preserve">'대향범이면 무죄'로 결론</w:t>
            </w:r>
          </w:p>
        </w:tc>
        <w:tc>
          <w:tcPr>
            <w:tcW w:type="dxa" w:w="3210"/>
            <w:tcMar>
              <w:top w:type="dxa" w:w="60"/>
              <w:left w:type="dxa" w:w="90"/>
              <w:bottom w:type="dxa" w:w="60"/>
              <w:right w:type="dxa" w:w="90"/>
            </w:tcMar>
            <w:vAlign w:val="center"/>
          </w:tcPr>
          <w:p>
            <w:pPr>
              <w:spacing w:after="0"/>
            </w:pPr>
            <w:r>
              <w:rPr>
                <w:sz w:val="18"/>
                <w:szCs w:val="18"/>
              </w:rPr>
              <w:t xml:space="preserve">단독범의 대향범적 실현→공범규정 적용→방조 성립 (2020도7866)</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150"/>
            <w:tcMar>
              <w:top w:type="dxa" w:w="60"/>
              <w:left w:type="dxa" w:w="90"/>
              <w:bottom w:type="dxa" w:w="60"/>
              <w:right w:type="dxa" w:w="90"/>
            </w:tcMar>
            <w:vAlign w:val="center"/>
          </w:tcPr>
          <w:p>
            <w:pPr>
              <w:spacing w:after="0"/>
            </w:pPr>
            <w:r>
              <w:rPr>
                <w:sz w:val="18"/>
                <w:szCs w:val="18"/>
              </w:rPr>
              <w:t xml:space="preserve">2-2)</w:t>
            </w:r>
          </w:p>
        </w:tc>
        <w:tc>
          <w:tcPr>
            <w:tcW w:type="dxa" w:w="900"/>
            <w:tcMar>
              <w:top w:type="dxa" w:w="60"/>
              <w:left w:type="dxa" w:w="90"/>
              <w:bottom w:type="dxa" w:w="60"/>
              <w:right w:type="dxa" w:w="90"/>
            </w:tcMar>
            <w:vAlign w:val="center"/>
          </w:tcPr>
          <w:p>
            <w:pPr>
              <w:spacing w:after="0"/>
            </w:pPr>
            <w:r>
              <w:rPr>
                <w:sz w:val="18"/>
                <w:szCs w:val="18"/>
              </w:rPr>
              <w:t xml:space="preserve">결론 배치 소지</w:t>
            </w:r>
          </w:p>
        </w:tc>
        <w:tc>
          <w:tcPr>
            <w:tcW w:type="dxa" w:w="2900"/>
            <w:tcMar>
              <w:top w:type="dxa" w:w="60"/>
              <w:left w:type="dxa" w:w="90"/>
              <w:bottom w:type="dxa" w:w="60"/>
              <w:right w:type="dxa" w:w="90"/>
            </w:tcMar>
            <w:vAlign w:val="center"/>
          </w:tcPr>
          <w:p>
            <w:pPr>
              <w:spacing w:after="0"/>
            </w:pPr>
            <w:r>
              <w:rPr>
                <w:sz w:val="18"/>
                <w:szCs w:val="18"/>
              </w:rPr>
              <w:t xml:space="preserve">'ㄷ죄만 파기'</w:t>
            </w:r>
          </w:p>
        </w:tc>
        <w:tc>
          <w:tcPr>
            <w:tcW w:type="dxa" w:w="3210"/>
            <w:tcMar>
              <w:top w:type="dxa" w:w="60"/>
              <w:left w:type="dxa" w:w="90"/>
              <w:bottom w:type="dxa" w:w="60"/>
              <w:right w:type="dxa" w:w="90"/>
            </w:tcMar>
            <w:vAlign w:val="center"/>
          </w:tcPr>
          <w:p>
            <w:pPr>
              <w:spacing w:after="0"/>
            </w:pPr>
            <w:r>
              <w:rPr>
                <w:sz w:val="18"/>
                <w:szCs w:val="18"/>
              </w:rPr>
              <w:t xml:space="preserve">하나의 형 관계면 유죄부분도 함께 파기 (2005도7473) ※지문대조</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150"/>
            <w:tcMar>
              <w:top w:type="dxa" w:w="60"/>
              <w:left w:type="dxa" w:w="90"/>
              <w:bottom w:type="dxa" w:w="60"/>
              <w:right w:type="dxa" w:w="90"/>
            </w:tcMar>
            <w:vAlign w:val="center"/>
          </w:tcPr>
          <w:p>
            <w:pPr>
              <w:spacing w:after="0"/>
            </w:pPr>
            <w:r>
              <w:rPr>
                <w:sz w:val="18"/>
                <w:szCs w:val="18"/>
              </w:rPr>
              <w:t xml:space="preserve">S2-문1</w:t>
            </w:r>
          </w:p>
        </w:tc>
        <w:tc>
          <w:tcPr>
            <w:tcW w:type="dxa" w:w="900"/>
            <w:tcMar>
              <w:top w:type="dxa" w:w="60"/>
              <w:left w:type="dxa" w:w="90"/>
              <w:bottom w:type="dxa" w:w="60"/>
              <w:right w:type="dxa" w:w="90"/>
            </w:tcMar>
            <w:vAlign w:val="center"/>
          </w:tcPr>
          <w:p>
            <w:pPr>
              <w:spacing w:after="0"/>
            </w:pPr>
            <w:r>
              <w:rPr>
                <w:sz w:val="18"/>
                <w:szCs w:val="18"/>
              </w:rPr>
              <w:t xml:space="preserve">죄명·사실 오해</w:t>
            </w:r>
          </w:p>
        </w:tc>
        <w:tc>
          <w:tcPr>
            <w:tcW w:type="dxa" w:w="2900"/>
            <w:tcMar>
              <w:top w:type="dxa" w:w="60"/>
              <w:left w:type="dxa" w:w="90"/>
              <w:bottom w:type="dxa" w:w="60"/>
              <w:right w:type="dxa" w:w="90"/>
            </w:tcMar>
            <w:vAlign w:val="center"/>
          </w:tcPr>
          <w:p>
            <w:pPr>
              <w:spacing w:after="0"/>
            </w:pPr>
            <w:r>
              <w:rPr>
                <w:sz w:val="18"/>
                <w:szCs w:val="18"/>
              </w:rPr>
              <w:t xml:space="preserve">甲=증뢰, 乙=변호사법, '부부'</w:t>
            </w:r>
          </w:p>
        </w:tc>
        <w:tc>
          <w:tcPr>
            <w:tcW w:type="dxa" w:w="3210"/>
            <w:tcMar>
              <w:top w:type="dxa" w:w="60"/>
              <w:left w:type="dxa" w:w="90"/>
              <w:bottom w:type="dxa" w:w="60"/>
              <w:right w:type="dxa" w:w="90"/>
            </w:tcMar>
            <w:vAlign w:val="center"/>
          </w:tcPr>
          <w:p>
            <w:pPr>
              <w:spacing w:after="0"/>
            </w:pPr>
            <w:r>
              <w:rPr>
                <w:sz w:val="18"/>
                <w:szCs w:val="18"/>
              </w:rPr>
              <w:t xml:space="preserve">甲=수뢰(고의결여 불성립)/乙=수뢰·뇌물공여 교사범(§33·§31)/丙=뇌물공여</w:t>
            </w:r>
          </w:p>
        </w:tc>
        <w:tc>
          <w:tcPr>
            <w:tcW w:type="dxa" w:w="1200"/>
            <w:tcMar>
              <w:top w:type="dxa" w:w="60"/>
              <w:left w:type="dxa" w:w="90"/>
              <w:bottom w:type="dxa" w:w="60"/>
              <w:right w:type="dxa" w:w="90"/>
            </w:tcMar>
            <w:vAlign w:val="center"/>
          </w:tcPr>
          <w:p>
            <w:pPr>
              <w:spacing w:after="0"/>
            </w:pPr>
            <w:r>
              <w:rPr>
                <w:sz w:val="18"/>
                <w:szCs w:val="18"/>
              </w:rPr>
              <w:t xml:space="preserve">최우선</w:t>
            </w:r>
          </w:p>
        </w:tc>
      </w:tr>
      <w:tr>
        <w:tc>
          <w:tcPr>
            <w:tcW w:type="dxa" w:w="1150"/>
            <w:tcMar>
              <w:top w:type="dxa" w:w="60"/>
              <w:left w:type="dxa" w:w="90"/>
              <w:bottom w:type="dxa" w:w="60"/>
              <w:right w:type="dxa" w:w="90"/>
            </w:tcMar>
            <w:vAlign w:val="center"/>
          </w:tcPr>
          <w:p>
            <w:pPr>
              <w:spacing w:after="0"/>
            </w:pPr>
            <w:r>
              <w:rPr>
                <w:sz w:val="18"/>
                <w:szCs w:val="18"/>
              </w:rPr>
              <w:t xml:space="preserve">S2-문2</w:t>
            </w:r>
          </w:p>
        </w:tc>
        <w:tc>
          <w:tcPr>
            <w:tcW w:type="dxa" w:w="900"/>
            <w:tcMar>
              <w:top w:type="dxa" w:w="60"/>
              <w:left w:type="dxa" w:w="90"/>
              <w:bottom w:type="dxa" w:w="60"/>
              <w:right w:type="dxa" w:w="90"/>
            </w:tcMar>
            <w:vAlign w:val="center"/>
          </w:tcPr>
          <w:p>
            <w:pPr>
              <w:spacing w:after="0"/>
            </w:pPr>
            <w:r>
              <w:rPr>
                <w:sz w:val="18"/>
                <w:szCs w:val="18"/>
              </w:rPr>
              <w:t xml:space="preserve">핵심 쟁점 누락</w:t>
            </w:r>
          </w:p>
        </w:tc>
        <w:tc>
          <w:tcPr>
            <w:tcW w:type="dxa" w:w="2900"/>
            <w:tcMar>
              <w:top w:type="dxa" w:w="60"/>
              <w:left w:type="dxa" w:w="90"/>
              <w:bottom w:type="dxa" w:w="60"/>
              <w:right w:type="dxa" w:w="90"/>
            </w:tcMar>
            <w:vAlign w:val="center"/>
          </w:tcPr>
          <w:p>
            <w:pPr>
              <w:spacing w:after="0"/>
            </w:pPr>
            <w:r>
              <w:rPr>
                <w:sz w:val="18"/>
                <w:szCs w:val="18"/>
              </w:rPr>
              <w:t xml:space="preserve">컴사기죄 미검토, '절도죄' 추가</w:t>
            </w:r>
          </w:p>
        </w:tc>
        <w:tc>
          <w:tcPr>
            <w:tcW w:type="dxa" w:w="3210"/>
            <w:tcMar>
              <w:top w:type="dxa" w:w="60"/>
              <w:left w:type="dxa" w:w="90"/>
              <w:bottom w:type="dxa" w:w="60"/>
              <w:right w:type="dxa" w:w="90"/>
            </w:tcMar>
            <w:vAlign w:val="center"/>
          </w:tcPr>
          <w:p>
            <w:pPr>
              <w:spacing w:after="0"/>
            </w:pPr>
            <w:r>
              <w:rPr>
                <w:sz w:val="18"/>
                <w:szCs w:val="18"/>
              </w:rPr>
              <w:t xml:space="preserve">乙카드 무단사용=컴퓨터등사용사기죄 (2024도19846), 여전법과 실체적경합(96도1181)</w:t>
            </w:r>
          </w:p>
        </w:tc>
        <w:tc>
          <w:tcPr>
            <w:tcW w:type="dxa" w:w="1200"/>
            <w:tcMar>
              <w:top w:type="dxa" w:w="60"/>
              <w:left w:type="dxa" w:w="90"/>
              <w:bottom w:type="dxa" w:w="60"/>
              <w:right w:type="dxa" w:w="90"/>
            </w:tcMar>
            <w:vAlign w:val="center"/>
          </w:tcPr>
          <w:p>
            <w:pPr>
              <w:spacing w:after="0"/>
            </w:pPr>
            <w:r>
              <w:rPr>
                <w:sz w:val="18"/>
                <w:szCs w:val="18"/>
              </w:rPr>
              <w:t xml:space="preserve">최우선</w:t>
            </w:r>
          </w:p>
        </w:tc>
      </w:tr>
      <w:tr>
        <w:tc>
          <w:tcPr>
            <w:tcW w:type="dxa" w:w="1150"/>
            <w:tcMar>
              <w:top w:type="dxa" w:w="60"/>
              <w:left w:type="dxa" w:w="90"/>
              <w:bottom w:type="dxa" w:w="60"/>
              <w:right w:type="dxa" w:w="90"/>
            </w:tcMar>
            <w:vAlign w:val="center"/>
          </w:tcPr>
          <w:p>
            <w:pPr>
              <w:spacing w:after="0"/>
            </w:pPr>
            <w:r>
              <w:rPr>
                <w:sz w:val="18"/>
                <w:szCs w:val="18"/>
              </w:rPr>
              <w:t xml:space="preserve">S2-문3</w:t>
            </w:r>
          </w:p>
        </w:tc>
        <w:tc>
          <w:tcPr>
            <w:tcW w:type="dxa" w:w="900"/>
            <w:tcMar>
              <w:top w:type="dxa" w:w="60"/>
              <w:left w:type="dxa" w:w="90"/>
              <w:bottom w:type="dxa" w:w="60"/>
              <w:right w:type="dxa" w:w="90"/>
            </w:tcMar>
            <w:vAlign w:val="center"/>
          </w:tcPr>
          <w:p>
            <w:pPr>
              <w:spacing w:after="0"/>
            </w:pPr>
            <w:r>
              <w:rPr>
                <w:sz w:val="18"/>
                <w:szCs w:val="18"/>
              </w:rPr>
              <w:t xml:space="preserve">죄수 오류·누락</w:t>
            </w:r>
          </w:p>
        </w:tc>
        <w:tc>
          <w:tcPr>
            <w:tcW w:type="dxa" w:w="2900"/>
            <w:tcMar>
              <w:top w:type="dxa" w:w="60"/>
              <w:left w:type="dxa" w:w="90"/>
              <w:bottom w:type="dxa" w:w="60"/>
              <w:right w:type="dxa" w:w="90"/>
            </w:tcMar>
            <w:vAlign w:val="center"/>
          </w:tcPr>
          <w:p>
            <w:pPr>
              <w:spacing w:after="0"/>
            </w:pPr>
            <w:r>
              <w:rPr>
                <w:sz w:val="18"/>
                <w:szCs w:val="18"/>
              </w:rPr>
              <w:t xml:space="preserve">매각=불가벌사후행위, 손괴=절도에 흡수</w:t>
            </w:r>
          </w:p>
        </w:tc>
        <w:tc>
          <w:tcPr>
            <w:tcW w:type="dxa" w:w="3210"/>
            <w:tcMar>
              <w:top w:type="dxa" w:w="60"/>
              <w:left w:type="dxa" w:w="90"/>
              <w:bottom w:type="dxa" w:w="60"/>
              <w:right w:type="dxa" w:w="90"/>
            </w:tcMar>
            <w:vAlign w:val="center"/>
          </w:tcPr>
          <w:p>
            <w:pPr>
              <w:spacing w:after="0"/>
            </w:pPr>
            <w:r>
              <w:rPr>
                <w:sz w:val="18"/>
                <w:szCs w:val="18"/>
              </w:rPr>
              <w:t xml:space="preserve">매각=사기(장애)미수 / 손괴=실체적경합(불가벌수반행위 아님, 2012도1895)</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150"/>
            <w:tcMar>
              <w:top w:type="dxa" w:w="60"/>
              <w:left w:type="dxa" w:w="90"/>
              <w:bottom w:type="dxa" w:w="60"/>
              <w:right w:type="dxa" w:w="90"/>
            </w:tcMar>
            <w:vAlign w:val="center"/>
          </w:tcPr>
          <w:p>
            <w:pPr>
              <w:spacing w:after="0"/>
            </w:pPr>
            <w:r>
              <w:rPr>
                <w:sz w:val="18"/>
                <w:szCs w:val="18"/>
              </w:rPr>
              <w:t xml:space="preserve">S2-문4</w:t>
            </w:r>
          </w:p>
        </w:tc>
        <w:tc>
          <w:tcPr>
            <w:tcW w:type="dxa" w:w="900"/>
            <w:tcMar>
              <w:top w:type="dxa" w:w="60"/>
              <w:left w:type="dxa" w:w="90"/>
              <w:bottom w:type="dxa" w:w="60"/>
              <w:right w:type="dxa" w:w="90"/>
            </w:tcMar>
            <w:vAlign w:val="center"/>
          </w:tcPr>
          <w:p>
            <w:pPr>
              <w:spacing w:after="0"/>
            </w:pPr>
            <w:r>
              <w:rPr>
                <w:sz w:val="18"/>
                <w:szCs w:val="18"/>
              </w:rPr>
              <w:t xml:space="preserve">분석 뭉뚱그림</w:t>
            </w:r>
          </w:p>
        </w:tc>
        <w:tc>
          <w:tcPr>
            <w:tcW w:type="dxa" w:w="2900"/>
            <w:tcMar>
              <w:top w:type="dxa" w:w="60"/>
              <w:left w:type="dxa" w:w="90"/>
              <w:bottom w:type="dxa" w:w="60"/>
              <w:right w:type="dxa" w:w="90"/>
            </w:tcMar>
            <w:vAlign w:val="center"/>
          </w:tcPr>
          <w:p>
            <w:pPr>
              <w:spacing w:after="0"/>
            </w:pPr>
            <w:r>
              <w:rPr>
                <w:sz w:val="18"/>
                <w:szCs w:val="18"/>
              </w:rPr>
              <w:t xml:space="preserve">전부 동일성 인정→일괄 허가</w:t>
            </w:r>
          </w:p>
        </w:tc>
        <w:tc>
          <w:tcPr>
            <w:tcW w:type="dxa" w:w="3210"/>
            <w:tcMar>
              <w:top w:type="dxa" w:w="60"/>
              <w:left w:type="dxa" w:w="90"/>
              <w:bottom w:type="dxa" w:w="60"/>
              <w:right w:type="dxa" w:w="90"/>
            </w:tcMar>
            <w:vAlign w:val="center"/>
          </w:tcPr>
          <w:p>
            <w:pPr>
              <w:spacing w:after="0"/>
            </w:pPr>
            <w:r>
              <w:rPr>
                <w:sz w:val="18"/>
                <w:szCs w:val="18"/>
              </w:rPr>
              <w:t xml:space="preserve">여전법=포괄일죄 허가 / 컴사기=동일성 곤란, 이원 판단 (2025도903)</w:t>
            </w:r>
          </w:p>
        </w:tc>
        <w:tc>
          <w:tcPr>
            <w:tcW w:type="dxa" w:w="1200"/>
            <w:tcMar>
              <w:top w:type="dxa" w:w="60"/>
              <w:left w:type="dxa" w:w="90"/>
              <w:bottom w:type="dxa" w:w="60"/>
              <w:right w:type="dxa" w:w="90"/>
            </w:tcMar>
            <w:vAlign w:val="center"/>
          </w:tcPr>
          <w:p>
            <w:pPr>
              <w:spacing w:after="0"/>
            </w:pPr>
            <w:r>
              <w:rPr>
                <w:sz w:val="18"/>
                <w:szCs w:val="18"/>
              </w:rPr>
              <w:t xml:space="preserve">중</w:t>
            </w:r>
          </w:p>
        </w:tc>
      </w:tr>
      <w:tr>
        <w:tc>
          <w:tcPr>
            <w:tcW w:type="dxa" w:w="1150"/>
            <w:tcMar>
              <w:top w:type="dxa" w:w="60"/>
              <w:left w:type="dxa" w:w="90"/>
              <w:bottom w:type="dxa" w:w="60"/>
              <w:right w:type="dxa" w:w="90"/>
            </w:tcMar>
            <w:vAlign w:val="center"/>
          </w:tcPr>
          <w:p>
            <w:pPr>
              <w:spacing w:after="0"/>
            </w:pPr>
            <w:r>
              <w:rPr>
                <w:sz w:val="18"/>
                <w:szCs w:val="18"/>
              </w:rPr>
              <w:t xml:space="preserve">S2-문5</w:t>
            </w:r>
          </w:p>
        </w:tc>
        <w:tc>
          <w:tcPr>
            <w:tcW w:type="dxa" w:w="900"/>
            <w:tcMar>
              <w:top w:type="dxa" w:w="60"/>
              <w:left w:type="dxa" w:w="90"/>
              <w:bottom w:type="dxa" w:w="60"/>
              <w:right w:type="dxa" w:w="90"/>
            </w:tcMar>
            <w:vAlign w:val="center"/>
          </w:tcPr>
          <w:p>
            <w:pPr>
              <w:spacing w:after="0"/>
            </w:pPr>
            <w:r>
              <w:rPr>
                <w:sz w:val="18"/>
                <w:szCs w:val="18"/>
              </w:rPr>
              <w:t xml:space="preserve">예외 법리 누락</w:t>
            </w:r>
          </w:p>
        </w:tc>
        <w:tc>
          <w:tcPr>
            <w:tcW w:type="dxa" w:w="2900"/>
            <w:tcMar>
              <w:top w:type="dxa" w:w="60"/>
              <w:left w:type="dxa" w:w="90"/>
              <w:bottom w:type="dxa" w:w="60"/>
              <w:right w:type="dxa" w:w="90"/>
            </w:tcMar>
            <w:vAlign w:val="center"/>
          </w:tcPr>
          <w:p>
            <w:pPr>
              <w:spacing w:after="0"/>
            </w:pPr>
            <w:r>
              <w:rPr>
                <w:sz w:val="18"/>
                <w:szCs w:val="18"/>
              </w:rPr>
              <w:t xml:space="preserve">위법→증거능력 없음 단정</w:t>
            </w:r>
          </w:p>
        </w:tc>
        <w:tc>
          <w:tcPr>
            <w:tcW w:type="dxa" w:w="3210"/>
            <w:tcMar>
              <w:top w:type="dxa" w:w="60"/>
              <w:left w:type="dxa" w:w="90"/>
              <w:bottom w:type="dxa" w:w="60"/>
              <w:right w:type="dxa" w:w="90"/>
            </w:tcMar>
            <w:vAlign w:val="center"/>
          </w:tcPr>
          <w:p>
            <w:pPr>
              <w:spacing w:after="0"/>
            </w:pPr>
            <w:r>
              <w:rPr>
                <w:sz w:val="18"/>
                <w:szCs w:val="18"/>
              </w:rPr>
              <w:t xml:space="preserve">고유권 침해 원칙+예외(적법절차 실질침해·희석단절 시 사용가능, 2024도19106)</w:t>
            </w:r>
          </w:p>
        </w:tc>
        <w:tc>
          <w:tcPr>
            <w:tcW w:type="dxa" w:w="1200"/>
            <w:tcMar>
              <w:top w:type="dxa" w:w="60"/>
              <w:left w:type="dxa" w:w="90"/>
              <w:bottom w:type="dxa" w:w="60"/>
              <w:right w:type="dxa" w:w="90"/>
            </w:tcMar>
            <w:vAlign w:val="center"/>
          </w:tcPr>
          <w:p>
            <w:pPr>
              <w:spacing w:after="0"/>
            </w:pPr>
            <w:r>
              <w:rPr>
                <w:sz w:val="18"/>
                <w:szCs w:val="18"/>
              </w:rPr>
              <w:t xml:space="preserve">높음</w:t>
            </w:r>
          </w:p>
        </w:tc>
      </w:tr>
      <w:tr>
        <w:tc>
          <w:tcPr>
            <w:tcW w:type="dxa" w:w="1150"/>
            <w:tcMar>
              <w:top w:type="dxa" w:w="60"/>
              <w:left w:type="dxa" w:w="90"/>
              <w:bottom w:type="dxa" w:w="60"/>
              <w:right w:type="dxa" w:w="90"/>
            </w:tcMar>
            <w:vAlign w:val="center"/>
          </w:tcPr>
          <w:p>
            <w:pPr>
              <w:spacing w:after="0"/>
            </w:pPr>
            <w:r>
              <w:rPr>
                <w:sz w:val="18"/>
                <w:szCs w:val="18"/>
              </w:rPr>
              <w:t xml:space="preserve">S2-문7</w:t>
            </w:r>
          </w:p>
        </w:tc>
        <w:tc>
          <w:tcPr>
            <w:tcW w:type="dxa" w:w="900"/>
            <w:tcMar>
              <w:top w:type="dxa" w:w="60"/>
              <w:left w:type="dxa" w:w="90"/>
              <w:bottom w:type="dxa" w:w="60"/>
              <w:right w:type="dxa" w:w="90"/>
            </w:tcMar>
            <w:vAlign w:val="center"/>
          </w:tcPr>
          <w:p>
            <w:pPr>
              <w:spacing w:after="0"/>
            </w:pPr>
            <w:r>
              <w:rPr>
                <w:sz w:val="18"/>
                <w:szCs w:val="18"/>
              </w:rPr>
              <w:t xml:space="preserve">요건 미서술</w:t>
            </w:r>
          </w:p>
        </w:tc>
        <w:tc>
          <w:tcPr>
            <w:tcW w:type="dxa" w:w="2900"/>
            <w:tcMar>
              <w:top w:type="dxa" w:w="60"/>
              <w:left w:type="dxa" w:w="90"/>
              <w:bottom w:type="dxa" w:w="60"/>
              <w:right w:type="dxa" w:w="90"/>
            </w:tcMar>
            <w:vAlign w:val="center"/>
          </w:tcPr>
          <w:p>
            <w:pPr>
              <w:spacing w:after="0"/>
            </w:pPr>
            <w:r>
              <w:rPr>
                <w:sz w:val="18"/>
                <w:szCs w:val="18"/>
              </w:rPr>
              <w:t xml:space="preserve">문장 미완성</w:t>
            </w:r>
          </w:p>
        </w:tc>
        <w:tc>
          <w:tcPr>
            <w:tcW w:type="dxa" w:w="3210"/>
            <w:tcMar>
              <w:top w:type="dxa" w:w="60"/>
              <w:left w:type="dxa" w:w="90"/>
              <w:bottom w:type="dxa" w:w="60"/>
              <w:right w:type="dxa" w:w="90"/>
            </w:tcMar>
            <w:vAlign w:val="center"/>
          </w:tcPr>
          <w:p>
            <w:pPr>
              <w:spacing w:after="0"/>
            </w:pPr>
            <w:r>
              <w:rPr>
                <w:sz w:val="18"/>
                <w:szCs w:val="18"/>
              </w:rPr>
              <w:t xml:space="preserve">소촉법 §25 요건(직접적 물적피해·피해액 특정) 열거 후 결론</w:t>
            </w:r>
          </w:p>
        </w:tc>
        <w:tc>
          <w:tcPr>
            <w:tcW w:type="dxa" w:w="1200"/>
            <w:tcMar>
              <w:top w:type="dxa" w:w="60"/>
              <w:left w:type="dxa" w:w="90"/>
              <w:bottom w:type="dxa" w:w="60"/>
              <w:right w:type="dxa" w:w="90"/>
            </w:tcMar>
            <w:vAlign w:val="center"/>
          </w:tcPr>
          <w:p>
            <w:pPr>
              <w:spacing w:after="0"/>
            </w:pPr>
            <w:r>
              <w:rPr>
                <w:sz w:val="18"/>
                <w:szCs w:val="18"/>
              </w:rPr>
              <w:t xml:space="preserve">중(시간관리)</w:t>
            </w:r>
          </w:p>
        </w:tc>
      </w:tr>
    </w:tbl>
    <w:p>
      <w:pPr>
        <w:pStyle w:val="Heading2"/>
      </w:pPr>
      <w:r>
        <w:t xml:space="preserve">총평 및 학습 제언</w:t>
      </w:r>
    </w:p>
    <w:p>
      <w:pPr>
        <w:pStyle w:val="ListParagraph"/>
        <w:numPr>
          <w:ilvl w:val="0"/>
          <w:numId w:val="2"/>
        </w:numPr>
        <w:spacing w:after="60"/>
      </w:pPr>
      <w:r>
        <w:rPr>
          <w:sz w:val="22"/>
          <w:szCs w:val="22"/>
        </w:rPr>
        <w:t xml:space="preserve">강점: 판례 법리의 '문장'을 정확히 재현하는 능력이 우수합니다(2002도995, 95도2551, 양벌규정 시효, 공동피고인 증인적격 등은 사실상 만점권). 답안 골격(결론-논거-포섭)도 안정적입니다.</w:t>
      </w:r>
    </w:p>
    <w:p>
      <w:pPr>
        <w:pStyle w:val="ListParagraph"/>
        <w:numPr>
          <w:ilvl w:val="0"/>
          <w:numId w:val="2"/>
        </w:numPr>
        <w:spacing w:after="60"/>
      </w:pPr>
      <w:r>
        <w:rPr>
          <w:color w:val="C00000"/>
          <w:sz w:val="22"/>
          <w:szCs w:val="22"/>
        </w:rPr>
        <w:t xml:space="preserve">최우선 보완 2가지 — ① 최신판례 반영: 2024도1856(과실범 공동정범), 2020도7866(대향범적 실현), 2024도19846(컴사기), 2024도19106(참여권 예외)은 이번 채기표의 배점 핵심인데 미반영·누락이 반복됩니다. ② 쟁점 포착: 컴퓨터등사용사기죄(문2), 사기미수(문3 매각), 뇌물 신분범 공범구조(S2-문1)처럼 '배점이 큰 쟁점 자체'를 놓친 곳이 실점의 대부분입니다.</w:t>
      </w:r>
    </w:p>
    <w:p>
      <w:pPr>
        <w:pStyle w:val="ListParagraph"/>
        <w:numPr>
          <w:ilvl w:val="0"/>
          <w:numId w:val="2"/>
        </w:numPr>
        <w:spacing w:after="60"/>
      </w:pPr>
      <w:r>
        <w:rPr>
          <w:sz w:val="22"/>
          <w:szCs w:val="22"/>
        </w:rPr>
        <w:t xml:space="preserve">죄수 처리 정밀화: 손괴 vs 절도(흡수가 아니라 실체적 경합), 여전법 vs 컴사기(실체적 경합) 등 '불가벌적 수반행위' 개념(2012도1895)을 명확히 정리하세요.</w:t>
      </w:r>
    </w:p>
    <w:p>
      <w:pPr>
        <w:pStyle w:val="ListParagraph"/>
        <w:numPr>
          <w:ilvl w:val="0"/>
          <w:numId w:val="2"/>
        </w:numPr>
        <w:spacing w:after="60"/>
      </w:pPr>
      <w:r>
        <w:rPr>
          <w:sz w:val="22"/>
          <w:szCs w:val="22"/>
        </w:rPr>
        <w:t xml:space="preserve">사실관계 정독: S2-문1(뇌물)은 甲/乙의 지위 자체를 오독한 것으로 보입니다(채기표 기준). 지문 정독 5분 확보가 배점 20점을 좌우합니다.</w:t>
      </w:r>
    </w:p>
    <w:p>
      <w:pPr>
        <w:pStyle w:val="ListParagraph"/>
        <w:numPr>
          <w:ilvl w:val="0"/>
          <w:numId w:val="2"/>
        </w:numPr>
        <w:spacing w:after="60"/>
      </w:pPr>
      <w:r>
        <w:rPr>
          <w:sz w:val="22"/>
          <w:szCs w:val="22"/>
        </w:rPr>
        <w:t xml:space="preserve">시간 관리: 마지막 배상명령(문7)이 미완성입니다. 뒷문제 요건 열거만이라도 남기는 배분 훈련이 필요합니다.</w:t>
      </w:r>
    </w:p>
    <w:p>
      <w:pPr>
        <w:spacing w:before="200"/>
      </w:pPr>
      <w:r>
        <w:rPr>
          <w:i/>
          <w:iCs/>
          <w:color w:val="595959"/>
          <w:sz w:val="18"/>
          <w:szCs w:val="18"/>
        </w:rPr>
        <w:t xml:space="preserve">※ 본 첨삭의 모든 법리·판례는 첨부된 형사법 채점기준표(2026.1차)에서만 인용했습니다. 문제 지문 원문을 함께 주시면 사실관계 오해 여부까지 정밀 대조해 드립니다.</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형사법 사례형 첨삭 리포트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0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2E75B6"/>
      <w:sz w:val="25"/>
      <w:szCs w:val="25"/>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2026-07-04T12:58:41.750Z</dcterms:created>
  <dcterms:modified xsi:type="dcterms:W3CDTF">2026-07-04T12:58:41.751Z</dcterms:modified>
</cp:coreProperties>
</file>

<file path=docProps/custom.xml><?xml version="1.0" encoding="utf-8"?>
<Properties xmlns="http://schemas.openxmlformats.org/officeDocument/2006/custom-properties" xmlns:vt="http://schemas.openxmlformats.org/officeDocument/2006/docPropsVTypes"/>
</file>