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0"/>
      </w:tblGrid>
      <w:tr w:rsidR="00D0190D" w14:paraId="7639A467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9A466" w14:textId="77777777" w:rsidR="00D0190D" w:rsidRDefault="009F31AD">
            <w:r>
              <w:rPr>
                <w:b/>
                <w:bCs/>
                <w:color w:val="FFFFFF"/>
                <w:sz w:val="22"/>
                <w:szCs w:val="22"/>
              </w:rPr>
              <w:t>■ [2026-05-12] 민사소송법 오늘 공부 정리  |  논점 32~36</w:t>
            </w:r>
          </w:p>
        </w:tc>
      </w:tr>
    </w:tbl>
    <w:p w14:paraId="7639A468" w14:textId="77777777" w:rsidR="00D0190D" w:rsidRDefault="00D0190D">
      <w:pPr>
        <w:spacing w:line="40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5150"/>
      </w:tblGrid>
      <w:tr w:rsidR="00D0190D" w14:paraId="7639A46B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69" w14:textId="77777777" w:rsidR="00D0190D" w:rsidRDefault="009F31AD">
            <w:pPr>
              <w:spacing w:after="8"/>
            </w:pPr>
            <w:r>
              <w:rPr>
                <w:b/>
                <w:bCs/>
                <w:color w:val="1F3864"/>
                <w:sz w:val="16"/>
                <w:szCs w:val="16"/>
              </w:rPr>
              <w:t>◀  목차 구조</w:t>
            </w: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6A" w14:textId="77777777" w:rsidR="00D0190D" w:rsidRDefault="009F31AD">
            <w:pPr>
              <w:spacing w:after="8"/>
            </w:pPr>
            <w:r>
              <w:rPr>
                <w:b/>
                <w:bCs/>
                <w:color w:val="C00000"/>
                <w:sz w:val="16"/>
                <w:szCs w:val="16"/>
              </w:rPr>
              <w:t>▶  시험 현출용 판례  (해당 목차와 수직 정렬)</w:t>
            </w:r>
          </w:p>
        </w:tc>
      </w:tr>
    </w:tbl>
    <w:p w14:paraId="7639A46C" w14:textId="77777777" w:rsidR="00D0190D" w:rsidRDefault="00D0190D">
      <w:pPr>
        <w:pBdr>
          <w:bottom w:val="single" w:sz="4" w:space="1" w:color="CCCCCC"/>
        </w:pBdr>
        <w:spacing w:before="22" w:after="22"/>
      </w:pPr>
    </w:p>
    <w:p w14:paraId="7639A46D" w14:textId="77777777" w:rsidR="00D0190D" w:rsidRDefault="00D0190D">
      <w:pPr>
        <w:spacing w:line="2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3"/>
        <w:gridCol w:w="5160"/>
      </w:tblGrid>
      <w:tr w:rsidR="00D0190D" w14:paraId="7639A488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6E" w14:textId="77777777" w:rsidR="00D0190D" w:rsidRDefault="009F31AD">
            <w:pPr>
              <w:pBdr>
                <w:bottom w:val="single" w:sz="6" w:space="1" w:color="2255AA"/>
              </w:pBdr>
              <w:spacing w:before="40" w:after="14"/>
            </w:pPr>
            <w:r>
              <w:rPr>
                <w:b/>
                <w:bCs/>
                <w:color w:val="2255AA"/>
                <w:sz w:val="19"/>
                <w:szCs w:val="19"/>
              </w:rPr>
              <w:t>▶ 유일한 증거 (선택형)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6F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 두문자: 쟁·전·이·주·본·당</w:t>
                  </w:r>
                </w:p>
              </w:tc>
            </w:tr>
          </w:tbl>
          <w:p w14:paraId="7639A47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쟁점단위: </w:t>
            </w:r>
            <w:r>
              <w:rPr>
                <w:color w:val="2A2A2A"/>
              </w:rPr>
              <w:t>판단 / 전심급 통관 판단</w:t>
            </w:r>
          </w:p>
          <w:p w14:paraId="7639A472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이미 조사한: </w:t>
            </w:r>
            <w:r>
              <w:rPr>
                <w:color w:val="2A2A2A"/>
              </w:rPr>
              <w:t>증거가 있느냐로 판단 (신청 개수 기준 X)</w:t>
            </w:r>
          </w:p>
          <w:p w14:paraId="7639A473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주요사실만: </w:t>
            </w:r>
            <w:r>
              <w:rPr>
                <w:color w:val="2A2A2A"/>
              </w:rPr>
              <w:t>문제됨 / 본증에 한함 (반증 X) / 당사자신문도 O</w:t>
            </w:r>
          </w:p>
          <w:p w14:paraId="7639A474" w14:textId="77777777" w:rsidR="00D0190D" w:rsidRDefault="00D0190D">
            <w:pPr>
              <w:spacing w:line="30" w:lineRule="exact"/>
            </w:pPr>
          </w:p>
          <w:p w14:paraId="7639A475" w14:textId="77777777" w:rsidR="00D0190D" w:rsidRDefault="009F31AD">
            <w:pPr>
              <w:pBdr>
                <w:bottom w:val="single" w:sz="6" w:space="1" w:color="2255AA"/>
              </w:pBdr>
              <w:spacing w:before="40" w:after="14"/>
            </w:pPr>
            <w:r>
              <w:rPr>
                <w:b/>
                <w:bCs/>
                <w:color w:val="2255AA"/>
                <w:sz w:val="19"/>
                <w:szCs w:val="19"/>
              </w:rPr>
              <w:t>▶ 논점 32. 소송종료선언  ★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76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 기·필·심·속·중  |  근거: 민소규 제67조</w:t>
                  </w:r>
                </w:p>
              </w:tc>
            </w:tr>
          </w:tbl>
          <w:p w14:paraId="7639A478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기일지정신청: </w:t>
            </w:r>
            <w:r>
              <w:rPr>
                <w:color w:val="2A2A2A"/>
              </w:rPr>
              <w:t>→ 필요적 변론 열어 심리</w:t>
            </w:r>
          </w:p>
          <w:p w14:paraId="7639A479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이유 있음: </w:t>
            </w:r>
            <w:r>
              <w:rPr>
                <w:color w:val="2A2A2A"/>
              </w:rPr>
              <w:t>→ 절차 속행  /  이유 없음 → 소송종료선언</w:t>
            </w: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7A" w14:textId="77777777" w:rsidR="00D0190D" w:rsidRDefault="009F31AD">
            <w:pPr>
              <w:spacing w:after="8"/>
            </w:pPr>
            <w:r>
              <w:rPr>
                <w:b/>
                <w:bCs/>
                <w:color w:val="1F3864"/>
              </w:rPr>
              <w:t>Q. 증명과 소명의 차이?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2120"/>
              <w:gridCol w:w="2050"/>
            </w:tblGrid>
            <w:tr w:rsidR="00D0190D" w14:paraId="7639A4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F3864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7B" w14:textId="77777777" w:rsidR="00D0190D" w:rsidRDefault="009F31A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구분</w:t>
                  </w:r>
                </w:p>
              </w:tc>
              <w:tc>
                <w:tcPr>
                  <w:tcW w:w="212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F3864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7C" w14:textId="77777777" w:rsidR="00D0190D" w:rsidRDefault="009F31A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증명</w:t>
                  </w:r>
                </w:p>
              </w:tc>
              <w:tc>
                <w:tcPr>
                  <w:tcW w:w="205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F3864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7D" w14:textId="77777777" w:rsidR="00D0190D" w:rsidRDefault="009F31A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소명</w:t>
                  </w:r>
                </w:p>
              </w:tc>
            </w:tr>
            <w:tr w:rsidR="00D0190D" w14:paraId="7639A4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5F5F5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7F" w14:textId="77777777" w:rsidR="00D0190D" w:rsidRDefault="009F31AD">
                  <w:r>
                    <w:rPr>
                      <w:b/>
                      <w:bCs/>
                      <w:sz w:val="16"/>
                      <w:szCs w:val="16"/>
                    </w:rPr>
                    <w:t>정도</w:t>
                  </w:r>
                </w:p>
              </w:tc>
              <w:tc>
                <w:tcPr>
                  <w:tcW w:w="212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0" w14:textId="77777777" w:rsidR="00D0190D" w:rsidRDefault="009F31AD">
                  <w:r>
                    <w:rPr>
                      <w:sz w:val="16"/>
                      <w:szCs w:val="16"/>
                    </w:rPr>
                    <w:t>고도의 개연성 (확신)</w:t>
                  </w:r>
                </w:p>
              </w:tc>
              <w:tc>
                <w:tcPr>
                  <w:tcW w:w="205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1" w14:textId="77777777" w:rsidR="00D0190D" w:rsidRDefault="009F31AD">
                  <w:r>
                    <w:rPr>
                      <w:sz w:val="16"/>
                      <w:szCs w:val="16"/>
                    </w:rPr>
                    <w:t>개연성 (그럴듯함)</w:t>
                  </w:r>
                </w:p>
              </w:tc>
            </w:tr>
            <w:tr w:rsidR="00D0190D" w14:paraId="7639A4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5F5F5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3" w14:textId="77777777" w:rsidR="00D0190D" w:rsidRDefault="009F31AD">
                  <w:r>
                    <w:rPr>
                      <w:b/>
                      <w:bCs/>
                      <w:sz w:val="16"/>
                      <w:szCs w:val="16"/>
                    </w:rPr>
                    <w:t>적용</w:t>
                  </w:r>
                </w:p>
              </w:tc>
              <w:tc>
                <w:tcPr>
                  <w:tcW w:w="212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4" w14:textId="77777777" w:rsidR="00D0190D" w:rsidRDefault="009F31AD">
                  <w:r>
                    <w:rPr>
                      <w:sz w:val="16"/>
                      <w:szCs w:val="16"/>
                    </w:rPr>
                    <w:t>본안판결 — 요건사실</w:t>
                  </w:r>
                </w:p>
              </w:tc>
              <w:tc>
                <w:tcPr>
                  <w:tcW w:w="205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5" w14:textId="77777777" w:rsidR="00D0190D" w:rsidRDefault="009F31AD">
                  <w:r>
                    <w:rPr>
                      <w:sz w:val="16"/>
                      <w:szCs w:val="16"/>
                    </w:rPr>
                    <w:t>보전처분·임시적 판단</w:t>
                  </w:r>
                </w:p>
              </w:tc>
            </w:tr>
          </w:tbl>
          <w:p w14:paraId="7639A487" w14:textId="77777777" w:rsidR="00D0190D" w:rsidRDefault="00D0190D"/>
        </w:tc>
      </w:tr>
    </w:tbl>
    <w:p w14:paraId="7639A489" w14:textId="77777777" w:rsidR="00D0190D" w:rsidRDefault="00D0190D">
      <w:pPr>
        <w:spacing w:line="44" w:lineRule="exact"/>
      </w:pPr>
    </w:p>
    <w:p w14:paraId="7639A48A" w14:textId="77777777" w:rsidR="00D0190D" w:rsidRDefault="009F31AD">
      <w:pPr>
        <w:pBdr>
          <w:bottom w:val="single" w:sz="6" w:space="1" w:color="2255AA"/>
        </w:pBdr>
        <w:spacing w:before="40" w:after="14"/>
      </w:pPr>
      <w:r>
        <w:rPr>
          <w:b/>
          <w:bCs/>
          <w:color w:val="2255AA"/>
          <w:sz w:val="19"/>
          <w:szCs w:val="19"/>
        </w:rPr>
        <w:t>▶ 논점 33. 소취하·재소금지  ★</w:t>
      </w:r>
    </w:p>
    <w:p w14:paraId="7639A48B" w14:textId="77777777" w:rsidR="00D0190D" w:rsidRDefault="00D0190D">
      <w:pPr>
        <w:spacing w:line="1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3"/>
        <w:gridCol w:w="5165"/>
      </w:tblGrid>
      <w:tr w:rsidR="00D0190D" w14:paraId="7639A495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8C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[1] 소취하 (제266조)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8D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 성립요건: 당·소·시·방·동</w:t>
                  </w:r>
                </w:p>
              </w:tc>
            </w:tr>
          </w:tbl>
          <w:p w14:paraId="7639A48F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방식: </w:t>
            </w:r>
            <w:r>
              <w:rPr>
                <w:color w:val="2A2A2A"/>
              </w:rPr>
              <w:t>취하서 제출 원칙 / 변론기일·준비기일 구두 가능</w:t>
            </w:r>
          </w:p>
          <w:p w14:paraId="7639A490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피고동의: </w:t>
            </w:r>
            <w:r>
              <w:rPr>
                <w:color w:val="2A2A2A"/>
              </w:rPr>
              <w:t xml:space="preserve">응소 후 필요 — </w:t>
            </w:r>
            <w:r>
              <w:rPr>
                <w:b/>
                <w:bCs/>
                <w:color w:val="C00000"/>
              </w:rPr>
              <w:t>&lt;청구기각을 받을 이익&gt;</w:t>
            </w:r>
          </w:p>
          <w:p w14:paraId="7639A49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취소가부: </w:t>
            </w:r>
            <w:r>
              <w:rPr>
                <w:b/>
                <w:bCs/>
                <w:color w:val="C00000"/>
              </w:rPr>
              <w:t>&lt;의사표시하자 불고려설&gt;</w:t>
            </w:r>
            <w:r>
              <w:rPr>
                <w:color w:val="2A2A2A"/>
              </w:rPr>
              <w:t xml:space="preserve"> / 제451조①⑤ 유추적용 가능</w:t>
            </w:r>
          </w:p>
          <w:p w14:paraId="7639A492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효과: </w:t>
            </w:r>
            <w:r>
              <w:rPr>
                <w:color w:val="2A2A2A"/>
              </w:rPr>
              <w:t xml:space="preserve">처음부터 소송 계속 X — </w:t>
            </w:r>
            <w:r>
              <w:rPr>
                <w:b/>
                <w:bCs/>
                <w:color w:val="C00000"/>
              </w:rPr>
              <w:t>&lt;병존설&gt;</w:t>
            </w:r>
            <w:r>
              <w:rPr>
                <w:color w:val="2A2A2A"/>
              </w:rPr>
              <w:t xml:space="preserve"> </w:t>
            </w:r>
            <w:r>
              <w:rPr>
                <w:b/>
                <w:bCs/>
                <w:color w:val="C00000"/>
              </w:rPr>
              <w:t>&lt;신병존설&gt;</w:t>
            </w:r>
          </w:p>
          <w:p w14:paraId="7639A493" w14:textId="77777777" w:rsidR="00D0190D" w:rsidRDefault="00D0190D">
            <w:pPr>
              <w:spacing w:line="16" w:lineRule="exact"/>
            </w:pP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94" w14:textId="77777777" w:rsidR="00D0190D" w:rsidRDefault="00D0190D"/>
        </w:tc>
      </w:tr>
      <w:tr w:rsidR="00D0190D" w14:paraId="7639A4B1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E8E8E8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96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[2] 재소금지 (제267②)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97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 요건: 본·당·청·권  |  취지: &lt;농락방지&gt; &lt;모순저촉방지&gt;</w:t>
                  </w:r>
                </w:p>
              </w:tc>
            </w:tr>
          </w:tbl>
          <w:p w14:paraId="7639A499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①: </w:t>
            </w:r>
            <w:r>
              <w:rPr>
                <w:color w:val="2A2A2A"/>
              </w:rPr>
              <w:t xml:space="preserve">항소심 교환적 변경 → </w:t>
            </w:r>
            <w:r>
              <w:rPr>
                <w:b/>
                <w:bCs/>
                <w:color w:val="C00000"/>
              </w:rPr>
              <w:t>&lt;결합설&gt;</w:t>
            </w:r>
            <w:r>
              <w:rPr>
                <w:color w:val="2A2A2A"/>
              </w:rPr>
              <w:t xml:space="preserve"> → 재소금지 </w:t>
            </w:r>
            <w:r>
              <w:rPr>
                <w:b/>
                <w:bCs/>
                <w:color w:val="C00000"/>
              </w:rPr>
              <w:t>&lt;긍정설&gt;</w:t>
            </w:r>
          </w:p>
          <w:p w14:paraId="7639A49A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②: </w:t>
            </w:r>
            <w:r>
              <w:rPr>
                <w:color w:val="2A2A2A"/>
              </w:rPr>
              <w:t>후소 본안판결 후 취하 → 전소 부적법 각하</w:t>
            </w:r>
          </w:p>
          <w:p w14:paraId="7639A49B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③: </w:t>
            </w:r>
            <w:r>
              <w:rPr>
                <w:color w:val="2A2A2A"/>
              </w:rPr>
              <w:t xml:space="preserve">변론종결 후 특정승계인 → </w:t>
            </w:r>
            <w:r>
              <w:rPr>
                <w:b/>
                <w:bCs/>
                <w:color w:val="C00000"/>
              </w:rPr>
              <w:t>&lt;새로운 권리보호이익&gt;</w:t>
            </w:r>
            <w:r>
              <w:rPr>
                <w:color w:val="2A2A2A"/>
              </w:rPr>
              <w:t xml:space="preserve"> → X</w:t>
            </w:r>
          </w:p>
          <w:p w14:paraId="7639A49C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④: </w:t>
            </w:r>
            <w:r>
              <w:rPr>
                <w:color w:val="2A2A2A"/>
              </w:rPr>
              <w:t xml:space="preserve">채권자대위소송 → </w:t>
            </w:r>
            <w:r>
              <w:rPr>
                <w:b/>
                <w:bCs/>
                <w:color w:val="C00000"/>
              </w:rPr>
              <w:t>&lt;채무자가 알았을 때&gt;</w:t>
            </w:r>
            <w:r>
              <w:rPr>
                <w:color w:val="2A2A2A"/>
              </w:rPr>
              <w:t xml:space="preserve"> → O</w:t>
            </w:r>
          </w:p>
          <w:p w14:paraId="7639A49D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⑤ 소송물: </w:t>
            </w:r>
            <w:r>
              <w:rPr>
                <w:b/>
                <w:bCs/>
                <w:color w:val="C00000"/>
              </w:rPr>
              <w:t>&lt;구이론&gt;</w:t>
            </w:r>
            <w:r>
              <w:rPr>
                <w:color w:val="2A2A2A"/>
              </w:rPr>
              <w:t xml:space="preserve"> / </w:t>
            </w:r>
            <w:r>
              <w:rPr>
                <w:b/>
                <w:bCs/>
                <w:color w:val="C00000"/>
              </w:rPr>
              <w:t>&lt;실체법상 권리마다 별개&gt;</w:t>
            </w:r>
          </w:p>
          <w:p w14:paraId="7639A49E" w14:textId="77777777" w:rsidR="00D0190D" w:rsidRDefault="009F31AD">
            <w:pPr>
              <w:spacing w:before="6" w:after="6"/>
              <w:ind w:left="360" w:hanging="130"/>
            </w:pPr>
            <w:r>
              <w:rPr>
                <w:color w:val="555555"/>
                <w:sz w:val="16"/>
                <w:szCs w:val="16"/>
              </w:rPr>
              <w:t xml:space="preserve">- </w:t>
            </w:r>
            <w:r>
              <w:rPr>
                <w:color w:val="2A2A2A"/>
                <w:sz w:val="16"/>
                <w:szCs w:val="16"/>
              </w:rPr>
              <w:t>청구기간 다르면 X  /  선결문제 O</w:t>
            </w:r>
          </w:p>
          <w:p w14:paraId="7639A49F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⑥ 권리보호이익: </w:t>
            </w:r>
            <w:r>
              <w:rPr>
                <w:color w:val="2A2A2A"/>
              </w:rPr>
              <w:t>다른 경우 → 농락 볼 수 없음 → X</w:t>
            </w:r>
          </w:p>
          <w:p w14:paraId="7639A4A0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효과: </w:t>
            </w:r>
            <w:r>
              <w:rPr>
                <w:color w:val="2A2A2A"/>
              </w:rPr>
              <w:t>소 각하 / 실체법상 권리 영향 X</w:t>
            </w:r>
          </w:p>
        </w:tc>
        <w:tc>
          <w:tcPr>
            <w:tcW w:w="5150" w:type="dxa"/>
            <w:tcBorders>
              <w:top w:val="single" w:sz="1" w:space="0" w:color="E8E8E8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A1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>▷ ① 항소심 교환적 변경 → 재소금지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2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판례는 교환적 변경의 법적성질을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&lt;구소취하, 신소제기&gt;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로 보는 결합설이므로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&lt;항소심에서의 교환적 변경&gt;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은 본안에 대한 종국판결 후 소취하가 되어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&lt;다시 본래의 구청구를 되살리면&gt;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&lt;재소금지&gt;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의 영향을 받아 부적법하다고 보아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&lt;재소금지 적용 긍정설&gt;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의 입장이다.</w:t>
                  </w:r>
                </w:p>
              </w:tc>
            </w:tr>
          </w:tbl>
          <w:p w14:paraId="7639A4A4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>▷ ② 후소 본안판결 후 소취하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5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후소의 본안에 대한 판결이 있은 후 후소를 취하한 자는 전소를 유지할 수 없으므로 전소는 부적법 각하</w:t>
                  </w:r>
                </w:p>
              </w:tc>
            </w:tr>
          </w:tbl>
          <w:p w14:paraId="7639A4A7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>▷ ③ 변론종결 후 특정승계인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8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재소금지의 효과를 받으나,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&lt;새로운 권리보호의 이익&gt;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이 있다고 보아 동일한 소 x.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&lt;당사자는 동일하나 권리보호이익이 달라&gt;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재소금지에 해당되지 않는다</w:t>
                  </w:r>
                </w:p>
              </w:tc>
            </w:tr>
          </w:tbl>
          <w:p w14:paraId="7639A4AA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>▷ ④ 채권자대위소송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B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대위소송이 제기된 사실을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&lt;채무자가 알았을 때&gt;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에 판결의 효력이 채무자에게 미치므로, 채권자 대위소송이 제기된 사실을 채무자가 알게 된 이상 재소금지 적용</w:t>
                  </w:r>
                </w:p>
              </w:tc>
            </w:tr>
          </w:tbl>
          <w:p w14:paraId="7639A4AD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>▷ ⑤ 소송물 동일 — 구이론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E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판례의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&lt;구이론&gt;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에 따르면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&lt;실체법상 권리마다 별개의 소송물&gt;</w:t>
                  </w:r>
                </w:p>
              </w:tc>
            </w:tr>
          </w:tbl>
          <w:p w14:paraId="7639A4B0" w14:textId="77777777" w:rsidR="00D0190D" w:rsidRDefault="00D0190D"/>
        </w:tc>
      </w:tr>
    </w:tbl>
    <w:p w14:paraId="7639A4B2" w14:textId="77777777" w:rsidR="00D0190D" w:rsidRDefault="00D0190D">
      <w:pPr>
        <w:spacing w:line="44" w:lineRule="exact"/>
      </w:pPr>
    </w:p>
    <w:p w14:paraId="78A5C64C" w14:textId="77777777" w:rsidR="00AC427B" w:rsidRDefault="00AC427B">
      <w:pPr>
        <w:pBdr>
          <w:bottom w:val="single" w:sz="6" w:space="1" w:color="2255AA"/>
        </w:pBdr>
        <w:spacing w:before="40" w:after="14"/>
        <w:rPr>
          <w:b/>
          <w:bCs/>
          <w:color w:val="2255AA"/>
          <w:sz w:val="19"/>
          <w:szCs w:val="19"/>
        </w:rPr>
      </w:pPr>
    </w:p>
    <w:p w14:paraId="674D1EB0" w14:textId="77777777" w:rsidR="00AC427B" w:rsidRDefault="00AC427B">
      <w:pPr>
        <w:pBdr>
          <w:bottom w:val="single" w:sz="6" w:space="1" w:color="2255AA"/>
        </w:pBdr>
        <w:spacing w:before="40" w:after="14"/>
        <w:rPr>
          <w:b/>
          <w:bCs/>
          <w:color w:val="2255AA"/>
          <w:sz w:val="19"/>
          <w:szCs w:val="19"/>
        </w:rPr>
      </w:pPr>
    </w:p>
    <w:p w14:paraId="38D1F89C" w14:textId="77777777" w:rsidR="00AC427B" w:rsidRDefault="00AC427B">
      <w:pPr>
        <w:pBdr>
          <w:bottom w:val="single" w:sz="6" w:space="1" w:color="2255AA"/>
        </w:pBdr>
        <w:spacing w:before="40" w:after="14"/>
        <w:rPr>
          <w:b/>
          <w:bCs/>
          <w:color w:val="2255AA"/>
          <w:sz w:val="19"/>
          <w:szCs w:val="19"/>
        </w:rPr>
      </w:pPr>
    </w:p>
    <w:p w14:paraId="7639A4B3" w14:textId="149F2819" w:rsidR="00D0190D" w:rsidRDefault="009F31AD">
      <w:pPr>
        <w:pBdr>
          <w:bottom w:val="single" w:sz="6" w:space="1" w:color="2255AA"/>
        </w:pBdr>
        <w:spacing w:before="40" w:after="14"/>
      </w:pPr>
      <w:r>
        <w:rPr>
          <w:b/>
          <w:bCs/>
          <w:color w:val="2255AA"/>
          <w:sz w:val="19"/>
          <w:szCs w:val="19"/>
        </w:rPr>
        <w:lastRenderedPageBreak/>
        <w:t>▶ 논점 34. 청구포기·인낙·소송상 화해  ★ (선택형)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0"/>
      </w:tblGrid>
      <w:tr w:rsidR="00D0190D" w14:paraId="7639A4B5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tcBorders>
              <w:top w:val="none" w:sz="0" w:space="0" w:color="FFFFFF"/>
              <w:left w:val="single" w:sz="10" w:space="0" w:color="1F3864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26" w:type="dxa"/>
              <w:left w:w="100" w:type="dxa"/>
              <w:bottom w:w="26" w:type="dxa"/>
              <w:right w:w="100" w:type="dxa"/>
            </w:tcMar>
          </w:tcPr>
          <w:p w14:paraId="7639A4B4" w14:textId="77777777" w:rsidR="00D0190D" w:rsidRDefault="009F31AD">
            <w:r>
              <w:rPr>
                <w:b/>
                <w:bCs/>
                <w:color w:val="1F3864"/>
              </w:rPr>
              <w:t>✦ 검토순서: 요·법·기·다·해  |  성립요건: 당·소·시·방</w:t>
            </w:r>
          </w:p>
        </w:tc>
      </w:tr>
    </w:tbl>
    <w:p w14:paraId="7639A4B6" w14:textId="77777777" w:rsidR="00D0190D" w:rsidRDefault="00D0190D">
      <w:pPr>
        <w:spacing w:line="1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5"/>
        <w:gridCol w:w="5165"/>
      </w:tblGrid>
      <w:tr w:rsidR="00D0190D" w14:paraId="7639A4C4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B7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(1) 성립요건</w:t>
            </w:r>
          </w:p>
          <w:p w14:paraId="7639A4B8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소송물: </w:t>
            </w:r>
            <w:r>
              <w:rPr>
                <w:color w:val="2A2A2A"/>
              </w:rPr>
              <w:t>변론주의에 속하는 소송물 (소송요건 흠 O / 강행규정 위반 O)</w:t>
            </w:r>
          </w:p>
          <w:p w14:paraId="7639A4B9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조건부화해: </w:t>
            </w:r>
            <w:r>
              <w:rPr>
                <w:color w:val="2A2A2A"/>
              </w:rPr>
              <w:t xml:space="preserve">O — </w:t>
            </w:r>
            <w:r>
              <w:rPr>
                <w:b/>
                <w:bCs/>
                <w:color w:val="C00000"/>
              </w:rPr>
              <w:t>&lt;소송행위설, 실효조건부화해 효력 인정&gt;</w:t>
            </w:r>
          </w:p>
          <w:p w14:paraId="7639A4BA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시기: </w:t>
            </w:r>
            <w:r>
              <w:rPr>
                <w:color w:val="2A2A2A"/>
              </w:rPr>
              <w:t>항소심·상고심에서도 O</w:t>
            </w:r>
          </w:p>
          <w:p w14:paraId="7639A4BB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(2) 법적성질</w:t>
            </w:r>
          </w:p>
          <w:p w14:paraId="7639A4BC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포기·인낙: </w:t>
            </w:r>
            <w:r>
              <w:rPr>
                <w:b/>
                <w:bCs/>
                <w:color w:val="C00000"/>
              </w:rPr>
              <w:t>&lt;소송행위설&gt;</w:t>
            </w:r>
          </w:p>
          <w:p w14:paraId="7639A4BD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소송상화해: </w:t>
            </w:r>
            <w:r>
              <w:rPr>
                <w:b/>
                <w:bCs/>
                <w:color w:val="C00000"/>
              </w:rPr>
              <w:t>&lt;순연한 소송행위 = 소송행위설&gt;</w:t>
            </w:r>
          </w:p>
          <w:p w14:paraId="7639A4BE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(3) 효과 (제220조)</w:t>
            </w:r>
          </w:p>
          <w:p w14:paraId="7639A4BF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기판력: </w:t>
            </w:r>
            <w:r>
              <w:rPr>
                <w:b/>
                <w:bCs/>
                <w:color w:val="C00000"/>
              </w:rPr>
              <w:t>&lt;무제한기판력설&gt;</w:t>
            </w:r>
            <w:r>
              <w:rPr>
                <w:color w:val="2A2A2A"/>
              </w:rPr>
              <w:t xml:space="preserve"> — 소송물에만 발생</w:t>
            </w:r>
          </w:p>
          <w:p w14:paraId="7639A4C0" w14:textId="77777777" w:rsidR="00D0190D" w:rsidRDefault="009F31AD">
            <w:pPr>
              <w:spacing w:before="6" w:after="6"/>
              <w:ind w:left="360" w:hanging="130"/>
            </w:pPr>
            <w:r>
              <w:rPr>
                <w:color w:val="555555"/>
                <w:sz w:val="16"/>
                <w:szCs w:val="16"/>
              </w:rPr>
              <w:t xml:space="preserve">- </w:t>
            </w:r>
            <w:r>
              <w:rPr>
                <w:color w:val="2A2A2A"/>
                <w:sz w:val="16"/>
                <w:szCs w:val="16"/>
              </w:rPr>
              <w:t>제1화해↔제2화해 모순저촉 → 제2화해가 준재심사유(461조)</w:t>
            </w:r>
          </w:p>
          <w:p w14:paraId="7639A4C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기타: </w:t>
            </w:r>
            <w:r>
              <w:rPr>
                <w:color w:val="2A2A2A"/>
              </w:rPr>
              <w:t>소송종료효 O / 집행력 O / 창설적 효력 O / 형성력 X</w:t>
            </w:r>
          </w:p>
          <w:p w14:paraId="7639A4C2" w14:textId="77777777" w:rsidR="00D0190D" w:rsidRDefault="00D0190D">
            <w:pPr>
              <w:spacing w:line="16" w:lineRule="exact"/>
            </w:pP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C3" w14:textId="77777777" w:rsidR="00D0190D" w:rsidRDefault="00D0190D"/>
        </w:tc>
      </w:tr>
      <w:tr w:rsidR="00D0190D" w14:paraId="7639A4CE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E8E8E8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C5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(4) 기판력 다투는 법</w:t>
            </w:r>
          </w:p>
          <w:p w14:paraId="7639A4C6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당연무효: </w:t>
            </w:r>
            <w:r>
              <w:rPr>
                <w:color w:val="2A2A2A"/>
              </w:rPr>
              <w:t>기일지정신청(민소규 제67조)</w:t>
            </w:r>
          </w:p>
          <w:p w14:paraId="7639A4C7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그 외 하자: </w:t>
            </w:r>
            <w:r>
              <w:rPr>
                <w:b/>
                <w:bCs/>
                <w:color w:val="C00000"/>
              </w:rPr>
              <w:t>&lt;제461조 준재심&gt;</w:t>
            </w:r>
            <w:r>
              <w:rPr>
                <w:color w:val="2A2A2A"/>
              </w:rPr>
              <w:t>만 가능 (무권대리·사기강박 한정)</w:t>
            </w:r>
          </w:p>
          <w:p w14:paraId="7639A4C8" w14:textId="77777777" w:rsidR="00D0190D" w:rsidRDefault="009F31AD">
            <w:pPr>
              <w:spacing w:before="6" w:after="6"/>
              <w:ind w:left="360" w:hanging="130"/>
            </w:pPr>
            <w:r>
              <w:rPr>
                <w:color w:val="555555"/>
                <w:sz w:val="16"/>
                <w:szCs w:val="16"/>
              </w:rPr>
              <w:t xml:space="preserve">- </w:t>
            </w:r>
            <w:r>
              <w:rPr>
                <w:color w:val="2A2A2A"/>
                <w:sz w:val="16"/>
                <w:szCs w:val="16"/>
              </w:rPr>
              <w:t>기일지정신청·무효확인소 불가</w:t>
            </w:r>
          </w:p>
          <w:p w14:paraId="7639A4C9" w14:textId="77777777" w:rsidR="00D0190D" w:rsidRDefault="00D0190D">
            <w:pPr>
              <w:spacing w:line="10" w:lineRule="exact"/>
            </w:pPr>
          </w:p>
        </w:tc>
        <w:tc>
          <w:tcPr>
            <w:tcW w:w="5150" w:type="dxa"/>
            <w:tcBorders>
              <w:top w:val="single" w:sz="1" w:space="0" w:color="E8E8E8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CA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>▷ (4) 기판력 다투는 법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CB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무제한 기판력설을 취하는 판례에 의하면 청구의 포기 인낙과 화해에 실체법상의 하자가 있는 재심사유에 해당하는 경우 무권대리, 사기강박에 한하여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&lt;제461조 준재심&gt;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으로 다툴 수 있을 뿐이고, 기일지정신청이나 무효확인의 소를 제기할 수 없다</w:t>
                  </w:r>
                </w:p>
              </w:tc>
            </w:tr>
          </w:tbl>
          <w:p w14:paraId="7639A4CD" w14:textId="77777777" w:rsidR="00D0190D" w:rsidRDefault="00D0190D"/>
        </w:tc>
      </w:tr>
      <w:tr w:rsidR="00D0190D" w14:paraId="7639A4D6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E8E8E8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CF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(5) 해제 가부</w:t>
            </w:r>
          </w:p>
          <w:p w14:paraId="7639A4D0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원칙: </w:t>
            </w:r>
            <w:r>
              <w:rPr>
                <w:color w:val="2A2A2A"/>
              </w:rPr>
              <w:t>소송상 화해 해제 불가</w:t>
            </w:r>
          </w:p>
          <w:p w14:paraId="7639A4D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예외: </w:t>
            </w:r>
            <w:r>
              <w:rPr>
                <w:color w:val="2A2A2A"/>
              </w:rPr>
              <w:t>매매계약 자체의 해제 = 변론종결 후 새로 발생한 해제권 → 허용</w:t>
            </w:r>
          </w:p>
        </w:tc>
        <w:tc>
          <w:tcPr>
            <w:tcW w:w="5150" w:type="dxa"/>
            <w:tcBorders>
              <w:top w:val="single" w:sz="1" w:space="0" w:color="E8E8E8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D2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>▷ (5) 해제 가부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D3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소송상 화해에 따른 매매계약의 채무불이행을 이유로 매매계약 자체를 해제하는 것은 변론종결 뒤 새로 발생한 해제권을 행사하는 것으로 허용</w:t>
                  </w:r>
                </w:p>
              </w:tc>
            </w:tr>
          </w:tbl>
          <w:p w14:paraId="7639A4D5" w14:textId="77777777" w:rsidR="00D0190D" w:rsidRDefault="00D0190D"/>
        </w:tc>
      </w:tr>
    </w:tbl>
    <w:p w14:paraId="7639A4D7" w14:textId="77777777" w:rsidR="00D0190D" w:rsidRDefault="00D0190D">
      <w:pPr>
        <w:spacing w:line="4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3"/>
        <w:gridCol w:w="5057"/>
      </w:tblGrid>
      <w:tr w:rsidR="00D0190D" w14:paraId="7639A4EC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D8" w14:textId="77777777" w:rsidR="00D0190D" w:rsidRDefault="009F31AD">
            <w:pPr>
              <w:pBdr>
                <w:bottom w:val="single" w:sz="6" w:space="1" w:color="2255AA"/>
              </w:pBdr>
              <w:spacing w:before="40" w:after="14"/>
            </w:pPr>
            <w:r>
              <w:rPr>
                <w:b/>
                <w:bCs/>
                <w:color w:val="2255AA"/>
                <w:sz w:val="19"/>
                <w:szCs w:val="19"/>
              </w:rPr>
              <w:t>▶ 논점 35. 제소전 화해·화해권고결정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D9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 검토: 법·기·다·해</w:t>
                  </w:r>
                </w:p>
              </w:tc>
            </w:tr>
          </w:tbl>
          <w:p w14:paraId="7639A4DB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법적성질: </w:t>
            </w:r>
            <w:r>
              <w:rPr>
                <w:color w:val="2A2A2A"/>
              </w:rPr>
              <w:t>소송행위설</w:t>
            </w:r>
          </w:p>
          <w:p w14:paraId="7639A4DC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기판력: </w:t>
            </w:r>
            <w:r>
              <w:rPr>
                <w:color w:val="2A2A2A"/>
              </w:rPr>
              <w:t>무제한기판력설</w:t>
            </w:r>
          </w:p>
          <w:p w14:paraId="7639A4DD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다투는 법: </w:t>
            </w:r>
            <w:r>
              <w:rPr>
                <w:color w:val="2A2A2A"/>
              </w:rPr>
              <w:t>준재심의 소 (제461조)</w:t>
            </w:r>
          </w:p>
          <w:p w14:paraId="7639A4DE" w14:textId="77777777" w:rsidR="00D0190D" w:rsidRDefault="009F31AD">
            <w:pPr>
              <w:spacing w:before="6" w:after="4"/>
            </w:pPr>
            <w:r>
              <w:rPr>
                <w:i/>
                <w:iCs/>
                <w:color w:val="555555"/>
                <w:sz w:val="16"/>
                <w:szCs w:val="16"/>
              </w:rPr>
              <w:t>※ 판례 없음</w:t>
            </w: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DF" w14:textId="77777777" w:rsidR="00D0190D" w:rsidRDefault="009F31AD">
            <w:pPr>
              <w:pBdr>
                <w:bottom w:val="single" w:sz="6" w:space="1" w:color="2255AA"/>
              </w:pBdr>
              <w:spacing w:before="40" w:after="14"/>
            </w:pPr>
            <w:r>
              <w:rPr>
                <w:b/>
                <w:bCs/>
                <w:color w:val="2255AA"/>
                <w:sz w:val="19"/>
                <w:szCs w:val="19"/>
              </w:rPr>
              <w:t>▶ 논점 36. 판결  ★★★</w:t>
            </w:r>
          </w:p>
          <w:p w14:paraId="7639A4E0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[1] 일부판결 (제200①) — 기준: 모순저촉 우려</w:t>
            </w:r>
          </w:p>
          <w:p w14:paraId="7639A4E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허용 O: </w:t>
            </w:r>
            <w:r>
              <w:rPr>
                <w:color w:val="2A2A2A"/>
              </w:rPr>
              <w:t>통공·단순병합·가분적청구·병합 본소반소</w:t>
            </w:r>
          </w:p>
          <w:p w14:paraId="7639A4E2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허용 X: </w:t>
            </w:r>
            <w:r>
              <w:rPr>
                <w:color w:val="2A2A2A"/>
              </w:rPr>
              <w:t>선택적·예비적 병합, 필공, 예비적·선택적 공동소송, 독당참</w:t>
            </w:r>
          </w:p>
          <w:p w14:paraId="7639A4E3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[2] 일부판결 효력</w:t>
            </w:r>
          </w:p>
          <w:p w14:paraId="7639A4E4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허용O·의도적: </w:t>
            </w:r>
            <w:r>
              <w:rPr>
                <w:color w:val="2A2A2A"/>
              </w:rPr>
              <w:t>잔부판결로 완결</w:t>
            </w:r>
          </w:p>
          <w:p w14:paraId="7639A4E5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허용O·모르고: </w:t>
            </w:r>
            <w:r>
              <w:rPr>
                <w:color w:val="2A2A2A"/>
              </w:rPr>
              <w:t>재판누락 → 제1심 계속, 추가판결 / 상소 불가</w:t>
            </w:r>
          </w:p>
          <w:p w14:paraId="7639A4E6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허용X: </w:t>
            </w:r>
            <w:r>
              <w:rPr>
                <w:b/>
                <w:bCs/>
                <w:color w:val="C00000"/>
              </w:rPr>
              <w:t>&lt;판단누락에 준하는 위법한 판결&gt;</w:t>
            </w:r>
            <w:r>
              <w:rPr>
                <w:color w:val="2A2A2A"/>
              </w:rPr>
              <w:t xml:space="preserve"> → 상소·재심 구제</w:t>
            </w:r>
          </w:p>
          <w:p w14:paraId="7639A4E7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[3] 재판누락·추가판결 (제212조)</w:t>
            </w:r>
          </w:p>
          <w:p w14:paraId="7639A4E8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기준: </w:t>
            </w:r>
            <w:r>
              <w:rPr>
                <w:color w:val="2A2A2A"/>
              </w:rPr>
              <w:t>판결 주문의 기재 / 허용 → 추가판결, 상소 불가</w:t>
            </w:r>
          </w:p>
          <w:p w14:paraId="7639A4E9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>[4] 판결의 경정 (제211조)</w:t>
            </w:r>
          </w:p>
          <w:p w14:paraId="7639A4EA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color w:val="2A2A2A"/>
              </w:rPr>
              <w:t>(차회 보완 예정)</w:t>
            </w:r>
          </w:p>
          <w:p w14:paraId="7639A4EB" w14:textId="77777777" w:rsidR="00D0190D" w:rsidRDefault="009F31AD">
            <w:pPr>
              <w:spacing w:before="6" w:after="4"/>
            </w:pPr>
            <w:r>
              <w:rPr>
                <w:i/>
                <w:iCs/>
                <w:color w:val="555555"/>
                <w:sz w:val="16"/>
                <w:szCs w:val="16"/>
              </w:rPr>
              <w:t>※ 판례 없음</w:t>
            </w:r>
          </w:p>
        </w:tc>
      </w:tr>
    </w:tbl>
    <w:p>
      <w:pPr>
        <w:pBdr>
          <w:bottom w:val="single" w:color="2E75B6" w:sz="4" w:space="1"/>
        </w:pBdr>
        <w:spacing w:after="14" w:before="44"/>
      </w:pPr>
      <w:r>
        <w:rPr>
          <w:b/>
          <w:bCs/>
          <w:color w:val="2E75B6"/>
          <w:sz w:val="20"/>
          <w:szCs w:val="20"/>
        </w:rPr>
        <w:t xml:space="preserve">▶ 논점 37. 기판력 사례풀이 구조 ★★★</w:t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6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사례풀이 순서: 발·작·법·주·객·시 (별 5개)</w:t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[1] 기판력의 발생요건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원칙</w:t>
            </w:r>
            <w:r>
              <w:rPr>
                <w:color w:val="555555"/>
                <w:sz w:val="18"/>
                <w:szCs w:val="18"/>
              </w:rPr>
              <w:t xml:space="preserve">: 유효한 종국판결이 확정 → 기판력 발생 / 무효인 판결에는 기판력 발생 X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무효판결 유형: 재·망·적·계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재</w:t>
            </w:r>
            <w:r>
              <w:rPr>
                <w:color w:val="555555"/>
                <w:sz w:val="18"/>
                <w:szCs w:val="18"/>
              </w:rPr>
              <w:t xml:space="preserve">: 재판권 없는 자에 대한 판결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망</w:t>
            </w:r>
            <w:r>
              <w:rPr>
                <w:color w:val="555555"/>
                <w:sz w:val="18"/>
                <w:szCs w:val="18"/>
              </w:rPr>
              <w:t xml:space="preserve">: 제소 전 사망한 자에 대한 판결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적</w:t>
            </w:r>
            <w:r>
              <w:rPr>
                <w:color w:val="555555"/>
                <w:sz w:val="18"/>
                <w:szCs w:val="18"/>
              </w:rPr>
              <w:t xml:space="preserve">: 당사자적격 없는 자가 받은 판결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계</w:t>
            </w:r>
            <w:r>
              <w:rPr>
                <w:color w:val="555555"/>
                <w:sz w:val="18"/>
                <w:szCs w:val="18"/>
              </w:rPr>
              <w:t xml:space="preserve">: 소송계속 소멸함을 간과한 판결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/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[2] 기판력의 작용여부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검토</w:t>
            </w:r>
            <w:r>
              <w:rPr>
                <w:color w:val="555555"/>
                <w:sz w:val="18"/>
                <w:szCs w:val="18"/>
              </w:rPr>
              <w:t xml:space="preserve">: 주관적·객관적·시적 범위 각각 검토</w:t>
            </w:r>
          </w:p>
          <w:p>
            <w:pPr>
              <w:spacing w:after="0" w:before="10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[3] 법원의 조치 — 기판력의 본질 (모순금지설)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승소원고 재소</w:t>
            </w:r>
            <w:r>
              <w:rPr>
                <w:color w:val="555555"/>
                <w:sz w:val="18"/>
                <w:szCs w:val="18"/>
              </w:rPr>
              <w:t xml:space="preserve">: 권리보호이익 X → 소 각하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패소원고 재소</w:t>
            </w:r>
            <w:r>
              <w:rPr>
                <w:color w:val="555555"/>
                <w:sz w:val="18"/>
                <w:szCs w:val="18"/>
              </w:rPr>
              <w:t xml:space="preserve">: 모순된 판단을 금지하는 효력 → 청구 기각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선결문제</w:t>
            </w:r>
            <w:r>
              <w:rPr>
                <w:color w:val="555555"/>
                <w:sz w:val="18"/>
                <w:szCs w:val="18"/>
              </w:rPr>
              <w:t xml:space="preserve">: 전소 기판력 있는 판단을 전제하여 본안판결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기판력의 본질 — 모순금지설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판례는 기판력을 후소법원에 대해 전소 확정판결과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모순된 판단을 금지하는 효력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이라고 보는바(모순금지설), 전소 승소 원고의 소 제기는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권리보호이익 없어 소 각하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, 패소 원고의 소 제기는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모순된 판단을 금지하는 효력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으로 인해 청구기각한다.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[4] 주관적 범위 → 논점 38 참조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[5] 객관적 범위 (제216조)</w:t>
            </w:r>
          </w:p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발생범위: 주문 / 예외: 상계항변 | 작용범위: 동·선·모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발생범위</w:t>
            </w:r>
            <w:r>
              <w:rPr>
                <w:color w:val="555555"/>
                <w:sz w:val="18"/>
                <w:szCs w:val="18"/>
              </w:rPr>
              <w:t xml:space="preserve">: &lt;주문에 포함된 것에 한하여&gt; 기판력 / &lt;판결 이유 중의 판단&gt;에는 발생 X (제216조①)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예외</w:t>
            </w:r>
            <w:r>
              <w:rPr>
                <w:color w:val="555555"/>
                <w:sz w:val="18"/>
                <w:szCs w:val="18"/>
              </w:rPr>
              <w:t xml:space="preserve">: 상계항변 → 기판력 발생 (제216조②)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작용범위 — 동·선·모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동</w:t>
            </w:r>
            <w:r>
              <w:rPr>
                <w:color w:val="555555"/>
                <w:sz w:val="18"/>
                <w:szCs w:val="18"/>
              </w:rPr>
              <w:t xml:space="preserve">: 동일 소송물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선</w:t>
            </w:r>
            <w:r>
              <w:rPr>
                <w:color w:val="555555"/>
                <w:sz w:val="18"/>
                <w:szCs w:val="18"/>
              </w:rPr>
              <w:t xml:space="preserve">: 전소 소송물이 후소의 선결문제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모</w:t>
            </w:r>
            <w:r>
              <w:rPr>
                <w:color w:val="555555"/>
                <w:sz w:val="18"/>
                <w:szCs w:val="18"/>
              </w:rPr>
              <w:t xml:space="preserve">: 전소·후소 소송물이 모순관계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[6] 시적범위 — 기판력의 실권효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원칙</w:t>
            </w:r>
            <w:r>
              <w:rPr>
                <w:color w:val="555555"/>
                <w:sz w:val="18"/>
                <w:szCs w:val="18"/>
              </w:rPr>
              <w:t xml:space="preserve">: 사실심 변론종결 전에 당사자가 주장했거나 할 수 있었던 공격방어방법은 &lt;기판력의 실권효&gt;에 의해 차단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객관적 범위 — 주문 한정 (제216조①)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주문에 포함된 것에 한하여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기판력을 가지며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판결 이유 중의 판단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에는 생기지 않는다(민소법 제216조 제1항). 다만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상계항변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은 예외(제216조②).</w:t>
            </w:r>
          </w:p>
          <w:p>
            <w:pPr>
              <w:spacing w:after="0" w:before="14"/>
            </w:pPr>
            <w:r>
              <w:t xml:space="preserve"/>
            </w:r>
          </w:p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시적범위 — 실권효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사실심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변론종결 시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를 기준으로, 그 전에 당사자가 주장했거나 할 수 있었던 공격방어방법은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기판력의 실권효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에 의해 차단된다.</w:t>
            </w:r>
          </w:p>
        </w:tc>
      </w:tr>
    </w:tbl>
    <w:p>
      <w:pPr>
        <w:pBdr>
          <w:bottom w:val="single" w:color="2E75B6" w:sz="4" w:space="1"/>
        </w:pBdr>
        <w:spacing w:after="14" w:before="44"/>
      </w:pPr>
      <w:r>
        <w:rPr>
          <w:b/>
          <w:bCs/>
          <w:color w:val="2E75B6"/>
          <w:sz w:val="20"/>
          <w:szCs w:val="20"/>
        </w:rPr>
        <w:t xml:space="preserve">▶ 논점 38. 기판력의 주관적 범위 ★★</w:t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6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원칙: 당사자(제218조①) / 예외: 제218조①②③항</w:t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[1] 원칙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조문</w:t>
            </w:r>
            <w:r>
              <w:rPr>
                <w:color w:val="555555"/>
                <w:sz w:val="18"/>
                <w:szCs w:val="18"/>
              </w:rPr>
              <w:t xml:space="preserve">: 기판력은 &lt;당사자&gt;에게만 미치고 제3자에게는 미치지 않는 것이 원칙 (제218조①)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취지</w:t>
            </w:r>
            <w:r>
              <w:rPr>
                <w:color w:val="555555"/>
                <w:sz w:val="18"/>
                <w:szCs w:val="18"/>
              </w:rPr>
              <w:t xml:space="preserve">: &lt;제3자의 절차권 침해 방지&gt;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주관적 범위 원칙 (제218조①)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기판력은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당사자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에게만 미치고 제3자에게는 미치지 않는 것이 원칙이다(제218조 제1항).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제3자의 절차권 침해 방지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취지.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[2] 변론종결 뒤의 승계인 (제218조①)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의의</w:t>
            </w:r>
            <w:r>
              <w:rPr>
                <w:color w:val="555555"/>
                <w:sz w:val="18"/>
                <w:szCs w:val="18"/>
              </w:rPr>
              <w:t xml:space="preserve">: 확정판결의 기판력은 &lt;변론종결한 뒤의 승계인&gt;에 대하여 효력이 미침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(1) 변론종결 뒤 시점 판단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부동산</w:t>
            </w:r>
            <w:r>
              <w:rPr>
                <w:color w:val="555555"/>
                <w:sz w:val="18"/>
                <w:szCs w:val="18"/>
              </w:rPr>
              <w:t xml:space="preserve">: 부동산물권변동의 효력이 생기는 때 = &lt;소유권이전등기&gt;가 이루어진 시점 기준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가등기+본등기</w:t>
            </w:r>
            <w:r>
              <w:rPr>
                <w:color w:val="555555"/>
                <w:sz w:val="18"/>
                <w:szCs w:val="18"/>
              </w:rPr>
              <w:t xml:space="preserve">: 가등기: 변종 전 / 본등기: 변종 후 → 변종후 승계인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채권양수인</w:t>
            </w:r>
            <w:r>
              <w:rPr>
                <w:color w:val="555555"/>
                <w:sz w:val="18"/>
                <w:szCs w:val="18"/>
              </w:rPr>
              <w:t xml:space="preserve">: 채권양도 합의 시 X → &lt;대항요건이 갖추어진 때&gt; 기준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(2) 승계인 해당 여부 — 소·계·방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소</w:t>
            </w:r>
            <w:r>
              <w:rPr>
                <w:color w:val="555555"/>
                <w:sz w:val="18"/>
                <w:szCs w:val="18"/>
              </w:rPr>
              <w:t xml:space="preserve">: &lt;소송물인 실체법상의 권리의무를 승계한 자&gt; (물권·채권 불문)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계</w:t>
            </w:r>
            <w:r>
              <w:rPr>
                <w:color w:val="555555"/>
                <w:sz w:val="18"/>
                <w:szCs w:val="18"/>
              </w:rPr>
              <w:t xml:space="preserve">: 물권적 청구권 = 대세적 효력 → 승계인 O / 채권적 청구권 = 대인적 효력 → 승계인 X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방</w:t>
            </w:r>
            <w:r>
              <w:rPr>
                <w:color w:val="555555"/>
                <w:sz w:val="18"/>
                <w:szCs w:val="18"/>
              </w:rPr>
              <w:t xml:space="preserve">: 고유한 방어방법 있는 경우 → &lt;실질설&gt; → 실질적 승계 X → 승계인 해당 X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추가 유형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추정승계인</w:t>
            </w:r>
            <w:r>
              <w:rPr>
                <w:color w:val="555555"/>
                <w:sz w:val="18"/>
                <w:szCs w:val="18"/>
              </w:rPr>
              <w:t xml:space="preserve">: 변종 전 승계했으나 진술 X → 변종후 승계인으로 추정 → 기판력 O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목적물 소지인</w:t>
            </w:r>
            <w:r>
              <w:rPr>
                <w:color w:val="555555"/>
                <w:sz w:val="18"/>
                <w:szCs w:val="18"/>
              </w:rPr>
              <w:t xml:space="preserve">: 청구의 목적물의 소지인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채권양수인 기준시 — 대항요건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판례는 채권양수인의 경우 채권양도의 합의가 이루어진 때가 아니라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대항요건이 갖추어진 때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를 기준으로 판단하여야 한다고 본다.</w:t>
            </w:r>
          </w:p>
          <w:p>
            <w:pPr>
              <w:spacing w:after="0" w:before="14"/>
            </w:pPr>
            <w:r>
              <w:t xml:space="preserve"/>
            </w:r>
          </w:p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물권/채권 구분 — 계쟁물 당사자적격 승계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판례는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구소송물이론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에 따라 원고의 청구권이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물권적 청구권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인 경우에는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대세적 효력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이 있으므로 승계인의 범위에 포함되지만,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채권적 청구권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인 경우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대인적 효력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밖에 없으므로 승계인에 포함되지 않는다.</w:t>
            </w:r>
          </w:p>
          <w:p>
            <w:pPr>
              <w:spacing w:after="0" w:before="14"/>
            </w:pPr>
            <w:r>
              <w:t xml:space="preserve"/>
            </w:r>
          </w:p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고유방어방법 — 실질설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판례는 구소송물이론의 입장에서 승계인이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고유한 방어방법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을 갖고 있다면,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실질적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으로 당사자의 지위를 승계했다고 말할 수 없으므로 제218조 제1항의 변론종결 뒤의 승계인에 해당하지 않는다고 보는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실질설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의 입장이다.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[3] 제3자법정소송담당 (제218조③)</w:t>
            </w:r>
          </w:p>
          <w:p>
            <w:pPr>
              <w:spacing w:after="0" w:before="6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(1) 채권자대위소송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원칙</w:t>
            </w:r>
            <w:r>
              <w:rPr>
                <w:color w:val="555555"/>
                <w:sz w:val="18"/>
                <w:szCs w:val="18"/>
              </w:rPr>
              <w:t xml:space="preserve">: 채대소송 제기 사실을 &lt;채무자가 알았을 경우&gt;에만 채무자에게 기판력 미침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채무자 소 판결 → 채권자 기판력 여부: 기·대·법 + 당·다·실·동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기판력</w:t>
            </w:r>
            <w:r>
              <w:rPr>
                <w:color w:val="555555"/>
                <w:sz w:val="18"/>
                <w:szCs w:val="18"/>
              </w:rPr>
              <w:t xml:space="preserve">: &lt;당사자가 다르지만 실질상 동일한 소송&gt;으로 기판력이 미침 (당다실동)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case1</w:t>
            </w:r>
            <w:r>
              <w:rPr>
                <w:color w:val="555555"/>
                <w:sz w:val="18"/>
                <w:szCs w:val="18"/>
              </w:rPr>
              <w:t xml:space="preserve">: 채무자 패소 → 권리불행사 X → 대위요건 흠결 → 각하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case2</w:t>
            </w:r>
            <w:r>
              <w:rPr>
                <w:color w:val="555555"/>
                <w:sz w:val="18"/>
                <w:szCs w:val="18"/>
              </w:rPr>
              <w:t xml:space="preserve">: 제3채무자가 채무자에게 소제기하여 승소 → 이행불능 → 피보전권리 X → 각하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법원조치</w:t>
            </w:r>
            <w:r>
              <w:rPr>
                <w:color w:val="555555"/>
                <w:sz w:val="18"/>
                <w:szCs w:val="18"/>
              </w:rPr>
              <w:t xml:space="preserve">: &lt;소송요건 선순위성 원칙&gt; → 소 각하 우선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(2) 채권자취소소송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기판력</w:t>
            </w:r>
            <w:r>
              <w:rPr>
                <w:color w:val="555555"/>
                <w:sz w:val="18"/>
                <w:szCs w:val="18"/>
              </w:rPr>
              <w:t xml:space="preserve">: 소송물 = &lt;채권자 자신의 채권자취소권&gt; → 각 채권자의 권리는 &lt;서로 별개&gt; → 기판력 X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채대소송 — 기판력 당다실동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채권자대위소송에서 채무자가 제3채무자에 대하여 제기한 소송의 판결은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당사자가 다르지만 실질상 동일한 소송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으로 기판력이 미친다.</w:t>
            </w:r>
          </w:p>
          <w:p>
            <w:pPr>
              <w:spacing w:after="0" w:before="14"/>
            </w:pPr>
            <w:r>
              <w:t xml:space="preserve"/>
            </w:r>
          </w:p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채권자취소소송 기판력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채권자취소소송의 소송물은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채권자 자신의 채권자취소권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이므로 각 채권자의 채권자취소권은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서로 별개의 권리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이기 때문에 기판력 미치지 않음.</w:t>
            </w:r>
          </w:p>
        </w:tc>
      </w:tr>
    </w:tbl>
    <w:p w14:paraId="7639A4ED" w14:textId="77777777" w:rsidR="00D0190D" w:rsidRDefault="00D0190D">
      <w:pPr>
        <w:spacing w:line="60" w:lineRule="exact"/>
      </w:pPr>
    </w:p>
    <w:p w14:paraId="7639A4EE" w14:textId="77777777" w:rsidR="00D0190D" w:rsidRDefault="00D0190D">
      <w:pPr>
        <w:pBdr>
          <w:bottom w:val="single" w:sz="4" w:space="1" w:color="1F3864"/>
        </w:pBdr>
        <w:spacing w:before="22" w:after="22"/>
      </w:pPr>
    </w:p>
    <w:p w14:paraId="7639A4EF" w14:textId="77777777" w:rsidR="00D0190D" w:rsidRDefault="00D0190D">
      <w:pPr>
        <w:spacing w:line="2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0"/>
      </w:tblGrid>
      <w:tr w:rsidR="00D0190D" w14:paraId="7639A4F1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9A4F0" w14:textId="77777777" w:rsidR="00D0190D" w:rsidRDefault="009F31AD">
            <w:r>
              <w:rPr>
                <w:b/>
                <w:bCs/>
                <w:color w:val="FFFFFF"/>
                <w:sz w:val="22"/>
                <w:szCs w:val="22"/>
              </w:rPr>
              <w:t>【오늘의 공부 레포트】</w:t>
            </w:r>
          </w:p>
        </w:tc>
      </w:tr>
    </w:tbl>
    <w:p w14:paraId="7639A4F2" w14:textId="77777777" w:rsidR="00D0190D" w:rsidRDefault="00D0190D">
      <w:pPr>
        <w:spacing w:line="1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600"/>
      </w:tblGrid>
      <w:tr w:rsidR="00D0190D" w14:paraId="7639A4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9DCF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39A4F3" w14:textId="77777777" w:rsidR="00D0190D" w:rsidRDefault="009F31AD">
            <w:pPr>
              <w:jc w:val="center"/>
            </w:pPr>
            <w:r>
              <w:rPr>
                <w:b/>
                <w:bCs/>
                <w:color w:val="1F3864"/>
              </w:rPr>
              <w:t>공부 범위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4" w:type="dxa"/>
              <w:left w:w="100" w:type="dxa"/>
              <w:bottom w:w="44" w:type="dxa"/>
              <w:right w:w="100" w:type="dxa"/>
            </w:tcMar>
          </w:tcPr>
          <w:p w14:paraId="7639A4F4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논점 32 소송종료선언 / 논점 33 소취하·재소금지 / 논점 34 청구포기·인낙·소송상화해</w:t>
            </w:r>
          </w:p>
          <w:p w14:paraId="7639A4F5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lastRenderedPageBreak/>
              <w:t>논점 35 제소전화해·화해권고결정 / 논점 36 판결(일부판결·추가판결·경정) / 유일한 증거(선택형)</w:t>
            </w:r>
          </w:p>
        </w:tc>
      </w:tr>
      <w:tr w:rsidR="00D0190D" w14:paraId="7639A4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9DCF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39A4F7" w14:textId="77777777" w:rsidR="00D0190D" w:rsidRDefault="009F31AD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오늘의 깨달음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4" w:type="dxa"/>
              <w:left w:w="100" w:type="dxa"/>
              <w:bottom w:w="44" w:type="dxa"/>
              <w:right w:w="100" w:type="dxa"/>
            </w:tcMar>
          </w:tcPr>
          <w:p w14:paraId="7639A4F8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화해·포기·인낙 검토 틀(요법기다해)과 소취하(당소시방동)의 구조적 유사성 → 병렬 암기</w:t>
            </w:r>
          </w:p>
          <w:p w14:paraId="7639A4F9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일부판결 허부는 '모순저촉 우려' 기준으로 절단 판단</w:t>
            </w:r>
          </w:p>
        </w:tc>
      </w:tr>
      <w:tr w:rsidR="00D0190D" w14:paraId="7639A4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9DCF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39A4FB" w14:textId="77777777" w:rsidR="00D0190D" w:rsidRDefault="009F31AD">
            <w:pPr>
              <w:jc w:val="center"/>
            </w:pPr>
            <w:r>
              <w:rPr>
                <w:b/>
                <w:bCs/>
                <w:color w:val="1F3864"/>
              </w:rPr>
              <w:t>복습 필요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4" w:type="dxa"/>
              <w:left w:w="100" w:type="dxa"/>
              <w:bottom w:w="44" w:type="dxa"/>
              <w:right w:w="100" w:type="dxa"/>
            </w:tcMar>
          </w:tcPr>
          <w:p w14:paraId="7639A4FC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① 논점 36 판결의 경정(제211조) — 차회 보완</w:t>
            </w:r>
          </w:p>
          <w:p w14:paraId="7639A4FD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② 재소금지 선결문제 판례 원문 확인</w:t>
            </w:r>
          </w:p>
          <w:p w14:paraId="7639A4FE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③ 소송상 화해 조건부 허용 근거 재확인</w:t>
            </w:r>
          </w:p>
        </w:tc>
      </w:tr>
      <w:tr w:rsidR="00D0190D" w14:paraId="7639A5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9DCF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39A500" w14:textId="77777777" w:rsidR="00D0190D" w:rsidRDefault="009F31AD">
            <w:pPr>
              <w:jc w:val="center"/>
            </w:pPr>
            <w:r>
              <w:rPr>
                <w:b/>
                <w:bCs/>
                <w:color w:val="1F3864"/>
              </w:rPr>
              <w:t>총평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4" w:type="dxa"/>
              <w:left w:w="100" w:type="dxa"/>
              <w:bottom w:w="44" w:type="dxa"/>
              <w:right w:w="100" w:type="dxa"/>
            </w:tcMar>
          </w:tcPr>
          <w:p w14:paraId="7639A501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논점 32~36 구조 전반 입력 완료. 별점 논점(32★, 34★, 36★★★) 정리됨.</w:t>
            </w:r>
          </w:p>
          <w:p w14:paraId="7639A502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판례가 해당 목차와 수직 정렬 → 한 눈에 소속 파악 가능.</w:t>
            </w:r>
          </w:p>
        </w:tc>
      </w:tr>
    </w:tbl>
    <w:p w14:paraId="7639A504" w14:textId="77777777" w:rsidR="00D0190D" w:rsidRDefault="00D0190D">
      <w:pPr>
        <w:spacing w:line="36" w:lineRule="exact"/>
      </w:pPr>
    </w:p>
    <w:p w14:paraId="7639A505" w14:textId="77777777" w:rsidR="00D0190D" w:rsidRDefault="009F31AD">
      <w:pPr>
        <w:jc w:val="center"/>
      </w:pPr>
      <w:r>
        <w:rPr>
          <w:color w:val="1F3864"/>
          <w:sz w:val="16"/>
          <w:szCs w:val="16"/>
        </w:rPr>
        <w:t>━━━━━━━━━━━  복습용 · 프로젝트1 첨삭용 · 프로젝트3 퀴즈용 겸용  ━━━━━━━━━━━</w:t>
      </w:r>
    </w:p>
    <w:sectPr w:rsidR="00D0190D">
      <w:headerReference w:type="default" r:id="rId7"/>
      <w:footerReference w:type="default" r:id="rId8"/>
      <w:pgSz w:w="11906" w:h="16838"/>
      <w:pgMar w:top="600" w:right="650" w:bottom="65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17279" w14:textId="77777777" w:rsidR="009F31AD" w:rsidRDefault="009F31AD">
      <w:r>
        <w:separator/>
      </w:r>
    </w:p>
  </w:endnote>
  <w:endnote w:type="continuationSeparator" w:id="0">
    <w:p w14:paraId="1AACED3E" w14:textId="77777777" w:rsidR="009F31AD" w:rsidRDefault="009F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9A507" w14:textId="33983AC4" w:rsidR="00D0190D" w:rsidRDefault="009F31AD">
    <w:pPr>
      <w:pBdr>
        <w:top w:val="single" w:sz="2" w:space="1" w:color="CCCCCC"/>
      </w:pBdr>
      <w:jc w:val="center"/>
    </w:pPr>
    <w:r>
      <w:rPr>
        <w:color w:val="999999"/>
        <w:sz w:val="15"/>
        <w:szCs w:val="15"/>
      </w:rPr>
      <w:t>복습용</w:t>
    </w:r>
    <w:r>
      <w:rPr>
        <w:color w:val="999999"/>
        <w:sz w:val="15"/>
        <w:szCs w:val="15"/>
      </w:rPr>
      <w:t xml:space="preserve"> · </w:t>
    </w:r>
    <w:r>
      <w:rPr>
        <w:color w:val="999999"/>
        <w:sz w:val="15"/>
        <w:szCs w:val="15"/>
      </w:rPr>
      <w:t>첨삭용</w:t>
    </w:r>
    <w:r>
      <w:rPr>
        <w:color w:val="999999"/>
        <w:sz w:val="15"/>
        <w:szCs w:val="15"/>
      </w:rPr>
      <w:t xml:space="preserve"> · </w:t>
    </w:r>
    <w:r>
      <w:rPr>
        <w:color w:val="999999"/>
        <w:sz w:val="15"/>
        <w:szCs w:val="15"/>
      </w:rPr>
      <w:t>퀴즈용</w:t>
    </w:r>
    <w:r>
      <w:rPr>
        <w:color w:val="999999"/>
        <w:sz w:val="15"/>
        <w:szCs w:val="15"/>
      </w:rPr>
      <w:t xml:space="preserve"> </w:t>
    </w:r>
    <w:proofErr w:type="gramStart"/>
    <w:r>
      <w:rPr>
        <w:color w:val="999999"/>
        <w:sz w:val="15"/>
        <w:szCs w:val="15"/>
      </w:rPr>
      <w:t>겸용</w:t>
    </w:r>
    <w:r>
      <w:rPr>
        <w:color w:val="999999"/>
        <w:sz w:val="15"/>
        <w:szCs w:val="15"/>
      </w:rPr>
      <w:t xml:space="preserve">  |</w:t>
    </w:r>
    <w:proofErr w:type="gramEnd"/>
    <w:r>
      <w:rPr>
        <w:color w:val="999999"/>
        <w:sz w:val="15"/>
        <w:szCs w:val="15"/>
      </w:rPr>
      <w:t xml:space="preserve">  p.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AC427B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41CAF" w14:textId="77777777" w:rsidR="009F31AD" w:rsidRDefault="009F31AD">
      <w:r>
        <w:separator/>
      </w:r>
    </w:p>
  </w:footnote>
  <w:footnote w:type="continuationSeparator" w:id="0">
    <w:p w14:paraId="23143FFE" w14:textId="77777777" w:rsidR="009F31AD" w:rsidRDefault="009F3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9A506" w14:textId="77777777" w:rsidR="00D0190D" w:rsidRDefault="009F31AD">
    <w:pPr>
      <w:pBdr>
        <w:bottom w:val="single" w:sz="2" w:space="1" w:color="CCCCCC"/>
      </w:pBdr>
      <w:jc w:val="right"/>
    </w:pPr>
    <w:proofErr w:type="gramStart"/>
    <w:r>
      <w:rPr>
        <w:color w:val="999999"/>
        <w:sz w:val="15"/>
        <w:szCs w:val="15"/>
      </w:rPr>
      <w:t>민사소송법</w:t>
    </w:r>
    <w:r>
      <w:rPr>
        <w:color w:val="999999"/>
        <w:sz w:val="15"/>
        <w:szCs w:val="15"/>
      </w:rPr>
      <w:t xml:space="preserve">  |</w:t>
    </w:r>
    <w:proofErr w:type="gramEnd"/>
    <w:r>
      <w:rPr>
        <w:color w:val="999999"/>
        <w:sz w:val="15"/>
        <w:szCs w:val="15"/>
      </w:rPr>
      <w:t xml:space="preserve">  2026-05-</w:t>
    </w:r>
    <w:proofErr w:type="gramStart"/>
    <w:r>
      <w:rPr>
        <w:color w:val="999999"/>
        <w:sz w:val="15"/>
        <w:szCs w:val="15"/>
      </w:rPr>
      <w:t>12  |</w:t>
    </w:r>
    <w:proofErr w:type="gramEnd"/>
    <w:r>
      <w:rPr>
        <w:color w:val="999999"/>
        <w:sz w:val="15"/>
        <w:szCs w:val="15"/>
      </w:rPr>
      <w:t xml:space="preserve">  </w:t>
    </w:r>
    <w:r>
      <w:rPr>
        <w:color w:val="999999"/>
        <w:sz w:val="15"/>
        <w:szCs w:val="15"/>
      </w:rPr>
      <w:t>논점</w:t>
    </w:r>
    <w:r>
      <w:rPr>
        <w:color w:val="999999"/>
        <w:sz w:val="15"/>
        <w:szCs w:val="15"/>
      </w:rPr>
      <w:t xml:space="preserve"> 32~36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6579"/>
    <w:multiLevelType w:val="hybridMultilevel"/>
    <w:tmpl w:val="4B76536E"/>
    <w:lvl w:ilvl="0" w:tplc="1A0A4C86">
      <w:start w:val="1"/>
      <w:numFmt w:val="bullet"/>
      <w:lvlText w:val="●"/>
      <w:lvlJc w:val="left"/>
      <w:pPr>
        <w:ind w:left="720" w:hanging="360"/>
      </w:pPr>
    </w:lvl>
    <w:lvl w:ilvl="1" w:tplc="37E23B6C">
      <w:start w:val="1"/>
      <w:numFmt w:val="bullet"/>
      <w:lvlText w:val="○"/>
      <w:lvlJc w:val="left"/>
      <w:pPr>
        <w:ind w:left="1440" w:hanging="360"/>
      </w:pPr>
    </w:lvl>
    <w:lvl w:ilvl="2" w:tplc="2F4CE11C">
      <w:start w:val="1"/>
      <w:numFmt w:val="bullet"/>
      <w:lvlText w:val="■"/>
      <w:lvlJc w:val="left"/>
      <w:pPr>
        <w:ind w:left="2160" w:hanging="360"/>
      </w:pPr>
    </w:lvl>
    <w:lvl w:ilvl="3" w:tplc="9BD818E2">
      <w:start w:val="1"/>
      <w:numFmt w:val="bullet"/>
      <w:lvlText w:val="●"/>
      <w:lvlJc w:val="left"/>
      <w:pPr>
        <w:ind w:left="2880" w:hanging="360"/>
      </w:pPr>
    </w:lvl>
    <w:lvl w:ilvl="4" w:tplc="FADA42DC">
      <w:start w:val="1"/>
      <w:numFmt w:val="bullet"/>
      <w:lvlText w:val="○"/>
      <w:lvlJc w:val="left"/>
      <w:pPr>
        <w:ind w:left="3600" w:hanging="360"/>
      </w:pPr>
    </w:lvl>
    <w:lvl w:ilvl="5" w:tplc="554E10AA">
      <w:start w:val="1"/>
      <w:numFmt w:val="bullet"/>
      <w:lvlText w:val="■"/>
      <w:lvlJc w:val="left"/>
      <w:pPr>
        <w:ind w:left="4320" w:hanging="360"/>
      </w:pPr>
    </w:lvl>
    <w:lvl w:ilvl="6" w:tplc="C0D05CEE">
      <w:start w:val="1"/>
      <w:numFmt w:val="bullet"/>
      <w:lvlText w:val="●"/>
      <w:lvlJc w:val="left"/>
      <w:pPr>
        <w:ind w:left="5040" w:hanging="360"/>
      </w:pPr>
    </w:lvl>
    <w:lvl w:ilvl="7" w:tplc="8E1E8D2C">
      <w:start w:val="1"/>
      <w:numFmt w:val="bullet"/>
      <w:lvlText w:val="●"/>
      <w:lvlJc w:val="left"/>
      <w:pPr>
        <w:ind w:left="5760" w:hanging="360"/>
      </w:pPr>
    </w:lvl>
    <w:lvl w:ilvl="8" w:tplc="7DCEAECA">
      <w:start w:val="1"/>
      <w:numFmt w:val="bullet"/>
      <w:lvlText w:val="●"/>
      <w:lvlJc w:val="left"/>
      <w:pPr>
        <w:ind w:left="6480" w:hanging="360"/>
      </w:pPr>
    </w:lvl>
  </w:abstractNum>
  <w:num w:numId="1" w16cid:durableId="1279526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90D"/>
    <w:rsid w:val="006963ED"/>
    <w:rsid w:val="009F31AD"/>
    <w:rsid w:val="00AC427B"/>
    <w:rsid w:val="00D0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9A466"/>
  <w15:docId w15:val="{6ADA7FF7-A2C1-4DD8-B1FC-5C3E70C9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C427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C427B"/>
  </w:style>
  <w:style w:type="paragraph" w:styleId="ab">
    <w:name w:val="footer"/>
    <w:basedOn w:val="a"/>
    <w:link w:val="Char2"/>
    <w:uiPriority w:val="99"/>
    <w:unhideWhenUsed/>
    <w:rsid w:val="00AC427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C4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세직 박</cp:lastModifiedBy>
  <cp:revision>2</cp:revision>
  <dcterms:created xsi:type="dcterms:W3CDTF">2026-05-12T07:25:00Z</dcterms:created>
  <dcterms:modified xsi:type="dcterms:W3CDTF">2026-05-12T07:26:00Z</dcterms:modified>
</cp:coreProperties>
</file>