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D3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민법총칙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A8FB0"/>
                <w:sz w:val="22"/>
                <w:szCs w:val="22"/>
              </w:rPr>
              <w:t xml:space="preserve">  ·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8D4EA"/>
                <w:sz w:val="22"/>
                <w:szCs w:val="22"/>
              </w:rPr>
              <w:t xml:space="preserve">암기 찌라시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A8FB0"/>
                <w:sz w:val="22"/>
                <w:szCs w:val="22"/>
              </w:rPr>
              <w:t xml:space="preserve">  ·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9AAAC8"/>
                <w:sz w:val="18"/>
                <w:szCs w:val="18"/>
              </w:rPr>
              <w:t xml:space="preserve">2026.05.25</w:t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rPr>
          <w:trHeight w:val="80" w:hRule="exact"/>
        </w:trP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▌  Ⅰ. 법원 — 관습법</w:t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rPr>
          <w:trHeight w:val="30" w:hRule="exact"/>
        </w:trP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5346"/>
      </w:tblGrid>
      <w:tr>
        <w:trPr>
          <w:cantSplit w:val="false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0C8B8" w:sz="2"/>
              <w:right w:val="none" w:color="FFFFFF" w:sz="0"/>
            </w:tcBorders>
            <w:shd w:fill="F2EFE7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16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C4A8A"/>
                <w:sz w:val="19"/>
                <w:szCs w:val="19"/>
              </w:rPr>
              <w:t xml:space="preserve">관습법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성립요건: 관행 + 법적확신 + 정당성과 합리성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종중: 자연발생적인 종족 집단</w:t>
            </w:r>
          </w:p>
        </w:tc>
        <w:tc>
          <w:tcPr>
            <w:tcW w:type="dxa" w:w="5346"/>
            <w:tcBorders>
              <w:top w:val="none" w:color="FFFFFF" w:sz="0"/>
              <w:left w:val="none" w:color="FFFFFF" w:sz="0"/>
              <w:bottom w:val="single" w:color="D0C8B8" w:sz="2"/>
              <w:right w:val="none" w:color="FFFFFF" w:sz="0"/>
            </w:tcBorders>
            <w:shd w:fill="F2EFE7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rPr>
          <w:trHeight w:val="60" w:hRule="exact"/>
        </w:trP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▌  Ⅱ. 신의칙 파생 원칙</w:t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rPr>
          <w:trHeight w:val="30" w:hRule="exact"/>
        </w:trP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5346"/>
      </w:tblGrid>
      <w:tr>
        <w:trPr>
          <w:cantSplit w:val="false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0C8B8" w:sz="2"/>
              <w:right w:val="none" w:color="FFFFFF" w:sz="0"/>
            </w:tcBorders>
            <w:shd w:fill="F2EFE7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16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C4A8A"/>
                <w:sz w:val="19"/>
                <w:szCs w:val="19"/>
              </w:rPr>
              <w:t xml:space="preserve">권리남용의 원칙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객관적 요건: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권리의 존재 및 행사 + 실질적인 사회질서 위반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&gt; 이익형량, 전략적 행동의 유무, 귀책성 종합 고려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22222"/>
                <w:sz w:val="17"/>
                <w:szCs w:val="17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〈이.전.귀〉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주관적 요건: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상대방에게 고통을 주고 손해를 입히려는 목적, 가해의사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※ 주관적 요건은 권리자의 정당한 이익 결여라는 객관적 요건에 의해 추인될 수 있다</w:t>
            </w:r>
          </w:p>
        </w:tc>
        <w:tc>
          <w:tcPr>
            <w:tcW w:type="dxa" w:w="5346"/>
            <w:tcBorders>
              <w:top w:val="none" w:color="FFFFFF" w:sz="0"/>
              <w:left w:val="single" w:color="B22222" w:sz="8"/>
              <w:bottom w:val="single" w:color="D0C8B8" w:sz="2"/>
              <w:right w:val="none" w:color="FFFFFF" w:sz="0"/>
            </w:tcBorders>
            <w:shd w:fill="FFFACD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pPr>
              <w:spacing w:after="12" w:before="12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판례는 부동산 이중매매는 계약자유의 원칙에 비추어 유효함이 원칙이나 제2매수인이 매도인의 배임행위에 적극 가담한 경우에는 정의관념에 반하는 행위로서 반사회질서 행위로서 무효가 된다고 판시.</w:t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rPr>
          <w:trHeight w:val="30" w:hRule="exact"/>
        </w:trP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5346"/>
      </w:tblGrid>
      <w:tr>
        <w:trPr>
          <w:cantSplit w:val="false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0C8B8" w:sz="2"/>
              <w:right w:val="none" w:color="FFFFFF" w:sz="0"/>
            </w:tcBorders>
            <w:shd w:fill="F2EFE7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16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C4A8A"/>
                <w:sz w:val="19"/>
                <w:szCs w:val="19"/>
              </w:rPr>
              <w:t xml:space="preserve">실효의 원칙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상당 기간 권리 불행사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+ 상대방의 신뢰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+ 새삼 권리 행사 기대불가능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+ 행사제한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22222"/>
                <w:sz w:val="17"/>
                <w:szCs w:val="17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〈상.신.기행.〉</w:t>
            </w:r>
          </w:p>
        </w:tc>
        <w:tc>
          <w:tcPr>
            <w:tcW w:type="dxa" w:w="5346"/>
            <w:tcBorders>
              <w:top w:val="none" w:color="FFFFFF" w:sz="0"/>
              <w:left w:val="single" w:color="B22222" w:sz="8"/>
              <w:bottom w:val="single" w:color="D0C8B8" w:sz="2"/>
              <w:right w:val="none" w:color="FFFFFF" w:sz="0"/>
            </w:tcBorders>
            <w:shd w:fill="FFFACD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pPr>
              <w:spacing w:after="12" w:before="12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판례는 분필되지 않은 1필의 토지에 대해서도 그 부분이 다른 부분과 구분되어, 시효취득자의 점유하에 속한다는 것을 인식하기에 충분한 징표가 있고, 그 징표가 계속하여 존속한다면 취득시효가 인정된다는 입장</w:t>
            </w:r>
          </w:p>
          <w:p>
            <w:pPr>
              <w:spacing w:after="0" w:before="8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22222"/>
                <w:sz w:val="17"/>
                <w:szCs w:val="17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22222"/>
                <w:sz w:val="17"/>
                <w:szCs w:val="17"/>
              </w:rPr>
              <w:t xml:space="preserve">〈구.징.계〉</w:t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rPr>
          <w:trHeight w:val="30" w:hRule="exact"/>
        </w:trP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5346"/>
      </w:tblGrid>
      <w:tr>
        <w:trPr>
          <w:cantSplit w:val="false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0C8B8" w:sz="2"/>
              <w:right w:val="none" w:color="FFFFFF" w:sz="0"/>
            </w:tcBorders>
            <w:shd w:fill="F2EFE7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16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C4A8A"/>
                <w:sz w:val="19"/>
                <w:szCs w:val="19"/>
              </w:rPr>
              <w:t xml:space="preserve">사정변경의 원칙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객관적 사정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+ 현저히 변경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+ 당초의 내용대로 강제하는 것이 명백하게 부당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+ 수정 or 불가능한 경우 해소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22222"/>
                <w:sz w:val="17"/>
                <w:szCs w:val="17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〈객.현.명.수.해〉</w:t>
            </w:r>
          </w:p>
        </w:tc>
        <w:tc>
          <w:tcPr>
            <w:tcW w:type="dxa" w:w="5346"/>
            <w:tcBorders>
              <w:top w:val="none" w:color="FFFFFF" w:sz="0"/>
              <w:left w:val="none" w:color="FFFFFF" w:sz="0"/>
              <w:bottom w:val="single" w:color="D0C8B8" w:sz="2"/>
              <w:right w:val="none" w:color="FFFFFF" w:sz="0"/>
            </w:tcBorders>
            <w:shd w:fill="F2EFE7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rPr>
          <w:trHeight w:val="30" w:hRule="exact"/>
        </w:trP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5346"/>
      </w:tblGrid>
      <w:tr>
        <w:trPr>
          <w:cantSplit w:val="false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0C8B8" w:sz="2"/>
              <w:right w:val="none" w:color="FFFFFF" w:sz="0"/>
            </w:tcBorders>
            <w:shd w:fill="F2EFE7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16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C4A8A"/>
                <w:sz w:val="19"/>
                <w:szCs w:val="19"/>
              </w:rPr>
              <w:t xml:space="preserve">모순행위금지 (금반언)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16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C4A8A"/>
                <w:sz w:val="19"/>
                <w:szCs w:val="19"/>
              </w:rPr>
              <w:t xml:space="preserve">신의칙의 한계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신의칙 적용으로 강행법규의 입법취지를 완적히 몰각시키는 경우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→ 신의칙의 적용은 허용되지 않는다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합법성의 원칙은 신의성실의 원칙보다 우월한 것</w:t>
            </w:r>
          </w:p>
        </w:tc>
        <w:tc>
          <w:tcPr>
            <w:tcW w:type="dxa" w:w="5346"/>
            <w:tcBorders>
              <w:top w:val="none" w:color="FFFFFF" w:sz="0"/>
              <w:left w:val="none" w:color="FFFFFF" w:sz="0"/>
              <w:bottom w:val="single" w:color="D0C8B8" w:sz="2"/>
              <w:right w:val="none" w:color="FFFFFF" w:sz="0"/>
            </w:tcBorders>
            <w:shd w:fill="F2EFE7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rPr>
          <w:trHeight w:val="60" w:hRule="exact"/>
        </w:trP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▌  Ⅲ. 태아</w:t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rPr>
          <w:trHeight w:val="30" w:hRule="exact"/>
        </w:trP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5346"/>
      </w:tblGrid>
      <w:tr>
        <w:trPr>
          <w:cantSplit w:val="false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0C8B8" w:sz="2"/>
              <w:right w:val="none" w:color="FFFFFF" w:sz="0"/>
            </w:tcBorders>
            <w:shd w:fill="F2EFE7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16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C4A8A"/>
                <w:sz w:val="19"/>
                <w:szCs w:val="19"/>
              </w:rPr>
              <w:t xml:space="preserve">권리능력 인정 범위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불법행위 ○  /  상속 ○  /  유증 ○  /  인지 ○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사인증여 ✕  (계약이므로 제외)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22222"/>
                <w:sz w:val="17"/>
                <w:szCs w:val="17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〈불.상.유.인.  사✕〉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학설: 정지조건설  ↔  해제조건설</w:t>
            </w:r>
          </w:p>
        </w:tc>
        <w:tc>
          <w:tcPr>
            <w:tcW w:type="dxa" w:w="5346"/>
            <w:tcBorders>
              <w:top w:val="none" w:color="FFFFFF" w:sz="0"/>
              <w:left w:val="single" w:color="B22222" w:sz="8"/>
              <w:bottom w:val="single" w:color="D0C8B8" w:sz="2"/>
              <w:right w:val="none" w:color="FFFFFF" w:sz="0"/>
            </w:tcBorders>
            <w:shd w:fill="FFFACD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pPr>
              <w:spacing w:after="12" w:before="12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판례는 특정한 권리에 있어서 태아가 권리를 취득한다고 하더라도 현행법상 이를 대행할 기관이 없어 태아로 있는 동안은 권리능력을 취득할 수 없다고 하여 정지조건설.</w:t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rPr>
          <w:trHeight w:val="60" w:hRule="exact"/>
        </w:trP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▌  Ⅳ. 의사무능력자</w:t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rPr>
          <w:trHeight w:val="30" w:hRule="exact"/>
        </w:trP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5346"/>
      </w:tblGrid>
      <w:tr>
        <w:trPr>
          <w:cantSplit w:val="false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0C8B8" w:sz="2"/>
              <w:right w:val="none" w:color="FFFFFF" w:sz="0"/>
            </w:tcBorders>
            <w:shd w:fill="F2EFE7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16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C4A8A"/>
                <w:sz w:val="19"/>
                <w:szCs w:val="19"/>
              </w:rPr>
              <w:t xml:space="preserve">의사능력 판단기준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구체적, 개별적으로 판단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행위의 일상적인 의미뿐만 아니라 법률적인 의미나 효과에 대하여도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이해할 수 있을 것을 요한다 (판례)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16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C4A8A"/>
                <w:sz w:val="19"/>
                <w:szCs w:val="19"/>
              </w:rPr>
              <w:t xml:space="preserve">효과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의사무능력자의 법률행위는 무효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제141조 단서 유추적용</w:t>
            </w:r>
          </w:p>
        </w:tc>
        <w:tc>
          <w:tcPr>
            <w:tcW w:type="dxa" w:w="5346"/>
            <w:tcBorders>
              <w:top w:val="none" w:color="FFFFFF" w:sz="0"/>
              <w:left w:val="none" w:color="FFFFFF" w:sz="0"/>
              <w:bottom w:val="single" w:color="D0C8B8" w:sz="2"/>
              <w:right w:val="none" w:color="FFFFFF" w:sz="0"/>
            </w:tcBorders>
            <w:shd w:fill="F2EFE7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rPr>
          <w:trHeight w:val="60" w:hRule="exact"/>
        </w:trP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▌  Ⅴ. 제한능력자 — 미성년자</w:t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rPr>
          <w:trHeight w:val="30" w:hRule="exact"/>
        </w:trP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5346"/>
      </w:tblGrid>
      <w:tr>
        <w:trPr>
          <w:cantSplit w:val="false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0C8B8" w:sz="2"/>
              <w:right w:val="none" w:color="FFFFFF" w:sz="0"/>
            </w:tcBorders>
            <w:shd w:fill="F2EFE7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16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C4A8A"/>
                <w:sz w:val="19"/>
                <w:szCs w:val="19"/>
              </w:rPr>
              <w:t xml:space="preserve">제한능력자제도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목적: 거래 안전을 희생 → 제한능력자 본인 보호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강행규정 → 이에 반하는 계약은 효력 없음</w:t>
            </w:r>
          </w:p>
        </w:tc>
        <w:tc>
          <w:tcPr>
            <w:tcW w:type="dxa" w:w="5346"/>
            <w:tcBorders>
              <w:top w:val="none" w:color="FFFFFF" w:sz="0"/>
              <w:left w:val="single" w:color="B22222" w:sz="8"/>
              <w:bottom w:val="single" w:color="D0C8B8" w:sz="2"/>
              <w:right w:val="none" w:color="FFFFFF" w:sz="0"/>
            </w:tcBorders>
            <w:shd w:fill="FFFACD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pPr>
              <w:spacing w:after="12" w:before="12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판례는 제한능력자제도는 거래의 안전을 희생시키는 것을 감수하면서 제한능력자 본인을 보호하는 데 그 목적을 두고 있는 강행규정으로서 이에 반하는 계약은 효력이 없다고 판시.</w:t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rPr>
          <w:trHeight w:val="30" w:hRule="exact"/>
        </w:trP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5346"/>
      </w:tblGrid>
      <w:tr>
        <w:trPr>
          <w:cantSplit w:val="false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0C8B8" w:sz="2"/>
              <w:right w:val="none" w:color="FFFFFF" w:sz="0"/>
            </w:tcBorders>
            <w:shd w:fill="F2EFE7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16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C4A8A"/>
                <w:sz w:val="19"/>
                <w:szCs w:val="19"/>
              </w:rPr>
              <w:t xml:space="preserve">미성년자 법률행위 (제5조)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법정대리인의 동의 필요 (제5조 1항 본문)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동의: 묵시적으로도 가능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무동의 행위 → 미성년자 본인 또는 법정대리인이 취소 가능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묵시적 동의 판단기준: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① 미성년자의 독자적인 소득의 범위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② 계약의 내용 등 고려</w:t>
            </w:r>
          </w:p>
        </w:tc>
        <w:tc>
          <w:tcPr>
            <w:tcW w:type="dxa" w:w="5346"/>
            <w:tcBorders>
              <w:top w:val="none" w:color="FFFFFF" w:sz="0"/>
              <w:left w:val="single" w:color="B22222" w:sz="8"/>
              <w:bottom w:val="single" w:color="D0C8B8" w:sz="2"/>
              <w:right w:val="none" w:color="FFFFFF" w:sz="0"/>
            </w:tcBorders>
            <w:shd w:fill="FFFACD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pPr>
              <w:spacing w:after="12" w:before="12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미성년자가 신용카드 이용계약을 취소한 경우 매매계약은 유효하게 존속, 반환하여야 할 대상은 면제받은 물품대금채무 상당액</w:t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rPr>
          <w:trHeight w:val="30" w:hRule="exact"/>
        </w:trP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5346"/>
      </w:tblGrid>
      <w:tr>
        <w:trPr>
          <w:cantSplit w:val="false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0C8B8" w:sz="2"/>
              <w:right w:val="none" w:color="FFFFFF" w:sz="0"/>
            </w:tcBorders>
            <w:shd w:fill="F2EFE7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16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C4A8A"/>
                <w:sz w:val="19"/>
                <w:szCs w:val="19"/>
              </w:rPr>
              <w:t xml:space="preserve">법정대리권 범위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법정대리의 경우는 원칙적으로 대리권의 범위에 제한이 없다 (제920조)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16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C4A8A"/>
                <w:sz w:val="19"/>
                <w:szCs w:val="19"/>
              </w:rPr>
              <w:t xml:space="preserve">이해충돌 — 형식적 판단설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행위의 객관적 성질상 친권자와 자 사이에 이해의 대립이 생길 우려가 있는 행위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친권자의 의도나 실질적으로 이해의 대립이 생겼는가는 묻지 않음</w:t>
            </w:r>
          </w:p>
          <w:p>
            <w:pPr>
              <w:spacing w:after="0" w:before="14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22222"/>
                <w:sz w:val="17"/>
                <w:szCs w:val="17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〈객.이.의.실.형〉</w:t>
            </w:r>
          </w:p>
        </w:tc>
        <w:tc>
          <w:tcPr>
            <w:tcW w:type="dxa" w:w="5346"/>
            <w:tcBorders>
              <w:top w:val="none" w:color="FFFFFF" w:sz="0"/>
              <w:left w:val="single" w:color="B22222" w:sz="8"/>
              <w:bottom w:val="single" w:color="D0C8B8" w:sz="2"/>
              <w:right w:val="none" w:color="FFFFFF" w:sz="0"/>
            </w:tcBorders>
            <w:shd w:fill="FFFACD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pPr>
              <w:spacing w:after="12" w:before="12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판례는 행위의 객관적 성질상 친권자와 자 사이에 이해의 대립이 생길 우려가 있는 행위를 의미하며 친권자의 의도나 실질적으로 이해의 대립이 생겼는가는 묻지 않는다고 하여 형식적 판단설의 입장이다</w:t>
            </w:r>
          </w:p>
          <w:p>
            <w:pPr>
              <w:spacing w:after="0" w:before="8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22222"/>
                <w:sz w:val="17"/>
                <w:szCs w:val="17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22222"/>
                <w:sz w:val="17"/>
                <w:szCs w:val="17"/>
              </w:rPr>
              <w:t xml:space="preserve">〈객.이.의.실.형〉</w:t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rPr>
          <w:trHeight w:val="60" w:hRule="exact"/>
        </w:trPr>
        <w:tc>
          <w:tcPr>
            <w:tcW w:type="dxa" w:w="10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</w:tc>
      </w:tr>
    </w:tbl>
    <w:tbl>
      <w:tblPr>
        <w:tblW w:type="dxa" w:w="10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746"/>
      </w:tblGrid>
      <w:tr>
        <w:tc>
          <w:tcPr>
            <w:tcW w:type="dxa" w:w="10746"/>
            <w:tcBorders>
              <w:top w:val="single" w:color="D0C8B8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4"/>
                <w:szCs w:val="14"/>
              </w:rPr>
              <w:t xml:space="preserve">민사 단권화  ·  좌: 요건·구조  │  우: 판례 원문  ·  복습용 · 첨삭용 · 퀴즈용 겸용</w:t>
            </w:r>
          </w:p>
        </w:tc>
      </w:tr>
    </w:tbl>
    <w:sectPr>
      <w:pgSz w:w="11906" w:h="16838" w:orient="portrait"/>
      <w:pgMar w:top="640" w:right="580" w:bottom="64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2026-05-26T17:32:48.873Z</dcterms:created>
  <dcterms:modified xsi:type="dcterms:W3CDTF">2026-05-26T17:32:48.874Z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