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0" w:space="4"/>
        </w:pBdr>
        <w:spacing w:after="2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이행의 소 · 확인의 소 적법성 구조</w:t>
      </w:r>
    </w:p>
    <w:p>
      <w:pPr>
        <w:spacing w:after="200" w:before="20"/>
        <w:jc w:val="center"/>
      </w:pPr>
      <w:r>
        <w:rPr>
          <w:rFonts w:ascii="Malgun Gothic" w:cs="Malgun Gothic" w:eastAsia="Malgun Gothic" w:hAnsi="Malgun Gothic"/>
          <w:color w:val="546E7A"/>
          <w:sz w:val="18"/>
          <w:szCs w:val="18"/>
        </w:rPr>
        <w:t xml:space="preserve">2026-05-08  |  변호사시험 민사소송법  [Version B — 형광펜 단권화형]</w:t>
      </w:r>
    </w:p>
    <w:p>
      <w:pPr>
        <w:pBdr>
          <w:bottom w:val="single" w:color="154360" w:sz="2" w:space="2"/>
          <w:left w:val="single" w:color="154360" w:sz="12" w:space="4"/>
        </w:pBdr>
        <w:shd w:fill="BBDEFB" w:val="clear"/>
        <w:spacing w:after="80" w:before="200"/>
      </w:pPr>
      <w:r>
        <w:rPr>
          <w:rFonts w:ascii="Malgun Gothic" w:cs="Malgun Gothic" w:eastAsia="Malgun Gothic" w:hAnsi="Malgun Gothic"/>
          <w:b/>
          <w:bCs/>
          <w:color w:val="154360"/>
          <w:sz w:val="28"/>
          <w:szCs w:val="28"/>
        </w:rPr>
        <w:t xml:space="preserve"> ◆ (1) 이행의 소 </w:t>
      </w:r>
    </w:p>
    <w:p>
      <w:pPr>
        <w:pBdr>
          <w:bottom w:val="dotted" w:color="1565C0" w:sz="3" w:space="2"/>
        </w:pBdr>
        <w:spacing w:after="60" w:before="160"/>
      </w:pPr>
      <w:r>
        <w:rPr>
          <w:rFonts w:ascii="Malgun Gothic" w:cs="Malgun Gothic" w:eastAsia="Malgun Gothic" w:hAnsi="Malgun Gothic"/>
          <w:b/>
          <w:bCs/>
          <w:color w:val="154360"/>
          <w:sz w:val="24"/>
          <w:szCs w:val="24"/>
        </w:rPr>
        <w:t xml:space="preserve">▶ 1. 현재이행의 소 — 소의 이익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① 집행 불능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08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/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21"/>
                <w:szCs w:val="21"/>
              </w:rPr>
              <w:t xml:space="preserve">判例: 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21"/>
                <w:szCs w:val="21"/>
              </w:rPr>
              <w:t xml:space="preserve">"판결절차는 관념적 분쟁해결절차이고, 집행권원의 보유는 피고에게 심리적 압박이 되므로 소의 이익을 긍정"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21"/>
                <w:szCs w:val="21"/>
              </w:rPr>
              <w:t xml:space="preserve">
→ </w:t>
            </w:r>
            <w:r>
              <w:rPr>
                <w:rFonts w:ascii="Malgun Gothic" w:cs="Malgun Gothic" w:eastAsia="Malgun Gothic" w:hAnsi="Malgun Gothic"/>
                <w:b/>
                <w:bCs/>
                <w:color w:val="4A148C"/>
                <w:sz w:val="21"/>
                <w:szCs w:val="21"/>
              </w:rPr>
              <w:t xml:space="preserve">‹관념적 분쟁해결절차›  ‹피고에게 심리적 압박›</w:t>
            </w:r>
          </w:p>
        </w:tc>
      </w:tr>
    </w:tbl>
    <w:p>
      <w:pPr>
        <w:spacing w:after="30" w:before="20"/>
        <w:ind w:left="400"/>
      </w:pPr>
      <w:r>
        <w:rPr>
          <w:rFonts w:ascii="Malgun Gothic" w:cs="Malgun Gothic" w:eastAsia="Malgun Gothic" w:hAnsi="Malgun Gothic"/>
          <w:b/>
          <w:bCs/>
          <w:color w:val="1A5276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1A5276"/>
          <w:sz w:val="21"/>
          <w:szCs w:val="21"/>
        </w:rPr>
        <w:t xml:space="preserve">소의 이익 ○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② 가압류된 금전채권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08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/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21"/>
                <w:szCs w:val="21"/>
              </w:rPr>
              <w:t xml:space="preserve">判例: 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21"/>
                <w:szCs w:val="21"/>
              </w:rPr>
              <w:t xml:space="preserve">"채권이 가압류되어 있다 하더라도 제3채무자로서는 이행을 명하는 판결이 있더라도 집행단계에서 이를 저지하면 될 것이기 때문이다."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21"/>
                <w:szCs w:val="21"/>
              </w:rPr>
              <w:t xml:space="preserve">
→ </w:t>
            </w:r>
            <w:r>
              <w:rPr>
                <w:rFonts w:ascii="Malgun Gothic" w:cs="Malgun Gothic" w:eastAsia="Malgun Gothic" w:hAnsi="Malgun Gothic"/>
                <w:b/>
                <w:bCs/>
                <w:color w:val="4A148C"/>
                <w:sz w:val="21"/>
                <w:szCs w:val="21"/>
              </w:rPr>
              <w:t xml:space="preserve">‹집행단계에서 이를 저지›</w:t>
            </w:r>
          </w:p>
        </w:tc>
      </w:tr>
    </w:tbl>
    <w:p>
      <w:pPr>
        <w:spacing w:after="30" w:before="20"/>
        <w:ind w:left="400"/>
      </w:pPr>
      <w:r>
        <w:rPr>
          <w:rFonts w:ascii="Malgun Gothic" w:cs="Malgun Gothic" w:eastAsia="Malgun Gothic" w:hAnsi="Malgun Gothic"/>
          <w:b/>
          <w:bCs/>
          <w:color w:val="1A5276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1A5276"/>
          <w:sz w:val="21"/>
          <w:szCs w:val="21"/>
        </w:rPr>
        <w:t xml:space="preserve">소의 이익 ○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③ 가압류·가처분 소유권이전등기청구권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08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/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21"/>
                <w:szCs w:val="21"/>
              </w:rPr>
              <w:t xml:space="preserve">判例: 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21"/>
                <w:szCs w:val="21"/>
              </w:rPr>
              <w:t xml:space="preserve">"소유권이전등기를 명하는 판결은 의사의 진술을 명하는 판결로서 이것이 확정되면 채무자는 일방적으로 이전등기를 신청할 수 있고 제3채무자는 이를 저지할 방법이 없기 때문에 법원은 가압류의 해제를 조건으로 인용판결을 해야 한다."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21"/>
                <w:szCs w:val="21"/>
              </w:rPr>
              <w:t xml:space="preserve">
→ </w:t>
            </w:r>
            <w:r>
              <w:rPr>
                <w:rFonts w:ascii="Malgun Gothic" w:cs="Malgun Gothic" w:eastAsia="Malgun Gothic" w:hAnsi="Malgun Gothic"/>
                <w:b/>
                <w:bCs/>
                <w:color w:val="4A148C"/>
                <w:sz w:val="21"/>
                <w:szCs w:val="21"/>
              </w:rPr>
              <w:t xml:space="preserve">‹의사의 진술을 명하는 판결›  ‹채무자 일방적 이전등기 신청›  ‹저지할 방법 없음›  ‹가압류의 해제를 조건으로›</w:t>
            </w:r>
          </w:p>
        </w:tc>
      </w:tr>
    </w:tbl>
    <w:p>
      <w:pPr>
        <w:spacing w:after="30" w:before="20"/>
        <w:ind w:left="400"/>
      </w:pPr>
      <w:r>
        <w:rPr>
          <w:rFonts w:ascii="Malgun Gothic" w:cs="Malgun Gothic" w:eastAsia="Malgun Gothic" w:hAnsi="Malgun Gothic"/>
          <w:b/>
          <w:bCs/>
          <w:color w:val="1A5276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1A5276"/>
          <w:sz w:val="21"/>
          <w:szCs w:val="21"/>
        </w:rPr>
        <w:t xml:space="preserve">소 → 적법  /  본안: 가압류 해제 조건부 인용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④ 부기등기만의 말소</w:t>
      </w:r>
    </w:p>
    <w:p>
      <w:pPr>
        <w:spacing w:after="20" w:before="20"/>
        <w:ind w:left="48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>저당권 이전 부기등기 → 주등기 말소 시 직권말소 ∴ 별도청구 실익 없음</w:t>
      </w:r>
    </w:p>
    <w:p>
      <w:pPr>
        <w:spacing w:after="2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C8E6C9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부기등기만의 말소 청구 → 소의 이익 ✗</w:t>
            </w:r>
          </w:p>
        </w:tc>
      </w:tr>
    </w:tbl>
    <w:p>
      <w:pPr>
        <w:spacing w:after="1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예외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FFCDD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저당권 이전원인만 무효·취소·해제된 경우 → 소의 이익 ○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pBdr>
          <w:bottom w:val="dotted" w:color="1565C0" w:sz="3" w:space="2"/>
        </w:pBdr>
        <w:spacing w:after="60" w:before="160"/>
      </w:pPr>
      <w:r>
        <w:rPr>
          <w:rFonts w:ascii="Malgun Gothic" w:cs="Malgun Gothic" w:eastAsia="Malgun Gothic" w:hAnsi="Malgun Gothic"/>
          <w:b/>
          <w:bCs/>
          <w:color w:val="154360"/>
          <w:sz w:val="24"/>
          <w:szCs w:val="24"/>
        </w:rPr>
        <w:t xml:space="preserve">▶ 2. 장래이행의 소</w:t>
      </w:r>
    </w:p>
    <w:p>
      <w:pPr>
        <w:spacing w:after="40" w:before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  <w:highlight w:val="yellow"/>
          <w:highlightCs w:val="yellow"/>
        </w:rPr>
        <w:t xml:space="preserve">【적법요건】</w:t>
      </w:r>
      <w:r>
        <w:rPr>
          <w:rFonts w:ascii="Malgun Gothic" w:cs="Malgun Gothic" w:eastAsia="Malgun Gothic" w:hAnsi="Malgun Gothic"/>
          <w:sz w:val="21"/>
          <w:szCs w:val="21"/>
        </w:rPr>
        <w:t xml:space="preserve">  </w:t>
      </w: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  <w:highlight w:val="yellow"/>
          <w:highlightCs w:val="yellow"/>
        </w:rPr>
        <w:t xml:space="preserve">① 청구적격  +  ② 미리 청구할 필요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① 청구적격</w:t>
      </w:r>
    </w:p>
    <w:p>
      <w:pPr>
        <w:spacing w:after="40" w:before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  <w:highlight w:val="yellow"/>
          <w:highlightCs w:val="yellow"/>
        </w:rPr>
        <w:t xml:space="preserve">【두문자】</w:t>
      </w:r>
      <w:r>
        <w:rPr>
          <w:rFonts w:ascii="Malgun Gothic" w:cs="Malgun Gothic" w:eastAsia="Malgun Gothic" w:hAnsi="Malgun Gothic"/>
          <w:sz w:val="21"/>
          <w:szCs w:val="21"/>
        </w:rPr>
        <w:t xml:space="preserve">  </w:t>
      </w: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  <w:highlight w:val="yellow"/>
          <w:highlightCs w:val="yellow"/>
        </w:rPr>
        <w:t xml:space="preserve">의 · 장 · 변 · 확 · 예</w:t>
      </w:r>
    </w:p>
    <w:p>
      <w:pPr>
        <w:spacing w:after="2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08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/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21"/>
                <w:szCs w:val="21"/>
              </w:rPr>
              <w:t xml:space="preserve">判例: 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21"/>
                <w:szCs w:val="21"/>
              </w:rPr>
              <w:t xml:space="preserve">"청구기초가 되는 사실상·법률상 관계가 변론종결 시에 존재해야 하고, 그러한 의무불이행사유가 장래 이행기까지 존속한다는 것을 변론종결 당시에 확정적으로 예정할 수 있는 것이어야 한다."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② 미리 청구할 필요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08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/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21"/>
                <w:szCs w:val="21"/>
              </w:rPr>
              <w:t xml:space="preserve">判例: 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21"/>
                <w:szCs w:val="21"/>
              </w:rPr>
              <w:t xml:space="preserve">"채무자의 임의이행을 기대할 수 없는 경우를 말한다."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21"/>
                <w:szCs w:val="21"/>
              </w:rPr>
              <w:t xml:space="preserve">
→ </w:t>
            </w:r>
            <w:r>
              <w:rPr>
                <w:rFonts w:ascii="Malgun Gothic" w:cs="Malgun Gothic" w:eastAsia="Malgun Gothic" w:hAnsi="Malgun Gothic"/>
                <w:b/>
                <w:bCs/>
                <w:color w:val="4A148C"/>
                <w:sz w:val="21"/>
                <w:szCs w:val="21"/>
              </w:rPr>
              <w:t xml:space="preserve">‹임의이행 기대 불가›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③ 선이행청구</w:t>
      </w:r>
    </w:p>
    <w:p>
      <w:pPr>
        <w:spacing w:after="40" w:before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  <w:highlight w:val="yellow"/>
          <w:highlightCs w:val="yellow"/>
        </w:rPr>
        <w:t xml:space="preserve">【두문자】</w:t>
      </w:r>
      <w:r>
        <w:rPr>
          <w:rFonts w:ascii="Malgun Gothic" w:cs="Malgun Gothic" w:eastAsia="Malgun Gothic" w:hAnsi="Malgun Gothic"/>
          <w:sz w:val="21"/>
          <w:szCs w:val="21"/>
        </w:rPr>
        <w:t xml:space="preserve">  </w:t>
      </w: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  <w:highlight w:val="yellow"/>
          <w:highlightCs w:val="yellow"/>
        </w:rPr>
        <w:t xml:space="preserve">조 · 개 · 피 · 담 · 즉 · 기</w:t>
      </w:r>
    </w:p>
    <w:p>
      <w:pPr>
        <w:spacing w:after="2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20" w:before="20"/>
        <w:ind w:left="48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>조건부 청구 → 조건성취의 개연성 크므로 청구적격 ○</w:t>
      </w:r>
    </w:p>
    <w:p>
      <w:pPr>
        <w:spacing w:after="2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C8E6C9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미리 청구할 필요  불인정</w:t>
            </w:r>
          </w:p>
        </w:tc>
      </w:tr>
    </w:tbl>
    <w:p>
      <w:pPr>
        <w:spacing w:after="1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예외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FFCDD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저당권·양도담보: 채권자가 피담보채무 액수 or 담보목적 다투어 즉시 협력 기대 불가 → 미리 청구할 필요 인정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pBdr>
          <w:bottom w:val="single" w:color="1A5E20" w:sz="2" w:space="2"/>
          <w:left w:val="single" w:color="1A5E20" w:sz="12" w:space="4"/>
        </w:pBdr>
        <w:shd w:fill="C8E6C9" w:val="clear"/>
        <w:spacing w:after="80" w:before="200"/>
      </w:pPr>
      <w:r>
        <w:rPr>
          <w:rFonts w:ascii="Malgun Gothic" w:cs="Malgun Gothic" w:eastAsia="Malgun Gothic" w:hAnsi="Malgun Gothic"/>
          <w:b/>
          <w:bCs/>
          <w:color w:val="1A5E20"/>
          <w:sz w:val="28"/>
          <w:szCs w:val="28"/>
        </w:rPr>
        <w:t xml:space="preserve"> ◆ (2) 확인의 소 </w:t>
      </w:r>
    </w:p>
    <w:p>
      <w:pPr>
        <w:spacing w:after="40" w:before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  <w:highlight w:val="yellow"/>
          <w:highlightCs w:val="yellow"/>
        </w:rPr>
        <w:t xml:space="preserve">【전체구조】</w:t>
      </w:r>
      <w:r>
        <w:rPr>
          <w:rFonts w:ascii="Malgun Gothic" w:cs="Malgun Gothic" w:eastAsia="Malgun Gothic" w:hAnsi="Malgun Gothic"/>
          <w:sz w:val="21"/>
          <w:szCs w:val="21"/>
        </w:rPr>
        <w:t xml:space="preserve">  </w:t>
      </w: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  <w:highlight w:val="yellow"/>
          <w:highlightCs w:val="yellow"/>
        </w:rPr>
        <w:t xml:space="preserve">자현권  /  법현장  /  적당이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pBdr>
          <w:bottom w:val="dotted" w:color="1565C0" w:sz="3" w:space="2"/>
        </w:pBdr>
        <w:spacing w:after="60" w:before="160"/>
      </w:pPr>
      <w:r>
        <w:rPr>
          <w:rFonts w:ascii="Malgun Gothic" w:cs="Malgun Gothic" w:eastAsia="Malgun Gothic" w:hAnsi="Malgun Gothic"/>
          <w:b/>
          <w:bCs/>
          <w:color w:val="154360"/>
          <w:sz w:val="24"/>
          <w:szCs w:val="24"/>
        </w:rPr>
        <w:t xml:space="preserve">▶ 1. 대상적격 (자 · 현 · 권)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>확인의 소: 자기의·현재의·권리법률관계를 대상으로 함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20" w:before="80"/>
        <w:ind w:left="36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  <w:u w:val="single"/>
        </w:rPr>
        <w:t xml:space="preserve">【자기의】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C8E6C9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자기의 권리관계만 대상적격</w:t>
            </w:r>
          </w:p>
        </w:tc>
      </w:tr>
    </w:tbl>
    <w:p>
      <w:pPr>
        <w:spacing w:after="1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예외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FFCDD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타인 권리관계 확인이 자기의 불안·위험 제거의 유효·적절한 수단 → 확인의 이익 ○</w:t>
            </w:r>
          </w:p>
        </w:tc>
      </w:tr>
    </w:tbl>
    <w:p>
      <w:pPr>
        <w:spacing w:after="4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20" w:before="80"/>
        <w:ind w:left="36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  <w:u w:val="single"/>
        </w:rPr>
        <w:t xml:space="preserve">【현재의】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C8E6C9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과거의 권리관계 존부 확인 → 대상적격 없음</w:t>
            </w:r>
          </w:p>
        </w:tc>
      </w:tr>
    </w:tbl>
    <w:p>
      <w:pPr>
        <w:spacing w:after="1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예외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FFCDD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① 현재 권리관계에 영향  ② 위험 제거  ③ 유효·적절한 수단 → 확인의 이익 ○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pBdr>
          <w:bottom w:val="dotted" w:color="1565C0" w:sz="3" w:space="2"/>
        </w:pBdr>
        <w:spacing w:after="60" w:before="160"/>
      </w:pPr>
      <w:r>
        <w:rPr>
          <w:rFonts w:ascii="Malgun Gothic" w:cs="Malgun Gothic" w:eastAsia="Malgun Gothic" w:hAnsi="Malgun Gothic"/>
          <w:b/>
          <w:bCs/>
          <w:color w:val="154360"/>
          <w:sz w:val="24"/>
          <w:szCs w:val="24"/>
        </w:rPr>
        <w:t xml:space="preserve">▶ 2. 확인의 이익 (법 · 현 · 장)</w:t>
      </w:r>
    </w:p>
    <w:p>
      <w:pPr>
        <w:spacing w:after="40" w:before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  <w:highlight w:val="yellow"/>
          <w:highlightCs w:val="yellow"/>
        </w:rPr>
        <w:t xml:space="preserve">【요건】</w:t>
      </w:r>
      <w:r>
        <w:rPr>
          <w:rFonts w:ascii="Malgun Gothic" w:cs="Malgun Gothic" w:eastAsia="Malgun Gothic" w:hAnsi="Malgun Gothic"/>
          <w:sz w:val="21"/>
          <w:szCs w:val="21"/>
        </w:rPr>
        <w:t xml:space="preserve">  </w:t>
      </w: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  <w:highlight w:val="yellow"/>
          <w:highlightCs w:val="yellow"/>
        </w:rPr>
        <w:t xml:space="preserve">①법률상 지위  ②현존하는 불안·위험  ③가장 유효·적절한 수단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pBdr>
          <w:bottom w:val="dotted" w:color="1565C0" w:sz="3" w:space="2"/>
        </w:pBdr>
        <w:spacing w:after="60" w:before="160"/>
      </w:pPr>
      <w:r>
        <w:rPr>
          <w:rFonts w:ascii="Malgun Gothic" w:cs="Malgun Gothic" w:eastAsia="Malgun Gothic" w:hAnsi="Malgun Gothic"/>
          <w:b/>
          <w:bCs/>
          <w:color w:val="154360"/>
          <w:sz w:val="24"/>
          <w:szCs w:val="24"/>
        </w:rPr>
        <w:t xml:space="preserve">▶ 3. 가장 유효·적절한 수단 (적 · 당 · 이)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① 적극적 확인 가능 시  [적]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C8E6C9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소극적 확인의 소 → 확인의 이익 ✗  (적극적 확인의 소 가능하면)</w:t>
            </w:r>
          </w:p>
        </w:tc>
      </w:tr>
    </w:tbl>
    <w:p>
      <w:pPr>
        <w:spacing w:after="4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② 당해 소송에서 구제수단  [당]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C8E6C9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당해 소송에서 구제가능 시 별소 확인의 소 → 확인의 이익 ✗</w:t>
            </w:r>
          </w:p>
        </w:tc>
      </w:tr>
    </w:tbl>
    <w:p>
      <w:pPr>
        <w:spacing w:after="4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spacing w:after="40" w:before="120"/>
        <w:ind w:left="240"/>
      </w:pPr>
      <w:r>
        <w:rPr>
          <w:rFonts w:ascii="Malgun Gothic" w:cs="Malgun Gothic" w:eastAsia="Malgun Gothic" w:hAnsi="Malgun Gothic"/>
          <w:b/>
          <w:bCs/>
          <w:color w:val="1A5276"/>
          <w:sz w:val="24"/>
          <w:szCs w:val="24"/>
        </w:rPr>
        <w:t xml:space="preserve">◉ ③ 이행의 소 보충성  [이]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C8E6C9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이행의 소 제기 가능 시 이행청구권 존재 확인의 소 → 확인의 이익 ✗</w:t>
            </w:r>
          </w:p>
        </w:tc>
      </w:tr>
    </w:tbl>
    <w:p>
      <w:pPr>
        <w:spacing w:after="1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예외</w:t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shd w:fill="FFCDD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>선결적 법률관계의 확인청구 → 확인의 이익 ○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p>
      <w:pPr>
        <w:pBdr>
          <w:bottom w:val="dotted" w:color="1565C0" w:sz="3" w:space="2"/>
        </w:pBdr>
        <w:spacing w:after="60" w:before="160"/>
      </w:pPr>
      <w:r>
        <w:rPr>
          <w:rFonts w:ascii="Malgun Gothic" w:cs="Malgun Gothic" w:eastAsia="Malgun Gothic" w:hAnsi="Malgun Gothic"/>
          <w:b/>
          <w:bCs/>
          <w:color w:val="154360"/>
          <w:sz w:val="24"/>
          <w:szCs w:val="24"/>
        </w:rPr>
        <w:t xml:space="preserve">▶ 4. 추가 판례 — 취득시효 완성 미등기 토지</w:t>
      </w:r>
    </w:p>
    <w:p>
      <w:pPr>
        <w:spacing w:after="20" w:before="0"/>
      </w:pPr>
      <w:r>
        <w:rPr>
          <w:rFonts w:ascii="Malgun Gothic" w:cs="Malgun Gothic" w:eastAsia="Malgun Gothic" w:hAnsi="Malgun Gothic"/>
          <w:color w:val="1C2833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08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r>
              <w:rPr>
                <w:rFonts w:ascii="Malgun Gothic" w:cs="Malgun Gothic" w:eastAsia="Malgun Gothic" w:hAnsi="Malgun Gothic"/>
                <w:color w:val="1C2833"/>
                <w:sz w:val="21"/>
                <w:szCs w:val="21"/>
              </w:rPr>
              <w:t xml:space="preserve"/>
            </w:r>
          </w:p>
        </w:tc>
        <w:tc>
          <w:tcPr>
            <w:tcW w:type="dxa" w:w="8080"/>
            <w:tcBorders>
              <w:top w:val="none"/>
              <w:left w:val="none"/>
              <w:bottom w:val="none"/>
              <w:right w:val="none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21"/>
                <w:szCs w:val="21"/>
              </w:rPr>
              <w:t xml:space="preserve">判例: 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21"/>
                <w:szCs w:val="21"/>
              </w:rPr>
              <w:t xml:space="preserve">"국가가 미등기 토지를 20년간 점유하여 취득시효가 완성된 경우, 그 미등기 토지의 소유자로서는 국가에게 소유권이전등기 의무를 부담하므로 국가에 대하여 그 소유권을 행사할 지위에 있다고 보기 어렵고, 또 소유권확인판결을 받는다고 해서 이러한 지위에 변동이 생기는 것도 아니므로 굳이 국가를 상대로 토지에 대한 소유권의 확인을 구하는 것은 무의미하다고 볼 수밖에 없어"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21"/>
                <w:szCs w:val="21"/>
              </w:rPr>
              <w:t xml:space="preserve">
→ </w:t>
            </w:r>
            <w:r>
              <w:rPr>
                <w:rFonts w:ascii="Malgun Gothic" w:cs="Malgun Gothic" w:eastAsia="Malgun Gothic" w:hAnsi="Malgun Gothic"/>
                <w:b/>
                <w:bCs/>
                <w:color w:val="4A148C"/>
                <w:sz w:val="21"/>
                <w:szCs w:val="21"/>
              </w:rPr>
              <w:t xml:space="preserve">‹국가에 대하여 소유권 행사할 지위에 있다고 보기 어렵고›  ‹지위에 변동이 생기는 것도 아니므로›  ‹무의미›</w:t>
            </w:r>
          </w:p>
        </w:tc>
      </w:tr>
    </w:tbl>
    <w:p>
      <w:pPr>
        <w:spacing w:after="30" w:before="20"/>
        <w:ind w:left="400"/>
      </w:pPr>
      <w:r>
        <w:rPr>
          <w:rFonts w:ascii="Malgun Gothic" w:cs="Malgun Gothic" w:eastAsia="Malgun Gothic" w:hAnsi="Malgun Gothic"/>
          <w:b/>
          <w:bCs/>
          <w:color w:val="1A5276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1A5276"/>
          <w:sz w:val="21"/>
          <w:szCs w:val="21"/>
        </w:rPr>
        <w:t xml:space="preserve">확인의 이익 → 없음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4"/>
      </w:pBdr>
      <w:jc w:val="center"/>
    </w:pPr>
    <w:r>
      <w:rPr>
        <w:rFonts w:ascii="Malgun Gothic" w:cs="Malgun Gothic" w:eastAsia="Malgun Gothic" w:hAnsi="Malgun Gothic"/>
        <w:color w:val="546E7A"/>
        <w:sz w:val="18"/>
        <w:szCs w:val="18"/>
      </w:rPr>
      <w:t xml:space="preserve">Version B — 형광펜 단권화형  |  </w:t>
    </w:r>
    <w:r>
      <w:rPr>
        <w:rFonts w:ascii="Malgun Gothic" w:cs="Malgun Gothic" w:eastAsia="Malgun Gothic" w:hAnsi="Malgun Gothic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2" w:space="4"/>
      </w:pBdr>
    </w:pPr>
    <w:r>
      <w:rPr>
        <w:rFonts w:ascii="Malgun Gothic" w:cs="Malgun Gothic" w:eastAsia="Malgun Gothic" w:hAnsi="Malgun Gothic"/>
        <w:color w:val="546E7A"/>
        <w:sz w:val="18"/>
        <w:szCs w:val="18"/>
      </w:rPr>
      <w:t xml:space="preserve">이행의 소 · 확인의 소 적법성 구조  |  2026-05-08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2026-05-08T13:09:41.900Z</dcterms:created>
  <dcterms:modified xsi:type="dcterms:W3CDTF">2026-05-08T13:09:41.900Z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