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민사 기록형 청구취지 오답노트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2"/>
          <w:szCs w:val="32"/>
        </w:rPr>
        <w:t xml:space="preserve">시험 직전 30분 최종판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>10·11·12·13·14·15회 + 서은정 종합   |   2026. 7. 1. 갱신 (제10회 신규 반영)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>송영곤 해설 재대조 · 제10회 신규 반영(상속회복=말소·전부금 이율·대위말소·관할) · 하이라이트판</w:t>
      </w:r>
    </w:p>
    <w:p>
      <w:pPr>
        <w:pBdr>
          <w:top w:val="single" w:color="B8C4D0" w:sz="1"/>
          <w:bottom w:val="single" w:color="B8C4D0" w:sz="1"/>
        </w:pBdr>
        <w:shd w:fill="FFFDE7" w:val="clear"/>
        <w:spacing w:after="160" w:before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보는 법: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FFF200" w:val="clear"/>
        </w:rPr>
        <w:t xml:space="preserve"> 노란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세직이 틀린 부분  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B7F0B7" w:val="clear"/>
        </w:rPr>
        <w:t xml:space="preserve"> 초록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올바른 표현.  좌(오류)·우(정답)를 나란히 비교하며 통문장으로 암기.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아래 10개는 세직이 2회 이상 반복한 오류.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656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‘원고에게’ ✗ → ‘원고 강용원에게 / 원고 양정숙에게’ (14회 4·5항=양정숙)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날’ (선고일·정본송달일 ✗) — 11·13·14회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‘O원의 한도 내에서 취소’ + 금액=책임재산 부족액 (14회 7,000만을 4백만으로 오기)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(연 14% 절대 ✗) — 11·15회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직접 받으면 ‘인도’, 철거대상 안 점유자만 ‘퇴거’ (14회 박광윤=인도)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‘절차’ 남용 금지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철거·인도에 ‘절차’ ✗ / 등기에만 ‘말소등기절차·이전등기절차’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‘소유권이전등기의 말소등기절차’ (‘등기말소절차’ ✗)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이전등기·인도는 ‘채무자에게’ (원고에게 직접 ✗) — 15회 최대 실점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선별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형성판결(사해행위취소 가.항)·말소·확인 ✗ + 소송비용 항 누락 금지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권리의 법적 명칭·내용 특정 (14회 임차권: 계약일·기간·보증금·차임)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175점 중 최대 배점. 노랑(오류)·초록(정답) 차이를 통문장으로 외울 것.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 사해행위취소 + 가액배상 ★★★ (11·13·14·15회 — 최다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유형에서 점수 대량 손실. 6요소 + 한도 + 확정일 기산을 통째로 암기.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668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당사자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 OOO과 피고(수익자) OO 사이에서’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‘채무자 OO와 피고 OO 사이에 … 체결된’ (채무자는 보통 소외)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‘별지 목록 제O항 기재 OO 중 O/O 지분’ — 지분 반드시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매매/합의해제/증여 등 정확한 명칭 + ‘체결된’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‘OOO원의 한도 내에서 취소한다’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날부터 … 연 5%’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2023.5.30. 별지목록 제4항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부동산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관한 매매계약을 1억원의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피고는 원고에게 100,000,000원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정본 송달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연5%.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채무자(구산영)·수익자 특정, 지분 3/5, 계약일도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구산영과 피고 오서구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제4항 기재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3/5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 5. 30. 체결된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매매계약을 100,000,000원의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오서구는 원고에게 100,000,000원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피고 나신애와 소외 나중애의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매매계약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1억 3000만원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합의해제를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1억 3000만원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연 5% … 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기산일 누락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원고와 피고 나신애 사이에서, 나중애와 피고 나신애 사이에 별지 목록 제3항 기재 부동산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1/2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2025.2.5. 체결된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합의해제 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피고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피고 오민한과 원고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소외 오국한과 피고의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2023.3.17. 별지목록 제3항 기재 건물에 관한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[한도 없이]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4,000,000원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선고일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연 5%.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원고 강용원과 피고 오민한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오국한과 피고 오민한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제3항 기재 건물에 관하여 2023.3.17. 체결된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 오민한은 원고 강용원에게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 채권자대위 — 3단 구조 (15회 핵심)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이전등기·인도 귀속은 반드시 ‘채무자에게’. ‘원고에게 직접’ = 구조 근본 오류(단일 최대 실점).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제2항 건물에 관하여 소유권이전등기절차 및 인도를 이행하고, 피고 전윤희는 위 부동산에서 퇴거하라.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임정훈 퇴거·최진혁 피고 누락, 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2025.1.5. 매매 원인 소유권이전등기절차를 이행하라. [1단]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전윤희,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임정훈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건물을 인도하라. [2단]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최진혁은 원고로부터 800,000,000원을 지급받음과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… 이전등기·인도. [3단 상환이행]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C. 가등기담보 말소 — 선이행 (15회 현옥희)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7000만원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지급받고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원고에게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[등기소 특정 누락]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70,000,000원 및 이에 대하여 2025.1.1.부터 다 갚는 날까지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월 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지급받은 다음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별지 목록 제1항 기재 토지에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춘천지방법원 횡성등기소 2024.3.2. 접수 제77414호로 마친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‘지급받은 다음’=선이행  ★ 이율 월 1%(연 12% ✗)  ★ 등기소·접수일·접수번호 완전 특정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서은정: 추심명령인데 ‘전부금’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13지산희: 전부금 ✓(이율·기산일 누락)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2015.10.1. 취득시효 완성을 원인으로 한 소유권이전등기절차를 이행하라’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OO지방법원 OO등기소 OO.O.O. 접수 제O호로 마친 소유권이전등기의 말소등기절차를 이행하라’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‘근저당권설정등기의 말소등기절차’ (‘근저당권등기’ 약칭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F. 확인청구 — 대상 권리 정확 특정 (13 김연제 / 14 임차권 ★신규)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김연제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 … 원고에게 별지목록 제6항 토지를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점유할 권리가 있음을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O. 원고와 피고 사이에서, 별지 목록 제O항 기재 토지에 관하여 원고의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법정지상권이 존재함을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흑석동 임차권 확인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피고 윤건우와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제5항 건물에 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임차권이 있음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피고 윤건우 사이에, … 원고 양정숙에게, 원고 양정숙과 피고 윤건우 사이의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2024.2.1. 임대차계약에 의한 기간 5년, 임대차보증금 300,000,000원, 차임 매월 5,000,000원으로 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임차권이 존재함을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G. 금전 이율 3구간 (15 차용주 / 11 조민숙)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14% 절대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상인 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5%→12%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손해발생일 5% / 소장 다음날 12%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원고에게, 가. 차용주·김인수 연대하여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2억 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…, 나. 이행원 1억원 …, 2023.7.5.부터 소장송달일까지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다음날부터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차용주 3억 별도표시·상사 6% 구간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원고에게, 피고 차용주는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300,000,000원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피고 김인수는 차용주와 연대하여 위 돈 중 200,000,000원, 피고 이행원은 100,000,000원 및 위 각 돈에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2023.7.5.부터 2024.7.4.까지는 연 6%의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 날부터 소장부본 송달일까지는 연 5%의, 그 다음 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각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소장부본 송달일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손해발생일(2021.7.25.) 기산 5% 구간 통째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2021.7.25.부터 소장부본 송달일까지는 연 5%의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H. 저당권말소 선이행 + 제360조/제364조 (11 강유석) ★신규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115,000,000원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저당권설정등기의 말소등기절차를 이행하라.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구조(‘원고로부터’)는 타당, 금액만 오류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100,000,000원 및 이에 대하여 2017.7.15.부터 다 갚는 날까지 연 15%의 비율로 계산한 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제360조 단서(지연배상 1년분 제한)는 ‘경매절차’ 후순위권자 보호용 → 제364조 제3취득자 임의변제엔 미적용 = 전액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I. 인도 vs 퇴거 vs 철거 (14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점유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인도하라’ (14 박광윤=거주자→인도)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철거대상 안 ‘제3 점유자’ 배제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‘건물에서 퇴거하라’ (철거의무자 본인엔 ✗)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건물 자체 제거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철거하고’ (‘철거절차’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박광윤(평택 빌라)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… 건물에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퇴거절차를 이행하고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사용수익 종료일까지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별지 목록 제4항 기재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2024.9.1.부터 위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인도완료일까지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지급하라.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부당이득 기산 2024.9.1.(유치권 소멸청구 도달일) — 잘 잡음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성수동(제2항) — 구조·토지인도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가.1) 이문호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등기말소절차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2) 박성희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철거절차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각 이행하고 …월 300만원.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‘3/5 지분’ 철거에 오적용,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[토지 인도청구 누락]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 강용원에게, 가. 이문호 … 3/5 지분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말소등기절차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나. 대한은행 … 3/5 지분 근저당권설정등기 말소등기절차를, 다. 박성희는 별지 제2항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철거하고, 별지 제1항 기재 토지를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라. 이문호·박성희 공동하여 … 건물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철거완료일까지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3,000,000원 …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J. 가집행·소송비용 — 반복 누락 (12·13·14·15)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12·15 완전 누락 / 13·14 항목 오류. 마지막 3분 필수 체크.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가집행(제7항)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제3의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나.항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제4의 나.항은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제3나항(가액배상)=확정 후라 ✗ / 제1·2다·2라·4가항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제1항, 제2의 다.항 및 라.항, 제4항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각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금전·인도만 / 말소·확인·형성판결(취소 가.항)은 제외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‘소송비용은 피고들이 부담한다’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1인=‘피고가’ / 복수=‘피고들이’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‘제O항, 제O항은 각 가집행할 수 있다’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형성·말소·확인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§2  ★기산점 총정리 — 이자 &amp; 부당이득 (자주 헷갈림)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‘언제부터’ 한 끗이 감점. 청구마다 (1)이 청구가 무슨 성격인지 → (2)기산점 표에서 확인 후 옮길 것.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① 이자(지연손해금) 기산점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3000"/>
        <w:gridCol w:w="2310"/>
      </w:tblGrid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 유형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기산점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핵심/주의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세직 사례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 금전채무(이행기 有)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이행기(변제기)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약정이율 우선, 없으면 민5%/상6%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박보증·최도희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기한 없는 채무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이행청구(최고)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★시효기산(권리발생일)과 구별★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청구1: 최고 11.5→11.6 (세직 6.6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손해배상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손해발생(불법행위)일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최고 불요·당연지체 → 앞구간 5% 필수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조민숙 2021.7.25 (앞구간 누락)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가액배상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판결 확정일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 12% 미적용·연 5%만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반복(선고일·송달일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12% 가산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소장부본 송달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 소송에만 (확인·형성 ✗)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 14% 오기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기억법: ‘기한 없는 채무=최고 다음날’ ↔ ‘시효=권리발생일’.  ‘가액배상=확정 다음날’ ↔ ‘일반 금전=변제기/송달 다음날’.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② 부당이득(사용이익) 기산점 — 선의 / 악의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점유자 유형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시기(기산점)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사례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선의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본권 소제기일 = ‘이 사건 소장부본 송달일’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민§201①(과실수취권)+§197②(소제기시 악의 의제)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성수동 이문호·박성희(둘 다 선의)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악의·불법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 개시일(권원 상실일)부터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처음부터 반환의무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일반 불법점유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 후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소멸청구 도달일부터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장래효, 과실수취권 상실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평택 박광윤 2024.9.1.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[공통] 종기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사용·수익 종료일 = 인도/철거 완료일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14: 철거완료일 / 인도완료일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 정리: 선의면 ‘소장부본 송달일’, 악의·불법점유면 ‘점유개시일’.  14회는 둘 다 선의라 소장부본 송달일부터.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6E"/>
          <w:sz w:val="16"/>
          <w:szCs w:val="16"/>
        </w:rPr>
        <w:t xml:space="preserve">※ 근거판례(14회): 선의 점유자도 본권에 관한 소에서 패소하면 그 소가 제기된 때(=소장부본 송달일)부터 악의의 점유자로 의제(민법 제197조 제2항). 종기는 건물 철거완료일=사용·수익 종료일.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§3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‘포기’ 아님 → ‘중단’(완성 전 최고+승인). 부진정연대 상대효는 ‘양도 後’ 사유에만. 본건 중단(최고 2024.5.6.)이 영업양도(7.5.) 前 → 양수인 오민한에 미침. ▶ ‘중단이 양도보다 먼저면 미친다’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→ 도달 시 장래효(소급 ✗). 2024.9.1. 도달 → 그날부터 유치권 소멸·과실수취권 상실 → 부당이득도 9.1.부터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경매절차 후순위권자 보호용. 제364조 제3취득자 임의변제엔 미적용 →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‘판결 확정일 다음 날’부터 연 5%(취소판결 확정으로 의무 발생) — 선고일·송달일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매도인 선의면 수탁자(오국한)가 완전한 소유자 →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‘경매개시결정 後’ 담보권 소멸에만 적용. 개시 前 변제로 소멸한 본건엔 적용 ✗ →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배우자+자녀 공동상속 후 자녀 전원 포기 → 배우자 단독상속(대결 2020그42). 평택빌라=양정숙 단독 →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대항력 갖춘 임차인(양정숙)은 민법 §548① 단서 제3자 → 매매 해제에도 임차권 대항, 윤건우가 임대인 지위 승계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§4  시험 볼 때 주의할 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다수당사자 = 항마다 ‘어느 원고에게’ 확정 후 옮긴다.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금전·금액·한도는 별지 메모로 ‘계산 먼저’ 끝낸 뒤 청구취지엔 숫자만 옮긴다 (7,000만↔4백만 자릿수 사고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금액은 아라비아 숫자 전체: ‘월 3,000,000원’ (‘월 300만원’ ✗).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등기 접수일엔 ‘자’ 안 붙임: ‘2024. 10. 5. 접수 제25797호로 마친’ (‘자’는 결정·통지 일자에만).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순화어: ‘경료된’→‘마쳐진/마친’, ‘완제일’→‘다 갚는 날’.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연대=‘연대하여’ / 부진정연대=‘공동하여’·‘각자’ (14 김선웅·오민한=공동하여).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청구마다 ‘경매냐 임의변제냐 / 형성이냐 이행이냐 / 선의냐 악의냐’ 먼저 판정 → 이율·기산일·가집행이 갈린다.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2시간. 제3항 쟁점분석에 집중.</w:t>
      </w:r>
    </w:p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§5  제출 전 최종 점검 — 순서대로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80"/>
        <w:gridCol w:w="3200"/>
      </w:tblGrid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피고 전원 + 각 항 ‘원고 누구’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13오서구·15최진혁 / 14 원고 미특정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기산일=‘확정일 다음 날’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이율 구간(소촉12·상사6·민사5·가등기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인도/퇴거/철거 구분 + ‘절차’는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 + 등기소·접수번호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이자·부당이득 기산점(§2 표) 재확인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상시 헷갈림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대상(금전·인도만)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 아라비아 숫자·‘각’·‘의’ 조사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>10·11·12·13·14·15회 + 서은정 종합   |   2026. 7. 1. 갱신 (제10회 신규 반영)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§6  제10회 신규 반영 ★신규 (전부금 등 청구의 소 · 송영곤 해설 대조)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2021 제10회. 최대 실점=상속회복청구를 가액청구로 오인. 청구의 '성질' 판정이 청구취지 전체를 가른 회차.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상속회복청구 = 말소등기 (가액청구 아님) ★핵심★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피인지자가 참칭상속인·전득자 명의 등기를 말소하는 구조. 부동산이 처분되어도 전득자 등기 말소로 원물(등기) 회복 가능 → §1014 가액청구로 도망가지 말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피고 이상주는 원고에게 200,000,000원 및 이에 대한 2020.12.5.부터 … 연 5%/12% … 지급하라.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민법 §1014 가액지급청구로 구성 · 박계호 말소·최영만 승낙청구 통째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가. 피고 이상주는 별지목록 제2. 기재 부동산 중 1/2 지분에 관하여 수원지방법원 안산지원 2019.4.1. 접수 제2683호로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나. 피고 박계호는 … 2019.8.1. 접수 제5218호로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다. 피고 최영만은 위 나.항 기재 말소등기에 대하여 승낙의 의사표시를 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모자관계는 인지 불요 → §860 단서(인지 소급효 제한)·§1014 부적용 → 처분 무효 주장 가능 = 말소청구.  ★ 등기상 이해관계 있는 제3자(가압류권자 최영만)에겐 '승낙의 의사표시' 청구.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전부금 지연손해금 이율 (임대규)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다음날부터 다 갚는 날까지 연 5%의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전부금인데 연 5% 오기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 날부터 다 갚는 날까지 연 12%의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전부금=금전이행청구 → 소장부본 송달 다음날부터 소촉법 연 12%.  ★ §0 #4(연14%✗) 와 같은 계열 반복오류.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사해행위취소 + 원물반환(근저당말소) (송화선)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가액배상이 아닌 원물반환(근저당설정등기 말소) 유형. §1-A 6요소 중 '한도·확정일'은 없지만 당사자 특정·등기소 완전표시는 동일하게 적용.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…, 피고와 소외 정의숙(650820-2013145) 사이에 2020.7.13. 체결된 … 근저당권 설정 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정의숙에게 … 2020.7.13. 근저당권 설정을 원인으로 한 수원지방법원 2020.7.13. 접수 제4977호로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수익자 '피고' 특정X · 주민번호 기재 · 등기소 누락 · 등기원인 삽입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 송화선과 소외 정의숙 사이에 별지목록 제3. 기재 부동산에 관하여 2020.7.13. 체결된 근저당권설정계약을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소외 정의숙에게 별지목록 제3. 기재 부동산에 관하여 수원지방법원 성남지원 분당등기소 2020.7.13. 접수 제4977호로 마친 근저당권설정등기의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주민등록번호 기재 불요(2018.3.26. 예규).  ★ 말소등기엔 '등기원인'(…을 원인으로 한) 쓰지 않음 — 접수번호로 특정.  ★ 등기소 '성남지원 분당등기소'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채권자대위 소유권이전등기말소 (정미숙) — 명의신탁 무효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양자간 명의신탁 → 등기 자체 무효 → 신탁자(정의숙)의 소유권에 기한 말소청구권을 대위. '명의신탁 해지'라는 채권적 구성 ✗.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정의숙에게 2020.12.10. 명의신탁약정 해지를 원인으로 … 2012.2.10. 매매를 원인으로 한 수원지방법원 2012.3.10. 접수 제3123호로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이행상대방·이론·등기원인·등기소 4중 오류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원고에게 별지목록 제3. 기재 부동산에 관하여, 수원지방법원 성남지원 분당등기소 2012.3.10. 접수 제3123호로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대위 말소라도 이행상대방은 '원고에게'(§1-B의 이전등기·인도 '채무자에게'와 구별 — 말소는 원고에게).  ★ 등기원인·명의신탁 해지 문구 삭제.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물품대금 문언 디테일 (최영만·박계호)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최영만은 80,000,000원, 나. 박계호는 최영만과 연대하여 30,000,000원, 및 이에 대한 … 연 12%의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'각' 누락 · 지연손해금 문언 말미 1회 묶음 · '피고'·'위 가.항 기재 돈 중'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 및 이에 대한 2020.12.2.부터 … 연 6%/12%의 각 비율로 … 지급하고, 나. 피고 박계호는 피고 최영만과 연대하여 위 가.항 기재 돈 중 30,000,000원 및 이에 대한 …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지연손해금 문언은 가·나 각 항에 분리 기재.  ★ '각 비율'의 '각' 누락 주의.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관할 오기재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의정부지방법원 고양지원 귀중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정답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서울중앙지방법원 귀중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병합청구(전부금 제3채무자·상속·물품·사해행위) 관할 종합 판단 → 서울중앙. 소장 마지막 '○○법원 귀중' 제출 전 재확인.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§6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청구 성질 먼저: '지급(금전)' vs '말소·이전·인도·의사표시'. 상속회복은 원칙 말소, 가액청구는 예외.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전부금·물품대금 등 금전이행 = 소장송달 다음날부터 소촉법 12%.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말소등기 청구취지 = [이행상대방 '원고에게'] + [등기소 완전표시] + [접수번호] + [등기원인 생략].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사해행위: 원물반환이든 가액배상이든 당사자('피고 OOO')·목적물 특정은 동일. 주민번호 기재 불요.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소장 제출 전 '○○법원 귀중' 관할 재확인.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9"/>
          <w:szCs w:val="19"/>
        </w:rPr>
        <w:t xml:space="preserve">세직, 침착하게. 큰 쟁점은 다 보인다. ‘누가·얼마·언제부터’만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260"/>
      <w:outlineLvl w:val="0"/>
    </w:pPr>
    <w:rPr>
      <w:rFonts w:ascii="Malgun Gothic" w:cs="Malgun Gothic" w:eastAsia="Malgun Gothic" w:hAnsi="Malgun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A88" w:sz="8" w:space="3"/>
      </w:pBdr>
      <w:spacing w:after="110" w:before="220"/>
      <w:outlineLvl w:val="1"/>
    </w:pPr>
    <w:rPr>
      <w:rFonts w:ascii="Malgun Gothic" w:cs="Malgun Gothic" w:eastAsia="Malgun Gothic" w:hAnsi="Malgun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Malgun Gothic" w:cs="Malgun Gothic" w:eastAsia="Malgun Gothic" w:hAnsi="Malgun Gothic"/>
      <w:b/>
      <w:bCs/>
      <w:color w:val="C0392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2026-06-24T12:08:12.162Z</dcterms:created>
  <dcterms:modified xsi:type="dcterms:W3CDTF">2026-06-24T12:08:12.162Z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