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pPr>
      <w:r>
        <w:rPr>
          <w:rFonts w:hint="eastAsia"/>
        </w:rPr>
        <w:t>工业物联网中涡轮风扇发动机的预测性维护研究</w:t>
      </w:r>
    </w:p>
    <w:p/>
    <w:p/>
    <w:p>
      <w:r>
        <w:rPr>
          <w:rFonts w:hint="eastAsia"/>
          <w:b/>
        </w:rPr>
        <w:t>作者</w:t>
      </w:r>
      <w:r>
        <w:rPr>
          <w:rFonts w:hint="eastAsia"/>
        </w:rPr>
        <w:t>：黄锐，李承幸，黄旺辉，王</w:t>
      </w:r>
      <w:r>
        <w:rPr>
          <w:rFonts w:hint="eastAsia"/>
          <w:color w:val="000000" w:themeColor="text1"/>
          <w14:textFill>
            <w14:solidFill>
              <w14:schemeClr w14:val="tx1"/>
            </w14:solidFill>
          </w14:textFill>
        </w:rPr>
        <w:t>彬，冯永</w:t>
      </w:r>
      <w:r>
        <w:rPr>
          <w:color w:val="000000" w:themeColor="text1"/>
          <w14:textFill>
            <w14:solidFill>
              <w14:schemeClr w14:val="tx1"/>
            </w14:solidFill>
          </w14:textFill>
        </w:rPr>
        <w:t xml:space="preserve"> </w:t>
      </w:r>
    </w:p>
    <w:p>
      <w:r>
        <w:rPr>
          <w:rFonts w:hint="eastAsia"/>
          <w:b/>
        </w:rPr>
        <w:t>单位</w:t>
      </w:r>
      <w:r>
        <w:rPr>
          <w:rFonts w:hint="eastAsia"/>
        </w:rPr>
        <w:t>：重庆大学，计算机学院</w:t>
      </w:r>
    </w:p>
    <w:p>
      <w:pPr>
        <w:rPr>
          <w:color w:val="000000" w:themeColor="text1"/>
          <w14:textFill>
            <w14:solidFill>
              <w14:schemeClr w14:val="tx1"/>
            </w14:solidFill>
          </w14:textFill>
        </w:rPr>
      </w:pPr>
      <w:r>
        <w:rPr>
          <w:rFonts w:hint="eastAsia"/>
          <w:b/>
        </w:rPr>
        <w:t>案例版权</w:t>
      </w:r>
      <w:r>
        <w:rPr>
          <w:rFonts w:hint="eastAsia"/>
        </w:rPr>
        <w:t>：</w:t>
      </w:r>
      <w:r>
        <w:rPr>
          <w:rFonts w:hint="eastAsia"/>
          <w:color w:val="000000" w:themeColor="text1"/>
          <w14:textFill>
            <w14:solidFill>
              <w14:schemeClr w14:val="tx1"/>
            </w14:solidFill>
          </w14:textFill>
        </w:rPr>
        <w:t>该案例归重庆大学计算机学院所有</w:t>
      </w:r>
    </w:p>
    <w:p>
      <w:pPr>
        <w:rPr>
          <w:color w:val="000000" w:themeColor="text1"/>
          <w14:textFill>
            <w14:solidFill>
              <w14:schemeClr w14:val="tx1"/>
            </w14:solidFill>
          </w14:textFill>
        </w:rPr>
      </w:pPr>
      <w:r>
        <w:rPr>
          <w:rFonts w:hint="eastAsia"/>
          <w:b/>
          <w:color w:val="000000" w:themeColor="text1"/>
          <w14:textFill>
            <w14:solidFill>
              <w14:schemeClr w14:val="tx1"/>
            </w14:solidFill>
          </w14:textFill>
        </w:rPr>
        <w:t>涉及的知识点</w:t>
      </w:r>
      <w:r>
        <w:rPr>
          <w:rFonts w:hint="eastAsia"/>
          <w:color w:val="000000" w:themeColor="text1"/>
          <w14:textFill>
            <w14:solidFill>
              <w14:schemeClr w14:val="tx1"/>
            </w14:solidFill>
          </w14:textFill>
        </w:rPr>
        <w:t>：工业物联网预测性维护、数据预处理、PCA降维、线性回归、决策树回归、支持向量机、深度神经网络、逻辑斯蒂回归</w:t>
      </w:r>
    </w:p>
    <w:p>
      <w:pPr>
        <w:rPr>
          <w:color w:val="000000" w:themeColor="text1"/>
          <w14:textFill>
            <w14:solidFill>
              <w14:schemeClr w14:val="tx1"/>
            </w14:solidFill>
          </w14:textFill>
        </w:rPr>
      </w:pPr>
      <w:r>
        <w:rPr>
          <w:rFonts w:hint="eastAsia"/>
          <w:b/>
          <w:color w:val="000000" w:themeColor="text1"/>
          <w14:textFill>
            <w14:solidFill>
              <w14:schemeClr w14:val="tx1"/>
            </w14:solidFill>
          </w14:textFill>
        </w:rPr>
        <w:t>案例来源及案例真实性情况</w:t>
      </w:r>
      <w:r>
        <w:rPr>
          <w:rFonts w:hint="eastAsia"/>
          <w:color w:val="000000" w:themeColor="text1"/>
          <w14:textFill>
            <w14:solidFill>
              <w14:schemeClr w14:val="tx1"/>
            </w14:solidFill>
          </w14:textFill>
        </w:rPr>
        <w:t>：该案例来源于重庆大学计算机学院专业硕士（电子信息）课程《大数据架构与技术》中的学生精选汇编课程设计。</w:t>
      </w:r>
    </w:p>
    <w:p/>
    <w:p/>
    <w:p>
      <w:r>
        <w:rPr>
          <w:rFonts w:hint="eastAsia"/>
          <w:b/>
        </w:rPr>
        <w:t>摘要</w:t>
      </w:r>
      <w:r>
        <w:rPr>
          <w:rFonts w:hint="eastAsia"/>
        </w:rPr>
        <w:t xml:space="preserve"> 工业物联网将具有感知、监控能力的各类采集、控制传感器或控制器，以及移动通信、智能分析等技术不断融入到工业生产过程各个环节。这种方式大幅度提高了制造效率，改善产品质量，降低产品成本和资源消耗，最终实现将传统工业提升到智能化的新阶段。本案例选取工业物联网中的预测性维护问题作为主题，使用来源于美国宇航局网站的涡轮风扇降级模拟数据集作为实验数据，结合数据挖掘、机器学习的相关方法进行涡轮风扇发动机的预测性维护研究。本案例核心内容有：（1）对原始涡轮风扇降级模拟数据集进行分析与可视化，并使用PCA降维等方式进行数据预处理；（2）使用线性回归、广义线性回归、决策树回归三种方法进行无论风扇发动机的剩余使用寿命预测；（3）使用支持向量机、深度神经网络、逻辑斯蒂回归三种方法进行涡轮风扇发动机的工作状态判定。</w:t>
      </w:r>
    </w:p>
    <w:p/>
    <w:p>
      <w:r>
        <w:rPr>
          <w:rFonts w:hint="eastAsia"/>
          <w:b/>
        </w:rPr>
        <w:t>关键词</w:t>
      </w:r>
      <w:r>
        <w:rPr>
          <w:rFonts w:hint="eastAsia"/>
        </w:rPr>
        <w:t>：工业物联网，预测性维护，数据挖掘，机器学习</w:t>
      </w:r>
    </w:p>
    <w:p/>
    <w:p/>
    <w:p/>
    <w:p>
      <w:pPr>
        <w:sectPr>
          <w:pgSz w:w="11906" w:h="16838"/>
          <w:pgMar w:top="1440" w:right="1800" w:bottom="1440" w:left="1800" w:header="851" w:footer="992" w:gutter="0"/>
          <w:cols w:space="425" w:num="1"/>
          <w:docGrid w:type="lines" w:linePitch="312" w:charSpace="0"/>
        </w:sectPr>
      </w:pPr>
    </w:p>
    <w:p>
      <w:pPr>
        <w:pStyle w:val="3"/>
        <w:spacing w:before="156" w:after="156"/>
      </w:pPr>
      <w:r>
        <w:rPr>
          <w:rFonts w:hint="eastAsia"/>
        </w:rPr>
        <w:t>1</w:t>
      </w:r>
      <w:r>
        <w:t xml:space="preserve"> </w:t>
      </w:r>
      <w:r>
        <w:rPr>
          <w:rFonts w:hint="eastAsia"/>
        </w:rPr>
        <w:t>引言</w:t>
      </w:r>
    </w:p>
    <w:p>
      <w:r>
        <w:tab/>
      </w:r>
      <w:r>
        <w:rPr>
          <w:rFonts w:hint="eastAsia"/>
          <w:color w:val="000000" w:themeColor="text1"/>
          <w14:textFill>
            <w14:solidFill>
              <w14:schemeClr w14:val="tx1"/>
            </w14:solidFill>
          </w14:textFill>
        </w:rPr>
        <w:t>该教学案例来源于重庆大学计算机学院专业硕士（电子信息）课程《大数据架构与技术》中的学生精选汇编课程设计。该</w:t>
      </w:r>
      <w:r>
        <w:rPr>
          <w:rFonts w:hint="eastAsia"/>
        </w:rPr>
        <w:t>案例的关键问题为工业物联网中的预测性维护，以涡轮风扇发动机的剩余使用寿命预测与运行状态预测作为具体问题，需引导学生进行的主要内容有：（1）对原始涡轮风扇降级模拟数据集进行分析与可视化，使用适当方法进行数据预处理；（2）选取适当的数据挖掘或机器学习方法对涡轮风扇发动机的剩余使用寿命进行预测；（3）选取适当的数据挖掘或机器学习方法对涡轮风扇发动机的工作状态进行判定。</w:t>
      </w:r>
    </w:p>
    <w:p>
      <w:pPr>
        <w:pStyle w:val="3"/>
        <w:spacing w:before="156" w:after="156"/>
      </w:pPr>
      <w:r>
        <w:rPr>
          <w:rFonts w:hint="eastAsia"/>
        </w:rPr>
        <w:t>2</w:t>
      </w:r>
      <w:r>
        <w:t xml:space="preserve"> </w:t>
      </w:r>
      <w:r>
        <w:rPr>
          <w:rFonts w:hint="eastAsia"/>
        </w:rPr>
        <w:t>背景介绍</w:t>
      </w:r>
    </w:p>
    <w:p>
      <w:pPr>
        <w:ind w:firstLine="480" w:firstLineChars="200"/>
      </w:pPr>
      <w:r>
        <w:rPr>
          <w:rFonts w:hint="eastAsia"/>
        </w:rPr>
        <w:t>工业物联网是将具有感知、监控能力的各类采集、控制传感器或控制器，以及移动通信、智能分析等技术不断融入到工业生产过程各个环节，从而大幅提高制造效率，改善产品质量，降低产品成本和资源消耗，最终实现将传统工业提升到智能化的新阶段。从应用形式上，工业物联网的应用具有实时性、自动化、嵌入式(软件)、安全性、和信息互通互联性等特点。</w:t>
      </w:r>
    </w:p>
    <w:p>
      <w:pPr>
        <w:ind w:firstLine="480" w:firstLineChars="200"/>
      </w:pPr>
      <w:r>
        <w:rPr>
          <w:rFonts w:hint="eastAsia"/>
        </w:rPr>
        <w:t>中国工业物联网产业链还处在形成初期，产业链条的界定和分工还不完全明晰，但随着产业整体竞争力的快速提升，行业处于爆发前期。再加上全国工业物联网数据创新应用大赛等赛事连连举行，都强调了工业界大数据应用的重要程度，也反映出工业界对大数据智能化人才的迫切需求。因此一定比例的工业物联网案例对于专业硕士的培养是必要的。在本案例中，我们选取工业物联网中的预测性维护作为主要研究问题，借助大数据分析与处理、数据挖掘、机器学习的相关方法，以满足培养具备创新能力与实践能力的人才的需求。</w:t>
      </w:r>
    </w:p>
    <w:p>
      <w:pPr>
        <w:pStyle w:val="3"/>
        <w:spacing w:before="156" w:after="156"/>
      </w:pPr>
      <w:r>
        <w:rPr>
          <w:rFonts w:hint="eastAsia"/>
        </w:rPr>
        <w:t>3</w:t>
      </w:r>
      <w:r>
        <w:t xml:space="preserve"> </w:t>
      </w:r>
      <w:r>
        <w:rPr>
          <w:rFonts w:hint="eastAsia"/>
        </w:rPr>
        <w:t>内容</w:t>
      </w:r>
    </w:p>
    <w:p>
      <w:pPr>
        <w:ind w:firstLine="480" w:firstLineChars="200"/>
      </w:pPr>
      <w:r>
        <w:rPr>
          <w:rFonts w:hint="eastAsia"/>
        </w:rPr>
        <w:t>该案例的主要内容主要分为三个小节，分别为数据集分析与预处理、涡轮风扇发动机剩余使用寿命预测，以及涡轮风扇发动机工作状态判定。</w:t>
      </w:r>
    </w:p>
    <w:p>
      <w:r>
        <w:rPr>
          <w:rFonts w:hint="eastAsia"/>
        </w:rPr>
        <w:t>3</w:t>
      </w:r>
      <w:r>
        <w:t xml:space="preserve">.1 </w:t>
      </w:r>
      <w:r>
        <w:rPr>
          <w:rFonts w:hint="eastAsia"/>
        </w:rPr>
        <w:t>数据集分析与预处理</w:t>
      </w:r>
    </w:p>
    <w:p>
      <w:pPr>
        <w:spacing w:line="440" w:lineRule="exact"/>
        <w:ind w:firstLine="480" w:firstLineChars="200"/>
        <w:jc w:val="left"/>
      </w:pPr>
      <w:r>
        <w:rPr>
          <w:rFonts w:hint="eastAsia"/>
        </w:rPr>
        <w:t>本案例采用的数据集为涡轮风扇降级模拟数据集，可从美国宇航局网站获取：https://ti.arc.nasa.gov/tech/dash/groups/pcoe/prognostic-data-repository/。</w:t>
      </w:r>
    </w:p>
    <w:p>
      <w:pPr>
        <w:ind w:firstLine="480" w:firstLineChars="200"/>
      </w:pPr>
      <w:r>
        <w:rPr>
          <w:rFonts w:hint="eastAsia"/>
        </w:rPr>
        <w:t>本数据集共包含4组数据，每一组包含1个训练数据文件，1个测试数据文件和1个真实剩余使用寿命文件。以训练数据中一组数据为例，其包含了100台同型号的涡扇发动机的数据，共约两万多条数据。数据维度为26，包含1个发动机id，1个已运行周期数量，3个操作设置及21个传感器的读数。具体字段含义如下表所示：</w:t>
      </w:r>
    </w:p>
    <w:p>
      <w:pPr>
        <w:ind w:firstLine="480" w:firstLineChars="200"/>
      </w:pPr>
    </w:p>
    <w:tbl>
      <w:tblPr>
        <w:tblStyle w:val="8"/>
        <w:tblW w:w="6662" w:type="dxa"/>
        <w:jc w:val="center"/>
        <w:tblLayout w:type="autofit"/>
        <w:tblCellMar>
          <w:top w:w="0" w:type="dxa"/>
          <w:left w:w="0" w:type="dxa"/>
          <w:bottom w:w="0" w:type="dxa"/>
          <w:right w:w="0" w:type="dxa"/>
        </w:tblCellMar>
      </w:tblPr>
      <w:tblGrid>
        <w:gridCol w:w="3581"/>
        <w:gridCol w:w="3081"/>
      </w:tblGrid>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tcPr>
          <w:p>
            <w:pPr>
              <w:widowControl/>
              <w:spacing w:line="240" w:lineRule="auto"/>
              <w:jc w:val="left"/>
              <w:rPr>
                <w:rFonts w:ascii="Arial" w:hAnsi="Arial" w:cs="Arial"/>
                <w:kern w:val="0"/>
                <w:szCs w:val="24"/>
              </w:rPr>
            </w:pPr>
            <w:r>
              <w:rPr>
                <w:rFonts w:ascii="宋体" w:hAnsi="宋体" w:cs="宋体"/>
                <w:b/>
                <w:bCs/>
                <w:color w:val="FFFFFF" w:themeColor="light1"/>
                <w:kern w:val="24"/>
                <w:szCs w:val="24"/>
                <w14:textFill>
                  <w14:solidFill>
                    <w14:schemeClr w14:val="lt1"/>
                  </w14:solidFill>
                </w14:textFill>
              </w:rPr>
              <w:t>字段名</w:t>
            </w:r>
          </w:p>
        </w:tc>
        <w:tc>
          <w:tcPr>
            <w:tcW w:w="3081"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tcPr>
          <w:p>
            <w:pPr>
              <w:widowControl/>
              <w:spacing w:line="240" w:lineRule="auto"/>
              <w:jc w:val="left"/>
              <w:rPr>
                <w:rFonts w:ascii="Arial" w:hAnsi="Arial" w:cs="Arial"/>
                <w:kern w:val="0"/>
                <w:szCs w:val="24"/>
              </w:rPr>
            </w:pPr>
            <w:r>
              <w:rPr>
                <w:rFonts w:ascii="宋体" w:hAnsi="宋体" w:cs="宋体"/>
                <w:b/>
                <w:bCs/>
                <w:color w:val="FFFFFF" w:themeColor="light1"/>
                <w:kern w:val="24"/>
                <w:szCs w:val="24"/>
                <w14:textFill>
                  <w14:solidFill>
                    <w14:schemeClr w14:val="lt1"/>
                  </w14:solidFill>
                </w14:textFill>
              </w:rPr>
              <w:t>含义</w:t>
            </w:r>
          </w:p>
        </w:tc>
      </w:tr>
      <w:tr>
        <w:tblPrEx>
          <w:tblCellMar>
            <w:top w:w="0" w:type="dxa"/>
            <w:left w:w="0" w:type="dxa"/>
            <w:bottom w:w="0" w:type="dxa"/>
            <w:right w:w="0" w:type="dxa"/>
          </w:tblCellMar>
        </w:tblPrEx>
        <w:trPr>
          <w:trHeight w:val="397" w:hRule="atLeast"/>
          <w:jc w:val="center"/>
        </w:trPr>
        <w:tc>
          <w:tcPr>
            <w:tcW w:w="3581"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unit number</w:t>
            </w:r>
          </w:p>
        </w:tc>
        <w:tc>
          <w:tcPr>
            <w:tcW w:w="3081"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宋体" w:hAnsi="宋体" w:cs="宋体"/>
                <w:color w:val="000000" w:themeColor="dark1"/>
                <w:kern w:val="24"/>
                <w:szCs w:val="24"/>
                <w14:textFill>
                  <w14:solidFill>
                    <w14:schemeClr w14:val="dk1"/>
                  </w14:solidFill>
                </w14:textFill>
              </w:rPr>
              <w:t>涡扇发动机编号</w:t>
            </w:r>
          </w:p>
        </w:tc>
      </w:tr>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time, in cycles</w:t>
            </w:r>
          </w:p>
        </w:tc>
        <w:tc>
          <w:tcPr>
            <w:tcW w:w="308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widowControl/>
              <w:spacing w:line="240" w:lineRule="auto"/>
              <w:jc w:val="left"/>
              <w:rPr>
                <w:rFonts w:ascii="Arial" w:hAnsi="Arial" w:cs="Arial"/>
                <w:kern w:val="0"/>
                <w:szCs w:val="24"/>
              </w:rPr>
            </w:pPr>
            <w:r>
              <w:rPr>
                <w:rFonts w:ascii="宋体" w:hAnsi="宋体" w:cs="宋体"/>
                <w:color w:val="000000" w:themeColor="dark1"/>
                <w:kern w:val="24"/>
                <w:szCs w:val="24"/>
                <w14:textFill>
                  <w14:solidFill>
                    <w14:schemeClr w14:val="dk1"/>
                  </w14:solidFill>
                </w14:textFill>
              </w:rPr>
              <w:t>使用时间，以周期为单位</w:t>
            </w:r>
          </w:p>
        </w:tc>
      </w:tr>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operational setting 1</w:t>
            </w:r>
          </w:p>
        </w:tc>
        <w:tc>
          <w:tcPr>
            <w:tcW w:w="308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宋体" w:hAnsi="宋体" w:cs="宋体"/>
                <w:color w:val="000000" w:themeColor="dark1"/>
                <w:kern w:val="24"/>
                <w:szCs w:val="24"/>
                <w14:textFill>
                  <w14:solidFill>
                    <w14:schemeClr w14:val="dk1"/>
                  </w14:solidFill>
                </w14:textFill>
              </w:rPr>
              <w:t>操作设置</w:t>
            </w:r>
            <w:r>
              <w:rPr>
                <w:rFonts w:ascii="Kaiti SC" w:hAnsi="Kaiti SC" w:eastAsia="Kaiti SC" w:cs="Arial"/>
                <w:color w:val="000000" w:themeColor="dark1"/>
                <w:kern w:val="24"/>
                <w:szCs w:val="24"/>
                <w14:textFill>
                  <w14:solidFill>
                    <w14:schemeClr w14:val="dk1"/>
                  </w14:solidFill>
                </w14:textFill>
              </w:rPr>
              <w:t>1</w:t>
            </w:r>
          </w:p>
        </w:tc>
      </w:tr>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operational setting 2</w:t>
            </w:r>
          </w:p>
        </w:tc>
        <w:tc>
          <w:tcPr>
            <w:tcW w:w="308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widowControl/>
              <w:spacing w:line="240" w:lineRule="auto"/>
              <w:jc w:val="left"/>
              <w:rPr>
                <w:rFonts w:ascii="Arial" w:hAnsi="Arial" w:cs="Arial"/>
                <w:kern w:val="0"/>
                <w:szCs w:val="24"/>
              </w:rPr>
            </w:pPr>
            <w:r>
              <w:rPr>
                <w:rFonts w:ascii="宋体" w:hAnsi="宋体" w:cs="宋体"/>
                <w:color w:val="000000" w:themeColor="dark1"/>
                <w:kern w:val="24"/>
                <w:szCs w:val="24"/>
                <w14:textFill>
                  <w14:solidFill>
                    <w14:schemeClr w14:val="dk1"/>
                  </w14:solidFill>
                </w14:textFill>
              </w:rPr>
              <w:t>操作设置</w:t>
            </w:r>
            <w:r>
              <w:rPr>
                <w:rFonts w:ascii="Kaiti SC" w:hAnsi="Kaiti SC" w:eastAsia="Kaiti SC" w:cs="Arial"/>
                <w:color w:val="000000" w:themeColor="dark1"/>
                <w:kern w:val="24"/>
                <w:szCs w:val="24"/>
                <w14:textFill>
                  <w14:solidFill>
                    <w14:schemeClr w14:val="dk1"/>
                  </w14:solidFill>
                </w14:textFill>
              </w:rPr>
              <w:t>2</w:t>
            </w:r>
          </w:p>
        </w:tc>
      </w:tr>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operational setting 3</w:t>
            </w:r>
          </w:p>
        </w:tc>
        <w:tc>
          <w:tcPr>
            <w:tcW w:w="308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宋体" w:hAnsi="宋体" w:cs="宋体"/>
                <w:color w:val="000000" w:themeColor="dark1"/>
                <w:kern w:val="24"/>
                <w:szCs w:val="24"/>
                <w14:textFill>
                  <w14:solidFill>
                    <w14:schemeClr w14:val="dk1"/>
                  </w14:solidFill>
                </w14:textFill>
              </w:rPr>
              <w:t>操作设置</w:t>
            </w:r>
            <w:r>
              <w:rPr>
                <w:rFonts w:ascii="Kaiti SC" w:hAnsi="Kaiti SC" w:eastAsia="Kaiti SC" w:cs="Arial"/>
                <w:color w:val="000000" w:themeColor="dark1"/>
                <w:kern w:val="24"/>
                <w:szCs w:val="24"/>
                <w14:textFill>
                  <w14:solidFill>
                    <w14:schemeClr w14:val="dk1"/>
                  </w14:solidFill>
                </w14:textFill>
              </w:rPr>
              <w:t>3</w:t>
            </w:r>
          </w:p>
        </w:tc>
      </w:tr>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sensor measurement 1</w:t>
            </w:r>
          </w:p>
        </w:tc>
        <w:tc>
          <w:tcPr>
            <w:tcW w:w="308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1</w:t>
            </w:r>
            <w:r>
              <w:rPr>
                <w:rFonts w:ascii="宋体" w:hAnsi="宋体" w:cs="宋体"/>
                <w:color w:val="000000" w:themeColor="dark1"/>
                <w:kern w:val="24"/>
                <w:szCs w:val="24"/>
                <w14:textFill>
                  <w14:solidFill>
                    <w14:schemeClr w14:val="dk1"/>
                  </w14:solidFill>
                </w14:textFill>
              </w:rPr>
              <w:t>号传感器读数</w:t>
            </w:r>
          </w:p>
        </w:tc>
      </w:tr>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sensor measurement 2</w:t>
            </w:r>
          </w:p>
        </w:tc>
        <w:tc>
          <w:tcPr>
            <w:tcW w:w="308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2</w:t>
            </w:r>
            <w:r>
              <w:rPr>
                <w:rFonts w:ascii="宋体" w:hAnsi="宋体" w:cs="宋体"/>
                <w:color w:val="000000" w:themeColor="dark1"/>
                <w:kern w:val="24"/>
                <w:szCs w:val="24"/>
                <w14:textFill>
                  <w14:solidFill>
                    <w14:schemeClr w14:val="dk1"/>
                  </w14:solidFill>
                </w14:textFill>
              </w:rPr>
              <w:t>号传感器读数</w:t>
            </w:r>
          </w:p>
        </w:tc>
      </w:tr>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w:t>
            </w:r>
          </w:p>
        </w:tc>
        <w:tc>
          <w:tcPr>
            <w:tcW w:w="308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w:t>
            </w:r>
          </w:p>
        </w:tc>
      </w:tr>
      <w:tr>
        <w:tblPrEx>
          <w:tblCellMar>
            <w:top w:w="0" w:type="dxa"/>
            <w:left w:w="0" w:type="dxa"/>
            <w:bottom w:w="0" w:type="dxa"/>
            <w:right w:w="0" w:type="dxa"/>
          </w:tblCellMar>
        </w:tblPrEx>
        <w:trPr>
          <w:trHeight w:val="397" w:hRule="atLeast"/>
          <w:jc w:val="center"/>
        </w:trPr>
        <w:tc>
          <w:tcPr>
            <w:tcW w:w="358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sensor measurement 21</w:t>
            </w:r>
          </w:p>
        </w:tc>
        <w:tc>
          <w:tcPr>
            <w:tcW w:w="308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widowControl/>
              <w:spacing w:line="240" w:lineRule="auto"/>
              <w:jc w:val="left"/>
              <w:rPr>
                <w:rFonts w:ascii="Arial" w:hAnsi="Arial" w:cs="Arial"/>
                <w:kern w:val="0"/>
                <w:szCs w:val="24"/>
              </w:rPr>
            </w:pPr>
            <w:r>
              <w:rPr>
                <w:rFonts w:ascii="Kaiti SC" w:hAnsi="Kaiti SC" w:eastAsia="Kaiti SC" w:cs="Arial"/>
                <w:color w:val="000000" w:themeColor="dark1"/>
                <w:kern w:val="24"/>
                <w:szCs w:val="24"/>
                <w14:textFill>
                  <w14:solidFill>
                    <w14:schemeClr w14:val="dk1"/>
                  </w14:solidFill>
                </w14:textFill>
              </w:rPr>
              <w:t>21</w:t>
            </w:r>
            <w:r>
              <w:rPr>
                <w:rFonts w:ascii="宋体" w:hAnsi="宋体" w:cs="宋体"/>
                <w:color w:val="000000" w:themeColor="dark1"/>
                <w:kern w:val="24"/>
                <w:szCs w:val="24"/>
                <w14:textFill>
                  <w14:solidFill>
                    <w14:schemeClr w14:val="dk1"/>
                  </w14:solidFill>
                </w14:textFill>
              </w:rPr>
              <w:t>号传感器读数</w:t>
            </w:r>
          </w:p>
        </w:tc>
      </w:tr>
    </w:tbl>
    <w:p>
      <w:pPr>
        <w:ind w:firstLine="480" w:firstLineChars="200"/>
      </w:pPr>
    </w:p>
    <w:p>
      <w:pPr>
        <w:ind w:firstLine="480" w:firstLineChars="200"/>
      </w:pPr>
      <w:r>
        <w:rPr>
          <w:rFonts w:hint="eastAsia"/>
        </w:rPr>
        <w:t>首先我们对数据集进行可视化展示以分析数据特征。这里给出可视化分析的两个例子：</w:t>
      </w:r>
    </w:p>
    <w:p>
      <w:pPr>
        <w:ind w:firstLine="480" w:firstLineChars="200"/>
      </w:pPr>
      <w:r>
        <w:rPr>
          <w:rFonts w:hint="eastAsia"/>
        </w:rPr>
        <w:t>（1）提取100台发动机的使用寿命，并以10个周期为基本单位绘制直方图，分析其大致分布，寿命分布直方图如下：</w:t>
      </w:r>
    </w:p>
    <w:p>
      <w:pPr>
        <w:ind w:firstLine="480" w:firstLineChars="200"/>
        <w:jc w:val="center"/>
      </w:pPr>
      <w:r>
        <w:rPr>
          <w:rFonts w:hint="eastAsia"/>
        </w:rPr>
        <w:drawing>
          <wp:inline distT="0" distB="0" distL="0" distR="0">
            <wp:extent cx="2824480" cy="21183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34233" cy="2125675"/>
                    </a:xfrm>
                    <a:prstGeom prst="rect">
                      <a:avLst/>
                    </a:prstGeom>
                  </pic:spPr>
                </pic:pic>
              </a:graphicData>
            </a:graphic>
          </wp:inline>
        </w:drawing>
      </w:r>
    </w:p>
    <w:p>
      <w:pPr>
        <w:ind w:firstLine="480" w:firstLineChars="200"/>
        <w:jc w:val="left"/>
      </w:pPr>
      <w:r>
        <w:rPr>
          <w:rFonts w:hint="eastAsia"/>
        </w:rPr>
        <w:t>可以发现，此种型号的涡扇发动机寿命数据分布类似于正态分布，主要集中150-240个运行周期之间。</w:t>
      </w:r>
    </w:p>
    <w:p>
      <w:pPr>
        <w:ind w:firstLine="480" w:firstLineChars="200"/>
        <w:jc w:val="left"/>
      </w:pPr>
      <w:r>
        <w:rPr>
          <w:rFonts w:hint="eastAsia"/>
        </w:rPr>
        <w:t>（2）绘制各数据字段随时间变化的折线图，以评估各项特征对于构建预测模型的作用。以1号发动机为例，其特征变化趋势图如下所示：</w:t>
      </w:r>
    </w:p>
    <w:p>
      <w:pPr>
        <w:jc w:val="left"/>
      </w:pPr>
      <w:r>
        <w:rPr>
          <w:rFonts w:hint="eastAsia"/>
        </w:rPr>
        <w:drawing>
          <wp:inline distT="0" distB="0" distL="0" distR="0">
            <wp:extent cx="5274310" cy="351599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516413"/>
                    </a:xfrm>
                    <a:prstGeom prst="rect">
                      <a:avLst/>
                    </a:prstGeom>
                  </pic:spPr>
                </pic:pic>
              </a:graphicData>
            </a:graphic>
          </wp:inline>
        </w:drawing>
      </w:r>
    </w:p>
    <w:p>
      <w:pPr>
        <w:ind w:firstLine="480" w:firstLineChars="200"/>
      </w:pPr>
      <w:r>
        <w:rPr>
          <w:rFonts w:hint="eastAsia"/>
        </w:rPr>
        <w:t xml:space="preserve">可以直观地看出，有部分特征没有随时间呈现规律性的变化，这种类型特征在构建预测模型中基本无用。因此，可以考虑对训练集和测试集均删除低方差特征。 </w:t>
      </w:r>
    </w:p>
    <w:p>
      <w:pPr>
        <w:ind w:firstLine="480" w:firstLineChars="200"/>
      </w:pPr>
      <w:r>
        <w:rPr>
          <w:rFonts w:hint="eastAsia"/>
        </w:rPr>
        <w:t>数据集的预处理是数据挖掘中极其重要的步骤之一，有效的数据预处理往往能显著增强预测模型的性能。这里给出数据集预处理的三个参考步骤：</w:t>
      </w:r>
    </w:p>
    <w:p>
      <w:pPr>
        <w:ind w:firstLine="480" w:firstLineChars="200"/>
      </w:pPr>
      <w:r>
        <w:rPr>
          <w:rFonts w:hint="eastAsia"/>
        </w:rPr>
        <w:t>（1）对训练集和测试集删除低方差特征后，可得到8个共有特征。可视化展示如下。</w:t>
      </w:r>
    </w:p>
    <w:p>
      <w:r>
        <w:drawing>
          <wp:inline distT="0" distB="0" distL="0" distR="0">
            <wp:extent cx="5274310" cy="2259965"/>
            <wp:effectExtent l="0" t="0" r="2540" b="698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60330"/>
                    </a:xfrm>
                    <a:prstGeom prst="rect">
                      <a:avLst/>
                    </a:prstGeom>
                  </pic:spPr>
                </pic:pic>
              </a:graphicData>
            </a:graphic>
          </wp:inline>
        </w:drawing>
      </w:r>
    </w:p>
    <w:p>
      <w:pPr>
        <w:ind w:firstLine="480" w:firstLineChars="200"/>
      </w:pPr>
      <w:r>
        <w:rPr>
          <w:rFonts w:hint="eastAsia"/>
        </w:rPr>
        <w:t>由于传感器读数会出现误差及产生不规则数据读数，可以使用移动平均法消除噪声。消除噪声之后的特征值展示如下。</w:t>
      </w:r>
    </w:p>
    <w:p>
      <w:r>
        <w:drawing>
          <wp:inline distT="0" distB="0" distL="0" distR="0">
            <wp:extent cx="5274310" cy="2259965"/>
            <wp:effectExtent l="0" t="0" r="2540" b="698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60330"/>
                    </a:xfrm>
                    <a:prstGeom prst="rect">
                      <a:avLst/>
                    </a:prstGeom>
                  </pic:spPr>
                </pic:pic>
              </a:graphicData>
            </a:graphic>
          </wp:inline>
        </w:drawing>
      </w:r>
    </w:p>
    <w:p>
      <w:pPr>
        <w:ind w:firstLine="480" w:firstLineChars="200"/>
      </w:pPr>
      <w:r>
        <w:rPr>
          <w:rFonts w:hint="eastAsia"/>
        </w:rPr>
        <w:t>（2）对数据进行归一化与标准化，使每个特征的均值为</w:t>
      </w:r>
      <w:r>
        <w:t>0</w:t>
      </w:r>
      <w:r>
        <w:rPr>
          <w:rFonts w:hint="eastAsia"/>
        </w:rPr>
        <w:t>，标准差为1，可提升机器学习模型的性能。处理后的数据如下所示。</w:t>
      </w:r>
    </w:p>
    <w:p>
      <w:r>
        <w:drawing>
          <wp:inline distT="0" distB="0" distL="0" distR="0">
            <wp:extent cx="5274310" cy="2259965"/>
            <wp:effectExtent l="0" t="0" r="2540" b="698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60330"/>
                    </a:xfrm>
                    <a:prstGeom prst="rect">
                      <a:avLst/>
                    </a:prstGeom>
                  </pic:spPr>
                </pic:pic>
              </a:graphicData>
            </a:graphic>
          </wp:inline>
        </w:drawing>
      </w:r>
    </w:p>
    <w:p>
      <w:pPr>
        <w:ind w:firstLine="480" w:firstLineChars="200"/>
      </w:pPr>
      <w:r>
        <w:rPr>
          <w:rFonts w:hint="eastAsia"/>
        </w:rPr>
        <w:t>（3）由于在之前的步骤之中生成了许多的新特征，数据维度已大为扩展，因此需要降低数据维度，便于调节机器学习算法的参数，并优化预测解决方案。此处采用PCA进行降维，得出前10个主成分的单个贡献率和累计贡献率，由下图可知，前10个主成分的累计贡献率已达到90%。</w:t>
      </w:r>
    </w:p>
    <w:p>
      <w:r>
        <w:rPr>
          <w:rFonts w:hint="eastAsia"/>
        </w:rPr>
        <w:t xml:space="preserve">   </w:t>
      </w:r>
      <w:r>
        <w:drawing>
          <wp:inline distT="0" distB="0" distL="114300" distR="114300">
            <wp:extent cx="2327275" cy="1745615"/>
            <wp:effectExtent l="0" t="0" r="9525" b="6985"/>
            <wp:docPr id="4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1"/>
                    <pic:cNvPicPr>
                      <a:picLocks noChangeAspect="1"/>
                    </pic:cNvPicPr>
                  </pic:nvPicPr>
                  <pic:blipFill>
                    <a:blip r:embed="rId11"/>
                    <a:stretch>
                      <a:fillRect/>
                    </a:stretch>
                  </pic:blipFill>
                  <pic:spPr>
                    <a:xfrm>
                      <a:off x="0" y="0"/>
                      <a:ext cx="2327275" cy="1745615"/>
                    </a:xfrm>
                    <a:prstGeom prst="rect">
                      <a:avLst/>
                    </a:prstGeom>
                    <a:noFill/>
                    <a:ln>
                      <a:noFill/>
                    </a:ln>
                  </pic:spPr>
                </pic:pic>
              </a:graphicData>
            </a:graphic>
          </wp:inline>
        </w:drawing>
      </w:r>
      <w:r>
        <w:drawing>
          <wp:inline distT="0" distB="0" distL="114300" distR="114300">
            <wp:extent cx="2364105" cy="1772920"/>
            <wp:effectExtent l="0" t="0" r="10795" b="5080"/>
            <wp:docPr id="4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0"/>
                    <pic:cNvPicPr>
                      <a:picLocks noChangeAspect="1"/>
                    </pic:cNvPicPr>
                  </pic:nvPicPr>
                  <pic:blipFill>
                    <a:blip r:embed="rId12"/>
                    <a:stretch>
                      <a:fillRect/>
                    </a:stretch>
                  </pic:blipFill>
                  <pic:spPr>
                    <a:xfrm>
                      <a:off x="0" y="0"/>
                      <a:ext cx="2364105" cy="1772920"/>
                    </a:xfrm>
                    <a:prstGeom prst="rect">
                      <a:avLst/>
                    </a:prstGeom>
                    <a:noFill/>
                    <a:ln>
                      <a:noFill/>
                    </a:ln>
                  </pic:spPr>
                </pic:pic>
              </a:graphicData>
            </a:graphic>
          </wp:inline>
        </w:drawing>
      </w:r>
    </w:p>
    <w:p>
      <w:pPr>
        <w:ind w:firstLine="420"/>
      </w:pPr>
      <w:r>
        <w:rPr>
          <w:rFonts w:hint="eastAsia"/>
        </w:rPr>
        <w:t>再次进行全局归一化和标准化，生成最后的PC特征。PC特征如下图所示：</w:t>
      </w:r>
    </w:p>
    <w:p>
      <w:r>
        <w:drawing>
          <wp:inline distT="0" distB="0" distL="0" distR="0">
            <wp:extent cx="5274310" cy="1506220"/>
            <wp:effectExtent l="0" t="0" r="2540" b="0"/>
            <wp:docPr id="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506680"/>
                    </a:xfrm>
                    <a:prstGeom prst="rect">
                      <a:avLst/>
                    </a:prstGeom>
                  </pic:spPr>
                </pic:pic>
              </a:graphicData>
            </a:graphic>
          </wp:inline>
        </w:drawing>
      </w:r>
    </w:p>
    <w:p/>
    <w:p>
      <w:r>
        <w:rPr>
          <w:rFonts w:hint="eastAsia"/>
        </w:rPr>
        <w:t>3</w:t>
      </w:r>
      <w:r>
        <w:t>.2</w:t>
      </w:r>
      <w:r>
        <w:rPr>
          <w:rFonts w:hint="eastAsia"/>
        </w:rPr>
        <w:tab/>
      </w:r>
      <w:r>
        <w:rPr>
          <w:rFonts w:hint="eastAsia"/>
        </w:rPr>
        <w:t>涡轮风扇发动机剩余使用寿命预测</w:t>
      </w:r>
    </w:p>
    <w:p>
      <w:pPr>
        <w:ind w:firstLine="480" w:firstLineChars="200"/>
      </w:pPr>
      <w:r>
        <w:rPr>
          <w:rFonts w:hint="eastAsia"/>
        </w:rPr>
        <w:t>在本小节，我们将整个训练数据文件用作训练集，分别训练线性回归、广义线性回归及决策回归树模型。同时，我们还在测试数据中随机选取5台发动机的数据作为测试集，以均方根误差（RMSE）作为评价指标，从而选择最佳模型及参数。</w:t>
      </w:r>
    </w:p>
    <w:p>
      <w:pPr>
        <w:ind w:firstLine="480" w:firstLineChars="200"/>
      </w:pPr>
      <w:r>
        <w:rPr>
          <w:rFonts w:hint="eastAsia"/>
        </w:rPr>
        <w:t>三种方法通过调节多种参数组合，得到实验结果如下：</w:t>
      </w:r>
    </w:p>
    <w:tbl>
      <w:tblPr>
        <w:tblStyle w:val="8"/>
        <w:tblW w:w="7787" w:type="dxa"/>
        <w:jc w:val="center"/>
        <w:tblLayout w:type="autofit"/>
        <w:tblCellMar>
          <w:top w:w="0" w:type="dxa"/>
          <w:left w:w="0" w:type="dxa"/>
          <w:bottom w:w="0" w:type="dxa"/>
          <w:right w:w="0" w:type="dxa"/>
        </w:tblCellMar>
      </w:tblPr>
      <w:tblGrid>
        <w:gridCol w:w="2258"/>
        <w:gridCol w:w="3544"/>
        <w:gridCol w:w="1985"/>
      </w:tblGrid>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模型</w:t>
            </w:r>
          </w:p>
        </w:tc>
        <w:tc>
          <w:tcPr>
            <w:tcW w:w="3544"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参数</w:t>
            </w:r>
          </w:p>
        </w:tc>
        <w:tc>
          <w:tcPr>
            <w:tcW w:w="1985"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均方根误差（RMSE）</w:t>
            </w:r>
          </w:p>
        </w:tc>
      </w:tr>
      <w:tr>
        <w:tblPrEx>
          <w:tblCellMar>
            <w:top w:w="0" w:type="dxa"/>
            <w:left w:w="0" w:type="dxa"/>
            <w:bottom w:w="0" w:type="dxa"/>
            <w:right w:w="0" w:type="dxa"/>
          </w:tblCellMar>
        </w:tblPrEx>
        <w:trPr>
          <w:trHeight w:val="397" w:hRule="atLeast"/>
          <w:jc w:val="center"/>
        </w:trPr>
        <w:tc>
          <w:tcPr>
            <w:tcW w:w="2258"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线性回归</w:t>
            </w:r>
          </w:p>
        </w:tc>
        <w:tc>
          <w:tcPr>
            <w:tcW w:w="3544"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p>
        </w:tc>
        <w:tc>
          <w:tcPr>
            <w:tcW w:w="1985"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85.85</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广义线性回归</w:t>
            </w:r>
          </w:p>
        </w:tc>
        <w:tc>
          <w:tcPr>
            <w:tcW w:w="3544"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Lambda = 0</w:t>
            </w:r>
          </w:p>
        </w:tc>
        <w:tc>
          <w:tcPr>
            <w:tcW w:w="1985"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rPr>
                <w:color w:val="FF0000"/>
              </w:rPr>
              <w:t>17.58</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广义线性回归</w:t>
            </w:r>
          </w:p>
        </w:tc>
        <w:tc>
          <w:tcPr>
            <w:tcW w:w="3544"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Lambda = 0.5</w:t>
            </w:r>
          </w:p>
        </w:tc>
        <w:tc>
          <w:tcPr>
            <w:tcW w:w="1985"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35.31</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广义线性回归</w:t>
            </w:r>
          </w:p>
        </w:tc>
        <w:tc>
          <w:tcPr>
            <w:tcW w:w="3544"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Lambda = 1</w:t>
            </w:r>
          </w:p>
        </w:tc>
        <w:tc>
          <w:tcPr>
            <w:tcW w:w="1985"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53.13</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广义线性回归</w:t>
            </w:r>
          </w:p>
        </w:tc>
        <w:tc>
          <w:tcPr>
            <w:tcW w:w="3544"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Lambda = 10</w:t>
            </w:r>
          </w:p>
        </w:tc>
        <w:tc>
          <w:tcPr>
            <w:tcW w:w="1985"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71.19</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广义线性回归</w:t>
            </w:r>
          </w:p>
        </w:tc>
        <w:tc>
          <w:tcPr>
            <w:tcW w:w="3544"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Lambda = 30</w:t>
            </w:r>
          </w:p>
        </w:tc>
        <w:tc>
          <w:tcPr>
            <w:tcW w:w="1985"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89.23</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广义线性回归</w:t>
            </w:r>
          </w:p>
        </w:tc>
        <w:tc>
          <w:tcPr>
            <w:tcW w:w="3544"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Lambda = 50</w:t>
            </w:r>
          </w:p>
        </w:tc>
        <w:tc>
          <w:tcPr>
            <w:tcW w:w="1985"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107.23</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决策树回归</w:t>
            </w:r>
          </w:p>
        </w:tc>
        <w:tc>
          <w:tcPr>
            <w:tcW w:w="3544"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maxDepth = 5, maxBins = 4</w:t>
            </w:r>
          </w:p>
        </w:tc>
        <w:tc>
          <w:tcPr>
            <w:tcW w:w="1985"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rPr>
                <w:color w:val="FFC000"/>
              </w:rPr>
              <w:t>18.12</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决策树回归</w:t>
            </w:r>
          </w:p>
        </w:tc>
        <w:tc>
          <w:tcPr>
            <w:tcW w:w="3544"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maxDepth = 5, maxBins = 8</w:t>
            </w:r>
          </w:p>
        </w:tc>
        <w:tc>
          <w:tcPr>
            <w:tcW w:w="1985"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36.20</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决策树回归</w:t>
            </w:r>
          </w:p>
        </w:tc>
        <w:tc>
          <w:tcPr>
            <w:tcW w:w="3544"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maxDepth = 10, maxBins = 4</w:t>
            </w:r>
          </w:p>
        </w:tc>
        <w:tc>
          <w:tcPr>
            <w:tcW w:w="1985"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54.50</w:t>
            </w:r>
          </w:p>
        </w:tc>
      </w:tr>
      <w:tr>
        <w:tblPrEx>
          <w:tblCellMar>
            <w:top w:w="0" w:type="dxa"/>
            <w:left w:w="0" w:type="dxa"/>
            <w:bottom w:w="0" w:type="dxa"/>
            <w:right w:w="0" w:type="dxa"/>
          </w:tblCellMar>
        </w:tblPrEx>
        <w:trPr>
          <w:trHeight w:val="397" w:hRule="atLeast"/>
          <w:jc w:val="center"/>
        </w:trPr>
        <w:tc>
          <w:tcPr>
            <w:tcW w:w="2258"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决策树回归</w:t>
            </w:r>
          </w:p>
        </w:tc>
        <w:tc>
          <w:tcPr>
            <w:tcW w:w="3544"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maxDepth = 10, maxBins = 6</w:t>
            </w:r>
          </w:p>
        </w:tc>
        <w:tc>
          <w:tcPr>
            <w:tcW w:w="1985"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73.06</w:t>
            </w:r>
          </w:p>
        </w:tc>
      </w:tr>
    </w:tbl>
    <w:p>
      <w:pPr>
        <w:ind w:firstLine="480" w:firstLineChars="200"/>
      </w:pPr>
    </w:p>
    <w:p>
      <w:pPr>
        <w:ind w:firstLine="480" w:firstLineChars="200"/>
      </w:pPr>
      <w:r>
        <w:rPr>
          <w:rFonts w:hint="eastAsia"/>
        </w:rPr>
        <w:t>从结果可以发现，使用参数Lambda=0的广义线性回归获得最优的效果。进一步地，将广义线性回归用于整个测试集，并评估预测性能如下所示：</w:t>
      </w:r>
    </w:p>
    <w:p>
      <w:pPr>
        <w:ind w:firstLine="480" w:firstLineChars="200"/>
      </w:pPr>
    </w:p>
    <w:tbl>
      <w:tblPr>
        <w:tblStyle w:val="8"/>
        <w:tblW w:w="7995" w:type="dxa"/>
        <w:tblInd w:w="274" w:type="dxa"/>
        <w:tblLayout w:type="fixed"/>
        <w:tblCellMar>
          <w:top w:w="0" w:type="dxa"/>
          <w:left w:w="0" w:type="dxa"/>
          <w:bottom w:w="0" w:type="dxa"/>
          <w:right w:w="0" w:type="dxa"/>
        </w:tblCellMar>
      </w:tblPr>
      <w:tblGrid>
        <w:gridCol w:w="1701"/>
        <w:gridCol w:w="1049"/>
        <w:gridCol w:w="1049"/>
        <w:gridCol w:w="1049"/>
        <w:gridCol w:w="1049"/>
        <w:gridCol w:w="1049"/>
        <w:gridCol w:w="1049"/>
      </w:tblGrid>
      <w:tr>
        <w:tblPrEx>
          <w:tblCellMar>
            <w:top w:w="0" w:type="dxa"/>
            <w:left w:w="0" w:type="dxa"/>
            <w:bottom w:w="0" w:type="dxa"/>
            <w:right w:w="0" w:type="dxa"/>
          </w:tblCellMar>
        </w:tblPrEx>
        <w:trPr>
          <w:trHeight w:val="397" w:hRule="atLeast"/>
        </w:trPr>
        <w:tc>
          <w:tcPr>
            <w:tcW w:w="1701"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发动机编号</w:t>
            </w:r>
          </w:p>
        </w:tc>
        <w:tc>
          <w:tcPr>
            <w:tcW w:w="1049"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7</w:t>
            </w:r>
          </w:p>
        </w:tc>
        <w:tc>
          <w:tcPr>
            <w:tcW w:w="1049"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23</w:t>
            </w:r>
          </w:p>
        </w:tc>
        <w:tc>
          <w:tcPr>
            <w:tcW w:w="1049"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32</w:t>
            </w:r>
          </w:p>
        </w:tc>
        <w:tc>
          <w:tcPr>
            <w:tcW w:w="1049"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62</w:t>
            </w:r>
          </w:p>
        </w:tc>
        <w:tc>
          <w:tcPr>
            <w:tcW w:w="1049"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75</w:t>
            </w:r>
          </w:p>
        </w:tc>
        <w:tc>
          <w:tcPr>
            <w:tcW w:w="1049"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vAlign w:val="center"/>
          </w:tcPr>
          <w:p>
            <w:pPr>
              <w:jc w:val="center"/>
            </w:pPr>
            <w:r>
              <w:rPr>
                <w:b/>
                <w:bCs/>
              </w:rPr>
              <w:t>85</w:t>
            </w:r>
          </w:p>
        </w:tc>
      </w:tr>
      <w:tr>
        <w:tblPrEx>
          <w:tblCellMar>
            <w:top w:w="0" w:type="dxa"/>
            <w:left w:w="0" w:type="dxa"/>
            <w:bottom w:w="0" w:type="dxa"/>
            <w:right w:w="0" w:type="dxa"/>
          </w:tblCellMar>
        </w:tblPrEx>
        <w:trPr>
          <w:trHeight w:val="397" w:hRule="atLeast"/>
        </w:trPr>
        <w:tc>
          <w:tcPr>
            <w:tcW w:w="1701"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真实值</w:t>
            </w:r>
          </w:p>
        </w:tc>
        <w:tc>
          <w:tcPr>
            <w:tcW w:w="1049"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65</w:t>
            </w:r>
          </w:p>
        </w:tc>
        <w:tc>
          <w:tcPr>
            <w:tcW w:w="1049"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126</w:t>
            </w:r>
          </w:p>
        </w:tc>
        <w:tc>
          <w:tcPr>
            <w:tcW w:w="1049"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110</w:t>
            </w:r>
          </w:p>
        </w:tc>
        <w:tc>
          <w:tcPr>
            <w:tcW w:w="1049"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145</w:t>
            </w:r>
          </w:p>
        </w:tc>
        <w:tc>
          <w:tcPr>
            <w:tcW w:w="1049"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128</w:t>
            </w:r>
          </w:p>
        </w:tc>
        <w:tc>
          <w:tcPr>
            <w:tcW w:w="1049"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129</w:t>
            </w:r>
          </w:p>
        </w:tc>
      </w:tr>
      <w:tr>
        <w:tblPrEx>
          <w:tblCellMar>
            <w:top w:w="0" w:type="dxa"/>
            <w:left w:w="0" w:type="dxa"/>
            <w:bottom w:w="0" w:type="dxa"/>
            <w:right w:w="0" w:type="dxa"/>
          </w:tblCellMar>
        </w:tblPrEx>
        <w:trPr>
          <w:trHeight w:val="397" w:hRule="atLeast"/>
        </w:trPr>
        <w:tc>
          <w:tcPr>
            <w:tcW w:w="1701"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预测值</w:t>
            </w:r>
          </w:p>
        </w:tc>
        <w:tc>
          <w:tcPr>
            <w:tcW w:w="1049"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73.75</w:t>
            </w:r>
          </w:p>
        </w:tc>
        <w:tc>
          <w:tcPr>
            <w:tcW w:w="1049"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115.35</w:t>
            </w:r>
          </w:p>
        </w:tc>
        <w:tc>
          <w:tcPr>
            <w:tcW w:w="1049"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100.49</w:t>
            </w:r>
          </w:p>
        </w:tc>
        <w:tc>
          <w:tcPr>
            <w:tcW w:w="1049"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148.46</w:t>
            </w:r>
          </w:p>
        </w:tc>
        <w:tc>
          <w:tcPr>
            <w:tcW w:w="1049"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129.54</w:t>
            </w:r>
          </w:p>
        </w:tc>
        <w:tc>
          <w:tcPr>
            <w:tcW w:w="1049"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vAlign w:val="center"/>
          </w:tcPr>
          <w:p>
            <w:pPr>
              <w:jc w:val="center"/>
            </w:pPr>
            <w:r>
              <w:t>138.47</w:t>
            </w:r>
          </w:p>
        </w:tc>
      </w:tr>
      <w:tr>
        <w:tblPrEx>
          <w:tblCellMar>
            <w:top w:w="0" w:type="dxa"/>
            <w:left w:w="0" w:type="dxa"/>
            <w:bottom w:w="0" w:type="dxa"/>
            <w:right w:w="0" w:type="dxa"/>
          </w:tblCellMar>
        </w:tblPrEx>
        <w:trPr>
          <w:trHeight w:val="397" w:hRule="atLeast"/>
        </w:trPr>
        <w:tc>
          <w:tcPr>
            <w:tcW w:w="1701"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差值</w:t>
            </w:r>
          </w:p>
        </w:tc>
        <w:tc>
          <w:tcPr>
            <w:tcW w:w="1049"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-8.75</w:t>
            </w:r>
          </w:p>
        </w:tc>
        <w:tc>
          <w:tcPr>
            <w:tcW w:w="1049"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10.65</w:t>
            </w:r>
          </w:p>
        </w:tc>
        <w:tc>
          <w:tcPr>
            <w:tcW w:w="1049"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9.51</w:t>
            </w:r>
          </w:p>
        </w:tc>
        <w:tc>
          <w:tcPr>
            <w:tcW w:w="1049"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3.46</w:t>
            </w:r>
          </w:p>
        </w:tc>
        <w:tc>
          <w:tcPr>
            <w:tcW w:w="1049"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1.54</w:t>
            </w:r>
          </w:p>
        </w:tc>
        <w:tc>
          <w:tcPr>
            <w:tcW w:w="1049"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vAlign w:val="center"/>
          </w:tcPr>
          <w:p>
            <w:pPr>
              <w:jc w:val="center"/>
            </w:pPr>
            <w:r>
              <w:t>9.47</w:t>
            </w:r>
          </w:p>
        </w:tc>
      </w:tr>
    </w:tbl>
    <w:p>
      <w:pPr>
        <w:jc w:val="center"/>
      </w:pPr>
      <w:r>
        <w:drawing>
          <wp:inline distT="0" distB="0" distL="114300" distR="114300">
            <wp:extent cx="3016250" cy="1997710"/>
            <wp:effectExtent l="0" t="0" r="0" b="2540"/>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pic:cNvPicPr>
                      <a:picLocks noChangeAspect="1"/>
                    </pic:cNvPicPr>
                  </pic:nvPicPr>
                  <pic:blipFill>
                    <a:blip r:embed="rId14"/>
                    <a:stretch>
                      <a:fillRect/>
                    </a:stretch>
                  </pic:blipFill>
                  <pic:spPr>
                    <a:xfrm>
                      <a:off x="0" y="0"/>
                      <a:ext cx="3034552" cy="2009990"/>
                    </a:xfrm>
                    <a:prstGeom prst="rect">
                      <a:avLst/>
                    </a:prstGeom>
                    <a:noFill/>
                    <a:ln>
                      <a:noFill/>
                    </a:ln>
                  </pic:spPr>
                </pic:pic>
              </a:graphicData>
            </a:graphic>
          </wp:inline>
        </w:drawing>
      </w:r>
    </w:p>
    <w:p>
      <w:pPr>
        <w:ind w:firstLine="480" w:firstLineChars="200"/>
      </w:pPr>
      <w:r>
        <w:rPr>
          <w:rFonts w:hint="eastAsia"/>
        </w:rPr>
        <w:t>广义线性回归所得预测结果的部分展示如上图所示，预测均方根误差为19.04。虽然模型取得不错的效果，但还有进一步优化的空间。在本案例中，可以考虑进一步地调整模型超参数，或运用集成学习的方法，训练出更好的预测模型。</w:t>
      </w:r>
    </w:p>
    <w:p>
      <w:pPr>
        <w:ind w:firstLine="480" w:firstLineChars="200"/>
      </w:pPr>
    </w:p>
    <w:p>
      <w:r>
        <w:rPr>
          <w:rFonts w:hint="eastAsia"/>
        </w:rPr>
        <w:t>3</w:t>
      </w:r>
      <w:r>
        <w:t xml:space="preserve">.3 </w:t>
      </w:r>
      <w:r>
        <w:rPr>
          <w:rFonts w:hint="eastAsia"/>
        </w:rPr>
        <w:t>涡轮风扇发动机工作状态判定</w:t>
      </w:r>
    </w:p>
    <w:p>
      <w:pPr>
        <w:ind w:firstLine="480" w:firstLineChars="200"/>
      </w:pPr>
      <w:r>
        <w:rPr>
          <w:rFonts w:hint="eastAsia"/>
        </w:rPr>
        <w:t>涡轮风扇引擎在整个运行周期可以大致分为两种状态：正常状态和警报状态。正常状态指引擎出现问题时的前30个运行周期之前所处的状态，警报状态则是指离引擎出现问题时的最近30个周期。在本小节中，需要根据预处理之后的数据，对某一时刻的涡轮风扇所处的状态进行判定。该小节主要分为两个步骤：</w:t>
      </w:r>
    </w:p>
    <w:p>
      <w:pPr>
        <w:ind w:firstLine="480" w:firstLineChars="200"/>
      </w:pPr>
      <w:r>
        <w:rPr>
          <w:rFonts w:hint="eastAsia"/>
        </w:rPr>
        <w:t>（1）正负样本均衡</w:t>
      </w:r>
    </w:p>
    <w:p>
      <w:pPr>
        <w:ind w:firstLine="420"/>
      </w:pPr>
      <w:r>
        <w:rPr>
          <w:rFonts w:hint="eastAsia"/>
        </w:rPr>
        <w:t>在原始训练数据集中，正常状态与警报状态的数据比例约为12:1，存在正负数据不均衡的情况，如下图所示：</w:t>
      </w:r>
    </w:p>
    <w:p>
      <w:r>
        <w:drawing>
          <wp:inline distT="0" distB="0" distL="114300" distR="114300">
            <wp:extent cx="5344160" cy="1891665"/>
            <wp:effectExtent l="0" t="0" r="2540" b="63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5"/>
                    <a:stretch>
                      <a:fillRect/>
                    </a:stretch>
                  </pic:blipFill>
                  <pic:spPr>
                    <a:xfrm>
                      <a:off x="0" y="0"/>
                      <a:ext cx="5344160" cy="1891665"/>
                    </a:xfrm>
                    <a:prstGeom prst="rect">
                      <a:avLst/>
                    </a:prstGeom>
                    <a:noFill/>
                    <a:ln>
                      <a:noFill/>
                    </a:ln>
                  </pic:spPr>
                </pic:pic>
              </a:graphicData>
            </a:graphic>
          </wp:inline>
        </w:drawing>
      </w:r>
    </w:p>
    <w:p>
      <w:pPr>
        <w:ind w:firstLine="420"/>
      </w:pPr>
      <w:r>
        <w:rPr>
          <w:rFonts w:hint="eastAsia"/>
        </w:rPr>
        <w:t>我们采用SMOTE算法对训练集中的正负样本进行平衡。SMOTE即合成少数类过采样技术。它是基于随机过采样算法的一种改进方案，由于随机过采样采取简单复制样本的策略来增加少数类样本，容易产生模型过拟合的问题，即使得模型学习到的信息过于特别而不够泛化。SMOTE算法的基本思想是对少数类样本进行分析并根据少数类样本人工合成新样本添加到数据集中。经过SMOTE算法进行正负样本均衡后，其正负样本比例为1:1。</w:t>
      </w:r>
    </w:p>
    <w:p>
      <w:pPr>
        <w:ind w:firstLine="480" w:firstLineChars="200"/>
      </w:pPr>
      <w:r>
        <w:rPr>
          <w:rFonts w:hint="eastAsia"/>
        </w:rPr>
        <w:t>（2）训练工作状态判定器</w:t>
      </w:r>
    </w:p>
    <w:p>
      <w:pPr>
        <w:ind w:firstLine="420"/>
      </w:pPr>
      <w:r>
        <w:rPr>
          <w:rFonts w:hint="eastAsia"/>
        </w:rPr>
        <w:t>对涡轮风扇发动机的工作状态判定本质上为一个分类问题。我们分别使用支持向量机（SVM），深度神经网络（DNN）和逻辑斯蒂（logistic）回归的方法对引擎状态进行判定。最后模型采用准确率，精确率，召回率和auc值进行综合评价，选取表现最佳的分类器。</w:t>
      </w:r>
    </w:p>
    <w:p>
      <w:pPr>
        <w:ind w:firstLine="420"/>
      </w:pPr>
      <w:r>
        <w:rPr>
          <w:rFonts w:hint="eastAsia"/>
        </w:rPr>
        <w:t>三种分类器的具体表现如下图所示。</w:t>
      </w:r>
    </w:p>
    <w:p>
      <w:r>
        <w:drawing>
          <wp:inline distT="0" distB="0" distL="114300" distR="114300">
            <wp:extent cx="5274310" cy="2637155"/>
            <wp:effectExtent l="0" t="0" r="2540" b="0"/>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pic:cNvPicPr>
                      <a:picLocks noChangeAspect="1"/>
                    </pic:cNvPicPr>
                  </pic:nvPicPr>
                  <pic:blipFill>
                    <a:blip r:embed="rId16"/>
                    <a:stretch>
                      <a:fillRect/>
                    </a:stretch>
                  </pic:blipFill>
                  <pic:spPr>
                    <a:xfrm>
                      <a:off x="0" y="0"/>
                      <a:ext cx="5274310" cy="2637155"/>
                    </a:xfrm>
                    <a:prstGeom prst="rect">
                      <a:avLst/>
                    </a:prstGeom>
                    <a:noFill/>
                    <a:ln>
                      <a:noFill/>
                    </a:ln>
                  </pic:spPr>
                </pic:pic>
              </a:graphicData>
            </a:graphic>
          </wp:inline>
        </w:drawing>
      </w:r>
    </w:p>
    <w:p>
      <w:pPr>
        <w:ind w:firstLine="420"/>
      </w:pPr>
      <w:r>
        <w:rPr>
          <w:rFonts w:hint="eastAsia"/>
        </w:rPr>
        <w:t>综合四种指标考虑，DNN分类器在所有指标上表现最为均衡，为最佳模型。</w:t>
      </w:r>
    </w:p>
    <w:p>
      <w:pPr>
        <w:ind w:firstLine="420"/>
      </w:pPr>
    </w:p>
    <w:p>
      <w:pPr>
        <w:pStyle w:val="3"/>
        <w:spacing w:before="156" w:after="156"/>
      </w:pPr>
      <w:r>
        <w:rPr>
          <w:rFonts w:hint="eastAsia"/>
        </w:rPr>
        <w:t>4</w:t>
      </w:r>
      <w:r>
        <w:t xml:space="preserve"> </w:t>
      </w:r>
      <w:r>
        <w:rPr>
          <w:rFonts w:hint="eastAsia"/>
        </w:rPr>
        <w:t>小结</w:t>
      </w:r>
    </w:p>
    <w:p>
      <w:pPr>
        <w:ind w:firstLine="480" w:firstLineChars="200"/>
      </w:pPr>
      <w:r>
        <w:rPr>
          <w:rFonts w:hint="eastAsia"/>
        </w:rPr>
        <w:t>本案例选取工业物联网中的预测性维护问题作为主题，使用来源于美国宇航局网站的涡轮风扇降级模拟数据集作为实验数据，结合数据挖掘、机器学习的相关方法进行涡轮风扇发动机的预测性维护研究。主要内容包括原始数据集的可视化分析与处理、发动机使用寿命预测与工作状态判定。该案例主题新颖，结合了工业界现实需求与大数据分析与挖掘的多种理论与技术，可以充分增强学生的实践能力与理论基础。另外，本案例的内容仅为指导性的过程，在实际教学中，可保持基本研究内容不变，鼓励学生引入其它的数据预处理、数据挖掘、机器学习方法完成任务。</w:t>
      </w:r>
    </w:p>
    <w:p/>
    <w:p>
      <w:pPr>
        <w:pStyle w:val="3"/>
        <w:spacing w:before="156" w:after="156"/>
      </w:pPr>
      <w:r>
        <w:rPr>
          <w:rFonts w:hint="eastAsia"/>
        </w:rPr>
        <w:t>附录</w:t>
      </w:r>
    </w:p>
    <w:p>
      <w:r>
        <w:rPr>
          <w:rFonts w:hint="eastAsia"/>
        </w:rPr>
        <w:t>1</w:t>
      </w:r>
      <w:r>
        <w:t xml:space="preserve">. </w:t>
      </w:r>
      <w:r>
        <w:rPr>
          <w:rFonts w:hint="eastAsia"/>
        </w:rPr>
        <w:t>本案例提供配套的PPT、视频、数据集与代码等，发布于Github，链接为：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（数据读取与预处理库），scikit</w:t>
      </w:r>
      <w:r>
        <w:t>-learn</w:t>
      </w:r>
      <w:r>
        <w:rPr>
          <w:rFonts w:hint="eastAsia"/>
        </w:rPr>
        <w:t>（机器学习算法库），</w:t>
      </w:r>
      <w:r>
        <w:t>matplotlib</w:t>
      </w:r>
      <w:r>
        <w:rPr>
          <w:rFonts w:hint="eastAsia"/>
        </w:rPr>
        <w:t>（可视化绘图库）。</w:t>
      </w:r>
    </w:p>
    <w:p>
      <w:r>
        <w:rPr>
          <w:rFonts w:hint="eastAsia"/>
        </w:rPr>
        <w:t>3</w:t>
      </w:r>
      <w:r>
        <w:t xml:space="preserve">. </w:t>
      </w:r>
      <w:r>
        <w:rPr>
          <w:rFonts w:hint="eastAsia"/>
        </w:rPr>
        <w:t>本案例参考文献如下：</w:t>
      </w:r>
    </w:p>
    <w:p>
      <w:r>
        <w:rPr>
          <w:rFonts w:hint="eastAsia"/>
        </w:rPr>
        <w:t>[</w:t>
      </w:r>
      <w:r>
        <w:t xml:space="preserve">1] </w:t>
      </w:r>
      <w:r>
        <w:rPr>
          <w:rFonts w:hint="eastAsia"/>
        </w:rPr>
        <w:t>周志华.</w:t>
      </w:r>
      <w:r>
        <w:t xml:space="preserve"> </w:t>
      </w:r>
      <w:r>
        <w:rPr>
          <w:rFonts w:hint="eastAsia"/>
        </w:rPr>
        <w:t>机器学习[</w:t>
      </w:r>
      <w:r>
        <w:t xml:space="preserve">M]. </w:t>
      </w:r>
      <w:r>
        <w:rPr>
          <w:rFonts w:hint="eastAsia"/>
        </w:rPr>
        <w:t>北京</w:t>
      </w:r>
      <w:r>
        <w:t xml:space="preserve">: </w:t>
      </w:r>
      <w:r>
        <w:rPr>
          <w:rFonts w:hint="eastAsia"/>
        </w:rPr>
        <w:t>清华大学出版社,</w:t>
      </w:r>
      <w:r>
        <w:t xml:space="preserve"> 2016.</w:t>
      </w:r>
    </w:p>
    <w:p>
      <w:r>
        <w:rPr>
          <w:rFonts w:hint="eastAsia"/>
        </w:rPr>
        <w:t>参考内容：数据预处理理论，线性回归、广义线性回归、决策树、SVM、logistic回归算法</w:t>
      </w:r>
    </w:p>
    <w:p>
      <w:r>
        <w:t>[2] Goodfellow I, Bengio Y, Courville A. Deep learning[M]. MIT press, 2016.</w:t>
      </w:r>
    </w:p>
    <w:p>
      <w:r>
        <w:rPr>
          <w:rFonts w:hint="eastAsia"/>
        </w:rPr>
        <w:t>参考内容：深度神经网络</w:t>
      </w:r>
      <w:r>
        <w:t>DNN</w:t>
      </w:r>
      <w:r>
        <w:rPr>
          <w:rFonts w:hint="eastAsia"/>
        </w:rPr>
        <w:t>模型</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Kaiti SC">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34"/>
    <w:rsid w:val="00042C73"/>
    <w:rsid w:val="00080134"/>
    <w:rsid w:val="000948C8"/>
    <w:rsid w:val="000B455C"/>
    <w:rsid w:val="001215E5"/>
    <w:rsid w:val="00122F22"/>
    <w:rsid w:val="001721A0"/>
    <w:rsid w:val="002249C7"/>
    <w:rsid w:val="002C6B9F"/>
    <w:rsid w:val="003069DB"/>
    <w:rsid w:val="00773034"/>
    <w:rsid w:val="007828F2"/>
    <w:rsid w:val="007F14F0"/>
    <w:rsid w:val="00812440"/>
    <w:rsid w:val="008C6F61"/>
    <w:rsid w:val="0091283B"/>
    <w:rsid w:val="00934DC3"/>
    <w:rsid w:val="0097628F"/>
    <w:rsid w:val="009E403D"/>
    <w:rsid w:val="00B017A0"/>
    <w:rsid w:val="00B71AD7"/>
    <w:rsid w:val="00C5799A"/>
    <w:rsid w:val="00D74595"/>
    <w:rsid w:val="00E57F4A"/>
    <w:rsid w:val="00EF4CFC"/>
    <w:rsid w:val="00FD0F85"/>
    <w:rsid w:val="0E600DEC"/>
    <w:rsid w:val="23C60070"/>
    <w:rsid w:val="4C6D23F2"/>
    <w:rsid w:val="521D391D"/>
    <w:rsid w:val="68212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line="578" w:lineRule="auto"/>
      <w:jc w:val="center"/>
      <w:outlineLvl w:val="0"/>
    </w:pPr>
    <w:rPr>
      <w:b/>
      <w:bCs/>
      <w:kern w:val="44"/>
      <w:sz w:val="32"/>
      <w:szCs w:val="44"/>
    </w:rPr>
  </w:style>
  <w:style w:type="paragraph" w:styleId="3">
    <w:name w:val="heading 2"/>
    <w:basedOn w:val="1"/>
    <w:next w:val="1"/>
    <w:link w:val="15"/>
    <w:unhideWhenUsed/>
    <w:qFormat/>
    <w:uiPriority w:val="9"/>
    <w:pPr>
      <w:keepNext/>
      <w:keepLines/>
      <w:spacing w:before="50" w:beforeLines="50" w:after="50" w:afterLines="50" w:line="415" w:lineRule="auto"/>
      <w:outlineLvl w:val="1"/>
    </w:pPr>
    <w:rPr>
      <w:rFonts w:cstheme="majorBidi"/>
      <w:b/>
      <w:bCs/>
      <w:szCs w:val="32"/>
    </w:rPr>
  </w:style>
  <w:style w:type="paragraph" w:styleId="4">
    <w:name w:val="heading 3"/>
    <w:basedOn w:val="1"/>
    <w:next w:val="1"/>
    <w:link w:val="14"/>
    <w:semiHidden/>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widowControl/>
      <w:spacing w:before="100" w:beforeAutospacing="1" w:after="100" w:afterAutospacing="1" w:line="240" w:lineRule="auto"/>
      <w:jc w:val="left"/>
    </w:pPr>
    <w:rPr>
      <w:rFonts w:ascii="宋体" w:hAnsi="宋体" w:cs="宋体"/>
      <w:kern w:val="0"/>
      <w:szCs w:val="24"/>
    </w:rPr>
  </w:style>
  <w:style w:type="character" w:styleId="10">
    <w:name w:val="Hyperlink"/>
    <w:qFormat/>
    <w:uiPriority w:val="99"/>
    <w:rPr>
      <w:color w:val="0000FF"/>
      <w:u w:val="single"/>
    </w:rPr>
  </w:style>
  <w:style w:type="character" w:customStyle="1" w:styleId="11">
    <w:name w:val="页眉 Char"/>
    <w:basedOn w:val="9"/>
    <w:link w:val="6"/>
    <w:qFormat/>
    <w:uiPriority w:val="99"/>
    <w:rPr>
      <w:sz w:val="18"/>
      <w:szCs w:val="18"/>
    </w:rPr>
  </w:style>
  <w:style w:type="character" w:customStyle="1" w:styleId="12">
    <w:name w:val="页脚 Char"/>
    <w:basedOn w:val="9"/>
    <w:link w:val="5"/>
    <w:qFormat/>
    <w:uiPriority w:val="99"/>
    <w:rPr>
      <w:sz w:val="18"/>
      <w:szCs w:val="18"/>
    </w:rPr>
  </w:style>
  <w:style w:type="character" w:customStyle="1" w:styleId="13">
    <w:name w:val="标题 1 Char"/>
    <w:basedOn w:val="9"/>
    <w:link w:val="2"/>
    <w:qFormat/>
    <w:uiPriority w:val="9"/>
    <w:rPr>
      <w:rFonts w:ascii="Times New Roman" w:hAnsi="Times New Roman" w:eastAsia="宋体"/>
      <w:b/>
      <w:bCs/>
      <w:kern w:val="44"/>
      <w:sz w:val="32"/>
      <w:szCs w:val="44"/>
    </w:rPr>
  </w:style>
  <w:style w:type="character" w:customStyle="1" w:styleId="14">
    <w:name w:val="标题 3 Char"/>
    <w:basedOn w:val="9"/>
    <w:link w:val="4"/>
    <w:semiHidden/>
    <w:qFormat/>
    <w:uiPriority w:val="9"/>
    <w:rPr>
      <w:rFonts w:ascii="Times New Roman" w:hAnsi="Times New Roman" w:eastAsia="宋体"/>
      <w:b/>
      <w:bCs/>
      <w:sz w:val="32"/>
      <w:szCs w:val="32"/>
    </w:rPr>
  </w:style>
  <w:style w:type="character" w:customStyle="1" w:styleId="15">
    <w:name w:val="标题 2 Char"/>
    <w:basedOn w:val="9"/>
    <w:link w:val="3"/>
    <w:uiPriority w:val="9"/>
    <w:rPr>
      <w:rFonts w:ascii="Times New Roman" w:hAnsi="Times New Roman" w:eastAsia="宋体" w:cstheme="majorBidi"/>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847B70-07D7-467D-904C-9E461BFF5D93}">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682</Words>
  <Characters>3888</Characters>
  <Lines>32</Lines>
  <Paragraphs>9</Paragraphs>
  <TotalTime>140</TotalTime>
  <ScaleCrop>false</ScaleCrop>
  <LinksUpToDate>false</LinksUpToDate>
  <CharactersWithSpaces>4561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2021-12-22T06:07:00Z</dcterms:created>
  <dc:creator>peppa</dc:creator>
  <cp:lastModifiedBy>李白不用立白、</cp:lastModifiedBy>
  <dcterms:modified xsi:type="dcterms:W3CDTF">2022-01-04T08:10:38Z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2BF8E23D800F4C73866CE229588FEF76</vt:lpwstr>
  </property>
</Properties>
</file>