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Hlk91943804"/>
      <w:bookmarkEnd w:id="0"/>
    </w:p>
    <w:p>
      <w:pPr>
        <w:pStyle w:val="2"/>
      </w:pPr>
      <w:r>
        <w:rPr>
          <w:rFonts w:hint="eastAsia"/>
        </w:rPr>
        <w:t>智能交通背景下出租车载客收益预测</w:t>
      </w:r>
    </w:p>
    <w:p/>
    <w:p/>
    <w:p>
      <w:r>
        <w:rPr>
          <w:rFonts w:hint="eastAsia"/>
          <w:b/>
        </w:rPr>
        <w:t>作者</w:t>
      </w:r>
      <w:r>
        <w:rPr>
          <w:rFonts w:hint="eastAsia"/>
        </w:rPr>
        <w:t>：程梁华，万德胜，周恩亦，黄旺辉，王彬，冯永</w:t>
      </w:r>
      <w:r>
        <w:t xml:space="preserve"> </w:t>
      </w:r>
    </w:p>
    <w:p>
      <w:r>
        <w:rPr>
          <w:rFonts w:hint="eastAsia"/>
          <w:b/>
        </w:rPr>
        <w:t>单位</w:t>
      </w:r>
      <w:r>
        <w:rPr>
          <w:rFonts w:hint="eastAsia"/>
        </w:rPr>
        <w:t>：重庆大学，计算机学院</w:t>
      </w:r>
    </w:p>
    <w:p>
      <w:r>
        <w:rPr>
          <w:rFonts w:hint="eastAsia"/>
          <w:b/>
        </w:rPr>
        <w:t>案例版权</w:t>
      </w:r>
      <w:r>
        <w:rPr>
          <w:rFonts w:hint="eastAsia"/>
        </w:rPr>
        <w:t>：该案例归重庆大学计算机学院所有</w:t>
      </w:r>
    </w:p>
    <w:p>
      <w:r>
        <w:rPr>
          <w:rFonts w:hint="eastAsia"/>
          <w:b/>
        </w:rPr>
        <w:t>涉及的知识点</w:t>
      </w:r>
      <w:r>
        <w:rPr>
          <w:rFonts w:hint="eastAsia"/>
        </w:rPr>
        <w:t>：</w:t>
      </w:r>
      <w:bookmarkStart w:id="1" w:name="_Hlk92032478"/>
      <w:r>
        <w:rPr>
          <w:rFonts w:hint="eastAsia"/>
        </w:rPr>
        <w:t>数据预处理、时序数据预测、注意力机制、时间注意力、空间注意力、长短期记忆网络、Seq</w:t>
      </w:r>
      <w:r>
        <w:t>2</w:t>
      </w:r>
      <w:r>
        <w:rPr>
          <w:rFonts w:hint="eastAsia"/>
        </w:rPr>
        <w:t>Seq模型</w:t>
      </w:r>
      <w:bookmarkEnd w:id="1"/>
    </w:p>
    <w:p>
      <w:r>
        <w:rPr>
          <w:rFonts w:hint="eastAsia"/>
          <w:b/>
        </w:rPr>
        <w:t>案例来源及案例真实性情况</w:t>
      </w:r>
      <w:r>
        <w:rPr>
          <w:rFonts w:hint="eastAsia"/>
        </w:rPr>
        <w:t>：该案例来源于重庆大学计算机学院专业硕士（电子信息）课程《大数据架构与技术》中的学生精选汇编课程设计。</w:t>
      </w:r>
    </w:p>
    <w:p/>
    <w:p/>
    <w:p>
      <w:r>
        <w:rPr>
          <w:rFonts w:hint="eastAsia"/>
          <w:b/>
        </w:rPr>
        <w:t>摘要</w:t>
      </w:r>
      <w:r>
        <w:rPr>
          <w:rFonts w:hint="eastAsia"/>
        </w:rPr>
        <w:t xml:space="preserve"> 随着信息技术、物联网及汽车工业等不断发展，智能化逐渐成为交通运输的一个重要发展趋势，越来越多的基于智联网汽车的应用场景被提出。出租车（网约车等）作为智联网汽车中的重要部分，具有覆盖面积广、易管理的特点。因此，基于出租车运行中收集到的各种数据，利用算法进行载客收益预测，不仅优化该类车辆执行感知任务的效率，亦可以合理调度出租车分布，从而提升司机收益，提升交通效率等。本案例基于重庆市出租车一个月的轨迹数据，使用深度学习算法预测城市未来一段时间内的载客收益信息。本案例的核心内容有：（1）对重庆市出租车轨迹数据集进行预处理，以适应载客收益预测任务的需要；（2）使用一种基于双注意力机制的循环神经网络进行载客收益的预测，并与长短期记忆网络、Seq</w:t>
      </w:r>
      <w:r>
        <w:t>2</w:t>
      </w:r>
      <w:r>
        <w:rPr>
          <w:rFonts w:hint="eastAsia"/>
        </w:rPr>
        <w:t>Seq模型、以及时间注意力网络方法进行对比分析。</w:t>
      </w:r>
    </w:p>
    <w:p/>
    <w:p>
      <w:r>
        <w:rPr>
          <w:rFonts w:hint="eastAsia"/>
          <w:b/>
        </w:rPr>
        <w:t>关键词</w:t>
      </w:r>
      <w:r>
        <w:rPr>
          <w:rFonts w:hint="eastAsia"/>
        </w:rPr>
        <w:t>：智能交通，载客收益预测，数据挖掘，深度学习</w:t>
      </w:r>
    </w:p>
    <w:p/>
    <w:p/>
    <w:p/>
    <w:p>
      <w:pPr>
        <w:sectPr>
          <w:pgSz w:w="11906" w:h="16838"/>
          <w:pgMar w:top="1440" w:right="1800" w:bottom="1440" w:left="1800" w:header="851" w:footer="992" w:gutter="0"/>
          <w:cols w:space="425" w:num="1"/>
          <w:docGrid w:type="lines" w:linePitch="312" w:charSpace="0"/>
        </w:sectPr>
      </w:pPr>
    </w:p>
    <w:p>
      <w:pPr>
        <w:pStyle w:val="3"/>
        <w:spacing w:before="156" w:after="156"/>
      </w:pPr>
      <w:r>
        <w:rPr>
          <w:rFonts w:hint="eastAsia"/>
        </w:rPr>
        <w:t>1</w:t>
      </w:r>
      <w:r>
        <w:t xml:space="preserve"> </w:t>
      </w:r>
      <w:r>
        <w:rPr>
          <w:rFonts w:hint="eastAsia"/>
        </w:rPr>
        <w:t>引言</w:t>
      </w:r>
    </w:p>
    <w:p>
      <w:r>
        <w:tab/>
      </w:r>
      <w:r>
        <w:rPr>
          <w:rFonts w:hint="eastAsia"/>
        </w:rPr>
        <w:t>该教学案例来源于重庆大学计算机学院专业硕士（电子信息）课程《大数据架构与技术》中的学生精选汇编课程设计。该案例的关键问题为智能交通中的智能化交通调度，以出租车的载客收益预测作为具体问题，需引导学生进行的主要内容有：（1）对原始出租车轨迹数据集进行数据预处理，以适应载客收益预测任务的需要；（2）选取适当的深度学习方法，进行出租车载客收益预测任务，本案例以基于双注意力机制的循环神经网络、长短期记忆网络、Seq</w:t>
      </w:r>
      <w:r>
        <w:t>2</w:t>
      </w:r>
      <w:r>
        <w:rPr>
          <w:rFonts w:hint="eastAsia"/>
        </w:rPr>
        <w:t>Seq模型、以及时间注意力网络作为引导案例。</w:t>
      </w:r>
    </w:p>
    <w:p/>
    <w:p>
      <w:pPr>
        <w:pStyle w:val="3"/>
        <w:spacing w:before="156" w:after="156"/>
      </w:pPr>
      <w:r>
        <w:rPr>
          <w:rFonts w:hint="eastAsia"/>
        </w:rPr>
        <w:t>2</w:t>
      </w:r>
      <w:r>
        <w:t xml:space="preserve"> </w:t>
      </w:r>
      <w:r>
        <w:rPr>
          <w:rFonts w:hint="eastAsia"/>
        </w:rPr>
        <w:t>背景介绍</w:t>
      </w:r>
    </w:p>
    <w:p>
      <w:pPr>
        <w:ind w:firstLine="480" w:firstLineChars="200"/>
      </w:pPr>
      <w:bookmarkStart w:id="2" w:name="_Hlk92033271"/>
      <w:r>
        <w:rPr>
          <w:rFonts w:hint="eastAsia"/>
        </w:rPr>
        <w:t>随着智能汽车、辅助/无人驾驶汽车、电动汽车的飞速发展和爆炸式普及，当前汽车集成越来越多的传感器，拥有越来越强大的感知、计算和通信能力。近年来，涌现很多基于智联网汽车感知的实际应用。</w:t>
      </w:r>
      <w:bookmarkEnd w:id="2"/>
      <w:r>
        <w:rPr>
          <w:rFonts w:hint="eastAsia"/>
        </w:rPr>
        <w:t>作为智联网汽车中重要一类，出租车、网约车等被大规模被广泛使用，为智联网汽车感知带来两个独特优势：（1）覆盖面积广；（2）大量的空闲时间。因此，智联网汽车司机拥有充足的空闲时间执行感知任务，汽车根据任务分配完成感知任务，并得到平台给予的感知报酬，所以如何基于历史数据来预测得到未来的载客收益是关键，也就是说，利用算法实现载客收益预测，然后基于这个预测结果，实现感知任务的实时最优分配。</w:t>
      </w:r>
    </w:p>
    <w:p>
      <w:r>
        <w:drawing>
          <wp:anchor distT="0" distB="0" distL="114300" distR="114300" simplePos="0" relativeHeight="251660288" behindDoc="0" locked="0" layoutInCell="1" allowOverlap="1">
            <wp:simplePos x="0" y="0"/>
            <wp:positionH relativeFrom="column">
              <wp:posOffset>2766695</wp:posOffset>
            </wp:positionH>
            <wp:positionV relativeFrom="paragraph">
              <wp:posOffset>37465</wp:posOffset>
            </wp:positionV>
            <wp:extent cx="2395220" cy="2412365"/>
            <wp:effectExtent l="0" t="0" r="5715" b="7620"/>
            <wp:wrapNone/>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6"/>
                    <a:stretch>
                      <a:fillRect/>
                    </a:stretch>
                  </pic:blipFill>
                  <pic:spPr>
                    <a:xfrm>
                      <a:off x="0" y="0"/>
                      <a:ext cx="2401393" cy="2418535"/>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margin">
              <wp:posOffset>165735</wp:posOffset>
            </wp:positionH>
            <wp:positionV relativeFrom="paragraph">
              <wp:posOffset>27940</wp:posOffset>
            </wp:positionV>
            <wp:extent cx="2391410" cy="2399030"/>
            <wp:effectExtent l="0" t="0" r="8890" b="1905"/>
            <wp:wrapNone/>
            <wp:docPr id="1" name="内容占位符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 name="内容占位符 2"/>
                    <pic:cNvPicPr>
                      <a:picLocks noGrp="1" noChangeAspect="1"/>
                    </pic:cNvPicPr>
                  </pic:nvPicPr>
                  <pic:blipFill>
                    <a:blip r:embed="rId7"/>
                    <a:stretch>
                      <a:fillRect/>
                    </a:stretch>
                  </pic:blipFill>
                  <pic:spPr>
                    <a:xfrm>
                      <a:off x="0" y="0"/>
                      <a:ext cx="2391602" cy="2398816"/>
                    </a:xfrm>
                    <a:prstGeom prst="rect">
                      <a:avLst/>
                    </a:prstGeom>
                    <a:noFill/>
                    <a:ln w="9525">
                      <a:noFill/>
                      <a:miter lim="800000"/>
                      <a:headEnd/>
                      <a:tailEnd/>
                    </a:ln>
                  </pic:spPr>
                </pic:pic>
              </a:graphicData>
            </a:graphic>
          </wp:anchor>
        </w:drawing>
      </w:r>
    </w:p>
    <w:p/>
    <w:p/>
    <w:p/>
    <w:p/>
    <w:p/>
    <w:p/>
    <w:p/>
    <w:p/>
    <w:p/>
    <w:p>
      <w:pPr>
        <w:ind w:firstLine="480" w:firstLineChars="200"/>
      </w:pPr>
    </w:p>
    <w:p>
      <w:pPr>
        <w:ind w:firstLine="480" w:firstLineChars="200"/>
      </w:pPr>
      <w:r>
        <w:rPr>
          <w:rFonts w:hint="eastAsia"/>
        </w:rPr>
        <w:t>除优化感知任务分配外，基于出租车、网约车等车辆运行中收集到的各种数据，利用算法进行载客收益预测，亦可以提升司机收益，优化交通调度，提升交通效率。</w:t>
      </w:r>
    </w:p>
    <w:p/>
    <w:p>
      <w:pPr>
        <w:pStyle w:val="3"/>
        <w:spacing w:before="156" w:after="156"/>
      </w:pPr>
      <w:r>
        <w:rPr>
          <w:rFonts w:hint="eastAsia"/>
        </w:rPr>
        <w:t>3</w:t>
      </w:r>
      <w:r>
        <w:t xml:space="preserve"> </w:t>
      </w:r>
      <w:r>
        <w:rPr>
          <w:rFonts w:hint="eastAsia"/>
        </w:rPr>
        <w:t>内容</w:t>
      </w:r>
    </w:p>
    <w:p>
      <w:pPr>
        <w:rPr>
          <w:b/>
        </w:rPr>
      </w:pPr>
      <w:r>
        <w:rPr>
          <w:rFonts w:hint="eastAsia"/>
          <w:b/>
        </w:rPr>
        <w:t>3</w:t>
      </w:r>
      <w:r>
        <w:rPr>
          <w:b/>
        </w:rPr>
        <w:t xml:space="preserve">.1 </w:t>
      </w:r>
      <w:r>
        <w:rPr>
          <w:rFonts w:hint="eastAsia"/>
          <w:b/>
        </w:rPr>
        <w:t>数据集及其预处理</w:t>
      </w:r>
    </w:p>
    <w:p>
      <w:pPr>
        <w:ind w:firstLine="480" w:firstLineChars="200"/>
      </w:pPr>
      <w:r>
        <w:rPr>
          <w:rFonts w:hint="eastAsia"/>
        </w:rPr>
        <w:t>本案例所采用的数据集为重庆市出租车一个月（2017/03/01/-2017/03/31）的轨迹数据，包括12493辆出租车，覆盖了重庆市约 25472 km</w:t>
      </w:r>
      <w:r>
        <w:rPr>
          <w:rFonts w:hint="eastAsia"/>
          <w:vertAlign w:val="superscript"/>
        </w:rPr>
        <w:t>2</w:t>
      </w:r>
      <w:r>
        <w:rPr>
          <w:rFonts w:hint="eastAsia"/>
        </w:rPr>
        <w:t>的城市面积。经初步清洗过的数据如下图所示：</w:t>
      </w:r>
    </w:p>
    <w:p>
      <w:pPr>
        <w:ind w:firstLine="480" w:firstLineChars="200"/>
      </w:pPr>
      <w:r>
        <w:drawing>
          <wp:inline distT="0" distB="0" distL="114300" distR="114300">
            <wp:extent cx="4399915" cy="3668395"/>
            <wp:effectExtent l="0" t="0" r="63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4399915" cy="3668395"/>
                    </a:xfrm>
                    <a:prstGeom prst="rect">
                      <a:avLst/>
                    </a:prstGeom>
                    <a:noFill/>
                    <a:ln>
                      <a:noFill/>
                    </a:ln>
                  </pic:spPr>
                </pic:pic>
              </a:graphicData>
            </a:graphic>
          </wp:inline>
        </w:drawing>
      </w:r>
    </w:p>
    <w:p>
      <w:pPr>
        <w:ind w:firstLine="480" w:firstLineChars="200"/>
      </w:pPr>
    </w:p>
    <w:p>
      <w:pPr>
        <w:ind w:firstLine="480" w:firstLineChars="200"/>
      </w:pPr>
      <w:r>
        <w:rPr>
          <w:rFonts w:hint="eastAsia"/>
        </w:rPr>
        <w:t>在该数据集中，每条记录主要包含汽车ID、时间、GPS位置、速度以及载客/空载状态。数据采样频率为15秒，总存储大小约为 92GB，数据各字段及含义如下表所示：</w:t>
      </w:r>
    </w:p>
    <w:p>
      <w:pPr>
        <w:ind w:firstLine="480" w:firstLineChars="200"/>
      </w:pPr>
    </w:p>
    <w:tbl>
      <w:tblPr>
        <w:tblStyle w:val="18"/>
        <w:tblW w:w="8296" w:type="dxa"/>
        <w:tblInd w:w="0" w:type="dxa"/>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CellMar>
          <w:top w:w="0" w:type="dxa"/>
          <w:left w:w="108" w:type="dxa"/>
          <w:bottom w:w="0" w:type="dxa"/>
          <w:right w:w="108" w:type="dxa"/>
        </w:tblCellMar>
      </w:tblPr>
      <w:tblGrid>
        <w:gridCol w:w="4148"/>
        <w:gridCol w:w="4148"/>
      </w:tblGrid>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4148" w:type="dxa"/>
            <w:tcBorders>
              <w:bottom w:val="nil"/>
              <w:right w:val="nil"/>
            </w:tcBorders>
            <w:shd w:val="clear" w:color="auto" w:fill="E7E6E6" w:themeFill="background2"/>
          </w:tcPr>
          <w:p>
            <w:pPr>
              <w:pStyle w:val="17"/>
              <w:spacing w:line="360" w:lineRule="auto"/>
              <w:ind w:firstLine="482"/>
              <w:rPr>
                <w:rFonts w:ascii="Times New Roman" w:hAnsi="Times New Roman" w:eastAsia="宋体" w:cs="Times New Roman"/>
                <w:b/>
                <w:i w:val="0"/>
                <w:iCs w:val="0"/>
                <w:szCs w:val="21"/>
              </w:rPr>
            </w:pPr>
            <w:r>
              <w:rPr>
                <w:rFonts w:ascii="Times New Roman" w:hAnsi="Times New Roman" w:eastAsia="宋体" w:cs="Times New Roman"/>
                <w:b/>
                <w:i w:val="0"/>
                <w:iCs w:val="0"/>
                <w:szCs w:val="21"/>
              </w:rPr>
              <w:t>字段</w:t>
            </w:r>
          </w:p>
        </w:tc>
        <w:tc>
          <w:tcPr>
            <w:tcW w:w="4148" w:type="dxa"/>
            <w:tcBorders>
              <w:bottom w:val="nil"/>
            </w:tcBorders>
            <w:shd w:val="clear" w:color="auto" w:fill="E7E6E6" w:themeFill="background2"/>
          </w:tcPr>
          <w:p>
            <w:pPr>
              <w:pStyle w:val="17"/>
              <w:spacing w:line="360" w:lineRule="auto"/>
              <w:ind w:firstLine="482"/>
              <w:rPr>
                <w:rFonts w:ascii="Times New Roman" w:hAnsi="Times New Roman" w:eastAsia="宋体" w:cs="Times New Roman"/>
                <w:b/>
                <w:i w:val="0"/>
                <w:iCs w:val="0"/>
                <w:szCs w:val="21"/>
              </w:rPr>
            </w:pPr>
            <w:r>
              <w:rPr>
                <w:rFonts w:ascii="Times New Roman" w:hAnsi="Times New Roman" w:eastAsia="宋体" w:cs="Times New Roman"/>
                <w:b/>
                <w:i w:val="0"/>
                <w:iCs w:val="0"/>
                <w:szCs w:val="21"/>
              </w:rPr>
              <w:t>含义</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4148" w:type="dxa"/>
            <w:tcBorders>
              <w:right w:val="nil"/>
            </w:tcBorders>
            <w:shd w:val="clear" w:color="auto" w:fill="FFFFFF" w:themeFill="background1"/>
          </w:tcPr>
          <w:p>
            <w:pPr>
              <w:pStyle w:val="17"/>
              <w:spacing w:line="360" w:lineRule="auto"/>
              <w:ind w:firstLine="480"/>
              <w:rPr>
                <w:rFonts w:ascii="Times New Roman" w:hAnsi="Times New Roman" w:eastAsia="宋体" w:cs="Times New Roman"/>
                <w:bCs/>
                <w:i/>
                <w:iCs/>
                <w:szCs w:val="21"/>
              </w:rPr>
            </w:pPr>
            <w:r>
              <w:rPr>
                <w:rFonts w:hint="eastAsia" w:ascii="Times New Roman" w:hAnsi="Times New Roman" w:eastAsia="宋体" w:cs="Times New Roman"/>
                <w:bCs/>
                <w:i/>
                <w:iCs/>
                <w:szCs w:val="21"/>
              </w:rPr>
              <w:t>TaxiID</w:t>
            </w:r>
          </w:p>
        </w:tc>
        <w:tc>
          <w:tcPr>
            <w:tcW w:w="4148" w:type="dxa"/>
            <w:shd w:val="clear" w:color="auto" w:fill="auto"/>
          </w:tcPr>
          <w:p>
            <w:pPr>
              <w:pStyle w:val="17"/>
              <w:spacing w:line="360" w:lineRule="auto"/>
              <w:ind w:firstLine="480"/>
              <w:rPr>
                <w:rFonts w:ascii="Times New Roman" w:hAnsi="Times New Roman" w:eastAsia="宋体" w:cs="Times New Roman"/>
                <w:bCs/>
                <w:szCs w:val="21"/>
              </w:rPr>
            </w:pPr>
            <w:r>
              <w:rPr>
                <w:rFonts w:hint="eastAsia" w:ascii="Times New Roman" w:hAnsi="Times New Roman" w:eastAsia="宋体" w:cs="Times New Roman"/>
                <w:bCs/>
                <w:szCs w:val="21"/>
              </w:rPr>
              <w:t>汽车ID</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4148" w:type="dxa"/>
            <w:tcBorders>
              <w:right w:val="nil"/>
            </w:tcBorders>
            <w:shd w:val="clear" w:color="auto" w:fill="FFFFFF" w:themeFill="background1"/>
          </w:tcPr>
          <w:p>
            <w:pPr>
              <w:pStyle w:val="17"/>
              <w:spacing w:line="360" w:lineRule="auto"/>
              <w:ind w:firstLine="480"/>
              <w:rPr>
                <w:rFonts w:ascii="Times New Roman" w:hAnsi="Times New Roman" w:eastAsia="宋体" w:cs="Times New Roman"/>
                <w:bCs/>
                <w:i/>
                <w:iCs/>
                <w:szCs w:val="21"/>
              </w:rPr>
            </w:pPr>
            <w:r>
              <w:rPr>
                <w:rFonts w:hint="eastAsia" w:ascii="Times New Roman" w:hAnsi="Times New Roman" w:eastAsia="宋体" w:cs="Times New Roman"/>
                <w:bCs/>
                <w:i/>
                <w:iCs/>
                <w:szCs w:val="21"/>
              </w:rPr>
              <w:t>TimeStamp</w:t>
            </w:r>
          </w:p>
        </w:tc>
        <w:tc>
          <w:tcPr>
            <w:tcW w:w="4148" w:type="dxa"/>
            <w:shd w:val="clear" w:color="auto" w:fill="auto"/>
          </w:tcPr>
          <w:p>
            <w:pPr>
              <w:pStyle w:val="17"/>
              <w:spacing w:line="360" w:lineRule="auto"/>
              <w:ind w:firstLine="480"/>
              <w:rPr>
                <w:rFonts w:ascii="Times New Roman" w:hAnsi="Times New Roman" w:eastAsia="宋体" w:cs="Times New Roman"/>
                <w:bCs/>
                <w:szCs w:val="21"/>
              </w:rPr>
            </w:pPr>
            <w:r>
              <w:rPr>
                <w:rFonts w:hint="eastAsia" w:ascii="Times New Roman" w:hAnsi="Times New Roman" w:eastAsia="宋体" w:cs="Times New Roman"/>
                <w:bCs/>
                <w:szCs w:val="21"/>
              </w:rPr>
              <w:t>记录时间</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4148" w:type="dxa"/>
            <w:tcBorders>
              <w:right w:val="nil"/>
            </w:tcBorders>
            <w:shd w:val="clear" w:color="auto" w:fill="FFFFFF" w:themeFill="background1"/>
          </w:tcPr>
          <w:p>
            <w:pPr>
              <w:pStyle w:val="17"/>
              <w:spacing w:line="360" w:lineRule="auto"/>
              <w:ind w:firstLine="480"/>
              <w:rPr>
                <w:rFonts w:ascii="Times New Roman" w:hAnsi="Times New Roman" w:eastAsia="宋体" w:cs="Times New Roman"/>
                <w:bCs/>
                <w:i/>
                <w:iCs/>
                <w:szCs w:val="21"/>
              </w:rPr>
            </w:pPr>
            <w:r>
              <w:rPr>
                <w:rFonts w:hint="eastAsia" w:ascii="Times New Roman" w:hAnsi="Times New Roman" w:eastAsia="宋体" w:cs="Times New Roman"/>
                <w:bCs/>
                <w:i/>
                <w:iCs/>
                <w:szCs w:val="21"/>
              </w:rPr>
              <w:t>Lat</w:t>
            </w:r>
          </w:p>
        </w:tc>
        <w:tc>
          <w:tcPr>
            <w:tcW w:w="4148" w:type="dxa"/>
            <w:shd w:val="clear" w:color="auto" w:fill="auto"/>
          </w:tcPr>
          <w:p>
            <w:pPr>
              <w:pStyle w:val="17"/>
              <w:spacing w:line="360" w:lineRule="auto"/>
              <w:ind w:firstLine="480"/>
              <w:rPr>
                <w:rFonts w:ascii="Times New Roman" w:hAnsi="Times New Roman" w:eastAsia="宋体" w:cs="Times New Roman"/>
                <w:bCs/>
                <w:szCs w:val="21"/>
              </w:rPr>
            </w:pPr>
            <w:r>
              <w:rPr>
                <w:rFonts w:hint="eastAsia" w:ascii="Times New Roman" w:hAnsi="Times New Roman" w:eastAsia="宋体" w:cs="Times New Roman"/>
                <w:bCs/>
                <w:szCs w:val="21"/>
              </w:rPr>
              <w:t>纬度</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4148" w:type="dxa"/>
            <w:tcBorders>
              <w:right w:val="nil"/>
            </w:tcBorders>
            <w:shd w:val="clear" w:color="auto" w:fill="FFFFFF" w:themeFill="background1"/>
          </w:tcPr>
          <w:p>
            <w:pPr>
              <w:pStyle w:val="17"/>
              <w:spacing w:line="360" w:lineRule="auto"/>
              <w:ind w:firstLine="480"/>
              <w:rPr>
                <w:rFonts w:ascii="Times New Roman" w:hAnsi="Times New Roman" w:eastAsia="宋体" w:cs="Times New Roman"/>
                <w:bCs/>
                <w:i/>
                <w:iCs/>
                <w:szCs w:val="21"/>
              </w:rPr>
            </w:pPr>
            <w:r>
              <w:rPr>
                <w:rFonts w:hint="eastAsia" w:ascii="Times New Roman" w:hAnsi="Times New Roman" w:eastAsia="宋体" w:cs="Times New Roman"/>
                <w:bCs/>
                <w:i/>
                <w:iCs/>
                <w:szCs w:val="21"/>
              </w:rPr>
              <w:t>Lon</w:t>
            </w:r>
          </w:p>
        </w:tc>
        <w:tc>
          <w:tcPr>
            <w:tcW w:w="4148" w:type="dxa"/>
            <w:shd w:val="clear" w:color="auto" w:fill="auto"/>
          </w:tcPr>
          <w:p>
            <w:pPr>
              <w:pStyle w:val="17"/>
              <w:spacing w:line="360" w:lineRule="auto"/>
              <w:ind w:firstLine="480"/>
              <w:rPr>
                <w:rFonts w:ascii="Times New Roman" w:hAnsi="Times New Roman" w:eastAsia="宋体" w:cs="Times New Roman"/>
                <w:bCs/>
                <w:szCs w:val="21"/>
              </w:rPr>
            </w:pPr>
            <w:r>
              <w:rPr>
                <w:rFonts w:hint="eastAsia" w:ascii="Times New Roman" w:hAnsi="Times New Roman" w:eastAsia="宋体" w:cs="Times New Roman"/>
                <w:bCs/>
                <w:szCs w:val="21"/>
              </w:rPr>
              <w:t>经度</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4148" w:type="dxa"/>
            <w:tcBorders>
              <w:right w:val="nil"/>
            </w:tcBorders>
            <w:shd w:val="clear" w:color="auto" w:fill="FFFFFF" w:themeFill="background1"/>
          </w:tcPr>
          <w:p>
            <w:pPr>
              <w:pStyle w:val="17"/>
              <w:spacing w:line="360" w:lineRule="auto"/>
              <w:ind w:firstLine="480"/>
              <w:rPr>
                <w:rFonts w:ascii="Times New Roman" w:hAnsi="Times New Roman" w:eastAsia="宋体" w:cs="Times New Roman"/>
                <w:bCs/>
                <w:i/>
                <w:iCs/>
                <w:szCs w:val="21"/>
              </w:rPr>
            </w:pPr>
            <w:r>
              <w:rPr>
                <w:rFonts w:hint="eastAsia" w:ascii="Times New Roman" w:hAnsi="Times New Roman" w:eastAsia="宋体" w:cs="Times New Roman"/>
                <w:bCs/>
                <w:i/>
                <w:iCs/>
                <w:szCs w:val="21"/>
              </w:rPr>
              <w:t>Speed</w:t>
            </w:r>
          </w:p>
        </w:tc>
        <w:tc>
          <w:tcPr>
            <w:tcW w:w="4148" w:type="dxa"/>
            <w:shd w:val="clear" w:color="auto" w:fill="auto"/>
          </w:tcPr>
          <w:p>
            <w:pPr>
              <w:pStyle w:val="17"/>
              <w:spacing w:line="360" w:lineRule="auto"/>
              <w:ind w:firstLine="480"/>
              <w:rPr>
                <w:rFonts w:ascii="Times New Roman" w:hAnsi="Times New Roman" w:eastAsia="宋体" w:cs="Times New Roman"/>
                <w:bCs/>
                <w:szCs w:val="21"/>
              </w:rPr>
            </w:pPr>
            <w:r>
              <w:rPr>
                <w:rFonts w:hint="eastAsia" w:ascii="Times New Roman" w:hAnsi="Times New Roman" w:eastAsia="宋体" w:cs="Times New Roman"/>
                <w:bCs/>
                <w:szCs w:val="21"/>
              </w:rPr>
              <w:t>速度</w:t>
            </w:r>
          </w:p>
        </w:tc>
      </w:tr>
      <w:tr>
        <w:tblPrEx>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CellMar>
            <w:top w:w="0" w:type="dxa"/>
            <w:left w:w="108" w:type="dxa"/>
            <w:bottom w:w="0" w:type="dxa"/>
            <w:right w:w="108" w:type="dxa"/>
          </w:tblCellMar>
        </w:tblPrEx>
        <w:tc>
          <w:tcPr>
            <w:tcW w:w="4148" w:type="dxa"/>
            <w:tcBorders>
              <w:right w:val="nil"/>
            </w:tcBorders>
            <w:shd w:val="clear" w:color="auto" w:fill="FFFFFF" w:themeFill="background1"/>
          </w:tcPr>
          <w:p>
            <w:pPr>
              <w:pStyle w:val="17"/>
              <w:spacing w:line="360" w:lineRule="auto"/>
              <w:ind w:firstLine="480"/>
              <w:rPr>
                <w:rFonts w:ascii="Times New Roman" w:hAnsi="Times New Roman" w:eastAsia="宋体" w:cs="Times New Roman"/>
                <w:bCs/>
                <w:i/>
                <w:iCs/>
                <w:szCs w:val="21"/>
              </w:rPr>
            </w:pPr>
            <w:r>
              <w:rPr>
                <w:rFonts w:hint="eastAsia" w:ascii="Times New Roman" w:hAnsi="Times New Roman" w:eastAsia="宋体" w:cs="Times New Roman"/>
                <w:bCs/>
                <w:i/>
                <w:iCs/>
                <w:szCs w:val="21"/>
              </w:rPr>
              <w:t>Customer</w:t>
            </w:r>
          </w:p>
        </w:tc>
        <w:tc>
          <w:tcPr>
            <w:tcW w:w="4148" w:type="dxa"/>
            <w:shd w:val="clear" w:color="auto" w:fill="auto"/>
          </w:tcPr>
          <w:p>
            <w:pPr>
              <w:pStyle w:val="17"/>
              <w:spacing w:line="360" w:lineRule="auto"/>
              <w:ind w:firstLine="480"/>
              <w:rPr>
                <w:rFonts w:ascii="Times New Roman" w:hAnsi="Times New Roman" w:eastAsia="宋体" w:cs="Times New Roman"/>
                <w:bCs/>
                <w:szCs w:val="21"/>
              </w:rPr>
            </w:pPr>
            <w:r>
              <w:rPr>
                <w:rFonts w:hint="eastAsia" w:ascii="Times New Roman" w:hAnsi="Times New Roman" w:eastAsia="宋体" w:cs="Times New Roman"/>
                <w:bCs/>
                <w:szCs w:val="21"/>
              </w:rPr>
              <w:t>是否载客</w:t>
            </w:r>
          </w:p>
        </w:tc>
      </w:tr>
    </w:tbl>
    <w:p>
      <w:pPr>
        <w:ind w:firstLine="480" w:firstLineChars="200"/>
      </w:pPr>
      <w:r>
        <w:rPr>
          <w:rFonts w:hint="eastAsia"/>
        </w:rPr>
        <w:t>本案例旨在基于实际大规模智联网汽车数据集，利用深度学习算法预测城市各个区域未来多个时间段的载客收益热力图，因此需要计算历史载客收益热力图。</w:t>
      </w:r>
    </w:p>
    <w:p>
      <w:pPr>
        <w:ind w:firstLine="480" w:firstLineChars="200"/>
      </w:pPr>
      <w:r>
        <w:rPr>
          <w:rFonts w:hint="eastAsia"/>
        </w:rPr>
        <w:t>首先</w:t>
      </w:r>
      <w:r>
        <w:t>按照一定粒度，将城市均匀划分成</w:t>
      </w:r>
      <w:r>
        <w:rPr>
          <w:rFonts w:hint="eastAsia"/>
        </w:rPr>
        <w:t>Z</w:t>
      </w:r>
      <w:r>
        <w:t>个互不相交的子区域，用</w:t>
      </w:r>
      <w:r>
        <w:rPr>
          <w:rFonts w:hint="eastAsia"/>
        </w:rPr>
        <w:t>z</w:t>
      </w:r>
      <w:r>
        <w:rPr>
          <w:rFonts w:hint="eastAsia"/>
          <w:vertAlign w:val="subscript"/>
        </w:rPr>
        <w:t>i</w:t>
      </w:r>
      <w:r>
        <w:t>表示第</w:t>
      </w:r>
      <w:r>
        <w:rPr>
          <w:rFonts w:hint="eastAsia"/>
        </w:rPr>
        <w:t>i</w:t>
      </w:r>
      <w:r>
        <w:t>个子区域。与之类似，将整个时间区间划分成</w:t>
      </w:r>
      <w:r>
        <w:rPr>
          <w:rFonts w:hint="eastAsia"/>
        </w:rPr>
        <w:t>T</w:t>
      </w:r>
      <w:r>
        <w:t>个长度相同的时段，每个时段用</w:t>
      </w:r>
      <w:r>
        <w:rPr>
          <w:rFonts w:hint="eastAsia"/>
        </w:rPr>
        <w:t>t</w:t>
      </w:r>
      <w:r>
        <w:t>表示。</w:t>
      </w:r>
      <w:r>
        <w:rPr>
          <w:rFonts w:hint="eastAsia"/>
        </w:rPr>
        <w:t>某一时段某一区域的载客</w:t>
      </w:r>
      <w:r>
        <w:t>收益由司机所在区域接客概率和单程平均收益决定。用</w:t>
      </w:r>
      <w:r>
        <w:rPr>
          <w:position w:val="-10"/>
        </w:rPr>
        <w:object>
          <v:shape id="_x0000_i1025" o:spt="75" type="#_x0000_t75" style="height:18.15pt;width:13.15pt;" o:ole="t" filled="f" o:preferrelative="t" stroked="f" coordsize="21600,21600">
            <v:path/>
            <v:fill on="f" focussize="0,0"/>
            <v:stroke on="f" joinstyle="miter"/>
            <v:imagedata r:id="rId10" o:title=""/>
            <o:lock v:ext="edit" aspectratio="t"/>
            <w10:wrap type="none"/>
            <w10:anchorlock/>
          </v:shape>
          <o:OLEObject Type="Embed" ProgID="Equation.3" ShapeID="_x0000_i1025" DrawAspect="Content" ObjectID="_1468075725" r:id="rId9">
            <o:LockedField>false</o:LockedField>
          </o:OLEObject>
        </w:object>
      </w:r>
      <w:r>
        <w:t>和</w:t>
      </w:r>
      <w:r>
        <w:rPr>
          <w:position w:val="-10"/>
        </w:rPr>
        <w:object>
          <v:shape id="_x0000_i1026" o:spt="75" type="#_x0000_t75" style="height:18.15pt;width:11.25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6" r:id="rId11">
            <o:LockedField>false</o:LockedField>
          </o:OLEObject>
        </w:object>
      </w:r>
      <w:r>
        <w:t>分别表示第</w:t>
      </w:r>
      <w:r>
        <w:rPr>
          <w:rFonts w:hint="eastAsia"/>
        </w:rPr>
        <w:t>t</w:t>
      </w:r>
      <w:r>
        <w:t>时段在区域 z</w:t>
      </w:r>
      <w:r>
        <w:rPr>
          <w:vertAlign w:val="subscript"/>
        </w:rPr>
        <w:t>i</w:t>
      </w:r>
      <w:r>
        <w:t>的接客概率和单程平均收益。因此，智联网汽车的载客收益可表示为：</w:t>
      </w:r>
    </w:p>
    <w:p>
      <w:pPr>
        <w:jc w:val="center"/>
      </w:pPr>
      <w:r>
        <w:rPr>
          <w:position w:val="-12"/>
        </w:rPr>
        <w:object>
          <v:shape id="_x0000_i1027" o:spt="75" type="#_x0000_t75" style="height:19.4pt;width:175.3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7" r:id="rId13">
            <o:LockedField>false</o:LockedField>
          </o:OLEObject>
        </w:object>
      </w:r>
    </w:p>
    <w:p>
      <w:pPr>
        <w:ind w:firstLine="480" w:firstLineChars="200"/>
      </w:pPr>
      <w:r>
        <w:rPr>
          <w:rFonts w:hint="eastAsia"/>
        </w:rPr>
        <w:t>在得到每一个时段在每一个区域的载客收益后，即可得到历史载客收益热力图。</w:t>
      </w:r>
      <w:r>
        <w:t>由于在同一时段不同区域的载客收益具有差异性</w:t>
      </w:r>
      <w:r>
        <w:rPr>
          <w:rFonts w:hint="eastAsia"/>
        </w:rPr>
        <w:t>，我们</w:t>
      </w:r>
      <w:r>
        <w:t>用载客收益热力图</w:t>
      </w:r>
      <w:r>
        <w:rPr>
          <w:rFonts w:hint="eastAsia"/>
        </w:rPr>
        <w:t>H</w:t>
      </w:r>
      <w:r>
        <w:rPr>
          <w:rFonts w:hint="eastAsia"/>
          <w:vertAlign w:val="superscript"/>
        </w:rPr>
        <w:t>t</w:t>
      </w:r>
      <w:r>
        <w:t>表示第t时段所有区域的载客收益，即</w:t>
      </w:r>
    </w:p>
    <w:p>
      <w:pPr>
        <w:jc w:val="center"/>
      </w:pPr>
      <w:r>
        <w:drawing>
          <wp:inline distT="0" distB="0" distL="114300" distR="114300">
            <wp:extent cx="2047240" cy="170180"/>
            <wp:effectExtent l="0" t="0" r="635" b="127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15"/>
                    <a:stretch>
                      <a:fillRect/>
                    </a:stretch>
                  </pic:blipFill>
                  <pic:spPr>
                    <a:xfrm>
                      <a:off x="0" y="0"/>
                      <a:ext cx="2047240" cy="170180"/>
                    </a:xfrm>
                    <a:prstGeom prst="rect">
                      <a:avLst/>
                    </a:prstGeom>
                  </pic:spPr>
                </pic:pic>
              </a:graphicData>
            </a:graphic>
          </wp:inline>
        </w:drawing>
      </w:r>
      <w:r>
        <w:t>。</w:t>
      </w:r>
    </w:p>
    <w:p>
      <w:pPr>
        <w:ind w:firstLine="480" w:firstLineChars="200"/>
      </w:pPr>
      <w:r>
        <w:t xml:space="preserve">因此，智联网汽车在h个历史时段的载客收益可表示为 h 帧热力图，即 </w:t>
      </w:r>
      <w:r>
        <w:rPr>
          <w:position w:val="-10"/>
        </w:rPr>
        <w:object>
          <v:shape id="_x0000_i1028" o:spt="75" type="#_x0000_t75" style="height:18.15pt;width:56.95pt;" o:ole="t" filled="f" o:preferrelative="t" stroked="f" coordsize="21600,21600">
            <v:path/>
            <v:fill on="f" focussize="0,0"/>
            <v:stroke on="f" joinstyle="miter"/>
            <v:imagedata r:id="rId17" o:title=""/>
            <o:lock v:ext="edit" aspectratio="t"/>
            <w10:wrap type="none"/>
            <w10:anchorlock/>
          </v:shape>
          <o:OLEObject Type="Embed" ProgID="Equation.3" ShapeID="_x0000_i1028" DrawAspect="Content" ObjectID="_1468075728" r:id="rId16">
            <o:LockedField>false</o:LockedField>
          </o:OLEObject>
        </w:object>
      </w:r>
      <w:r>
        <w:t>。</w:t>
      </w:r>
    </w:p>
    <w:p>
      <w:pPr>
        <w:ind w:firstLine="480" w:firstLineChars="200"/>
      </w:pPr>
      <w:r>
        <w:rPr>
          <w:rFonts w:hint="eastAsia"/>
        </w:rPr>
        <w:t>在本案例中，数据集预处理的具体处理步骤如下：</w:t>
      </w:r>
    </w:p>
    <w:p>
      <w:pPr>
        <w:ind w:firstLine="480" w:firstLineChars="200"/>
      </w:pPr>
      <w:r>
        <w:rPr>
          <w:rFonts w:hint="eastAsia"/>
        </w:rPr>
        <w:t>（1）选择重庆市江北区作为实验区域，将它均匀划分成125个子区域(每个子区域大小约为2km</w:t>
      </w:r>
      <w:r>
        <w:rPr>
          <w:rFonts w:hint="eastAsia"/>
          <w:vertAlign w:val="superscript"/>
        </w:rPr>
        <w:t xml:space="preserve">2 </w:t>
      </w:r>
      <w:r>
        <w:rPr>
          <w:rFonts w:hint="eastAsia"/>
        </w:rPr>
        <w:t>)。以5min为粒度，将一个月划分为8928个时段。</w:t>
      </w:r>
    </w:p>
    <w:p>
      <w:pPr>
        <w:ind w:firstLine="480" w:firstLineChars="200"/>
      </w:pPr>
      <w:r>
        <w:rPr>
          <w:rFonts w:hint="eastAsia"/>
        </w:rPr>
        <w:t>（2）</w:t>
      </w:r>
      <w:r>
        <w:t>计算每一个子区域中每一个时段的总接客</w:t>
      </w:r>
      <w:r>
        <w:rPr>
          <w:rFonts w:hint="eastAsia"/>
        </w:rPr>
        <w:t>汽车</w:t>
      </w:r>
      <w:r>
        <w:t>数，</w:t>
      </w:r>
      <w:r>
        <w:rPr>
          <w:rFonts w:hint="eastAsia"/>
        </w:rPr>
        <w:t>将</w:t>
      </w:r>
      <w:r>
        <w:t>第t时段在区域 z</w:t>
      </w:r>
      <w:r>
        <w:rPr>
          <w:vertAlign w:val="subscript"/>
        </w:rPr>
        <w:t>i</w:t>
      </w:r>
      <w:r>
        <w:t>的总接客</w:t>
      </w:r>
      <w:r>
        <w:rPr>
          <w:rFonts w:hint="eastAsia"/>
        </w:rPr>
        <w:t>汽车</w:t>
      </w:r>
      <w:r>
        <w:t>数表示为</w:t>
      </w:r>
      <w:r>
        <w:rPr>
          <w:position w:val="-10"/>
        </w:rPr>
        <w:object>
          <v:shape id="_x0000_i1029" o:spt="75" type="#_x0000_t75" style="height:18.15pt;width:15.05pt;" o:ole="t" filled="f" o:preferrelative="t" stroked="f" coordsize="21600,21600">
            <v:path/>
            <v:fill on="f" focussize="0,0"/>
            <v:stroke on="f" joinstyle="miter"/>
            <v:imagedata r:id="rId19" o:title=""/>
            <o:lock v:ext="edit" aspectratio="t"/>
            <w10:wrap type="none"/>
            <w10:anchorlock/>
          </v:shape>
          <o:OLEObject Type="Embed" ProgID="Equation.3" ShapeID="_x0000_i1029" DrawAspect="Content" ObjectID="_1468075729" r:id="rId18">
            <o:LockedField>false</o:LockedField>
          </o:OLEObject>
        </w:object>
      </w:r>
      <w:r>
        <w:t>。Customer字段由0变为1表示出租车成功接客，t时段内在区域z</w:t>
      </w:r>
      <w:r>
        <w:rPr>
          <w:vertAlign w:val="subscript"/>
        </w:rPr>
        <w:t>i</w:t>
      </w:r>
      <w:r>
        <w:t>中，载客状态由空载变为载客的汽车总数即为所求</w:t>
      </w:r>
      <w:r>
        <w:rPr>
          <w:position w:val="-10"/>
        </w:rPr>
        <w:object>
          <v:shape id="_x0000_i1030" o:spt="75" type="#_x0000_t75" style="height:18.15pt;width:15.05pt;" o:ole="t" filled="f" o:preferrelative="t" stroked="f" coordsize="21600,21600">
            <v:path/>
            <v:fill on="f" focussize="0,0"/>
            <v:stroke on="f" joinstyle="miter"/>
            <v:imagedata r:id="rId19" o:title=""/>
            <o:lock v:ext="edit" aspectratio="t"/>
            <w10:wrap type="none"/>
            <w10:anchorlock/>
          </v:shape>
          <o:OLEObject Type="Embed" ProgID="Equation.3" ShapeID="_x0000_i1030" DrawAspect="Content" ObjectID="_1468075730" r:id="rId20">
            <o:LockedField>false</o:LockedField>
          </o:OLEObject>
        </w:object>
      </w:r>
      <w:r>
        <w:t>，部分结果</w:t>
      </w:r>
      <w:r>
        <w:rPr>
          <w:rFonts w:hint="eastAsia"/>
        </w:rPr>
        <w:t>如下图所示</w:t>
      </w:r>
      <w:r>
        <w:t>：</w:t>
      </w:r>
    </w:p>
    <w:p>
      <w:pPr>
        <w:ind w:firstLine="480" w:firstLineChars="200"/>
      </w:pPr>
    </w:p>
    <w:p>
      <w:pPr>
        <w:jc w:val="center"/>
      </w:pPr>
      <w:r>
        <w:drawing>
          <wp:inline distT="0" distB="0" distL="114300" distR="114300">
            <wp:extent cx="4622800" cy="2355215"/>
            <wp:effectExtent l="0" t="0" r="6350" b="6985"/>
            <wp:docPr id="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
                    <pic:cNvPicPr>
                      <a:picLocks noChangeAspect="1"/>
                    </pic:cNvPicPr>
                  </pic:nvPicPr>
                  <pic:blipFill>
                    <a:blip r:embed="rId21"/>
                    <a:srcRect t="16924" b="7381"/>
                    <a:stretch>
                      <a:fillRect/>
                    </a:stretch>
                  </pic:blipFill>
                  <pic:spPr>
                    <a:xfrm>
                      <a:off x="0" y="0"/>
                      <a:ext cx="4638122" cy="2363280"/>
                    </a:xfrm>
                    <a:prstGeom prst="rect">
                      <a:avLst/>
                    </a:prstGeom>
                    <a:ln>
                      <a:noFill/>
                    </a:ln>
                  </pic:spPr>
                </pic:pic>
              </a:graphicData>
            </a:graphic>
          </wp:inline>
        </w:drawing>
      </w:r>
    </w:p>
    <w:p>
      <w:pPr>
        <w:ind w:firstLine="480" w:firstLineChars="200"/>
      </w:pPr>
      <w:r>
        <w:rPr>
          <w:rFonts w:hint="eastAsia"/>
        </w:rPr>
        <w:t>（3）计算每一个子区域中每一个时段的总空闲汽车数，</w:t>
      </w:r>
      <w:r>
        <w:t>第</w:t>
      </w:r>
      <w:r>
        <w:rPr>
          <w:rFonts w:hint="eastAsia"/>
          <w:i/>
        </w:rPr>
        <w:t>t</w:t>
      </w:r>
      <w:r>
        <w:t xml:space="preserve">时段在区域 </w:t>
      </w:r>
      <w:r>
        <w:rPr>
          <w:i/>
        </w:rPr>
        <w:t>z</w:t>
      </w:r>
      <w:r>
        <w:rPr>
          <w:i/>
          <w:vertAlign w:val="subscript"/>
        </w:rPr>
        <w:t>i</w:t>
      </w:r>
      <w:r>
        <w:t>的</w:t>
      </w:r>
      <w:r>
        <w:rPr>
          <w:rFonts w:hint="eastAsia"/>
        </w:rPr>
        <w:t>总空闲汽车数表示为</w:t>
      </w:r>
      <w:r>
        <w:rPr>
          <w:rFonts w:hint="eastAsia"/>
          <w:position w:val="-10"/>
        </w:rPr>
        <w:object>
          <v:shape id="_x0000_i1031" o:spt="75" type="#_x0000_t75" style="height:18.15pt;width:15.05pt;" o:ole="t" filled="f" o:preferrelative="t" stroked="f" coordsize="21600,21600">
            <v:path/>
            <v:fill on="f" focussize="0,0"/>
            <v:stroke on="f" joinstyle="miter"/>
            <v:imagedata r:id="rId23" o:title=""/>
            <o:lock v:ext="edit" aspectratio="t"/>
            <w10:wrap type="none"/>
            <w10:anchorlock/>
          </v:shape>
          <o:OLEObject Type="Embed" ProgID="Equation.3" ShapeID="_x0000_i1031" DrawAspect="Content" ObjectID="_1468075731" r:id="rId22">
            <o:LockedField>false</o:LockedField>
          </o:OLEObject>
        </w:object>
      </w:r>
      <w:r>
        <w:rPr>
          <w:rFonts w:hint="eastAsia"/>
        </w:rPr>
        <w:t>。</w:t>
      </w:r>
      <w:r>
        <w:rPr>
          <w:rFonts w:hint="eastAsia"/>
          <w:i/>
        </w:rPr>
        <w:t>t</w:t>
      </w:r>
      <w:r>
        <w:rPr>
          <w:rFonts w:hint="eastAsia"/>
        </w:rPr>
        <w:t>时段内若某汽车在区域</w:t>
      </w:r>
      <w:r>
        <w:rPr>
          <w:i/>
        </w:rPr>
        <w:t>z</w:t>
      </w:r>
      <w:r>
        <w:rPr>
          <w:i/>
          <w:vertAlign w:val="subscript"/>
        </w:rPr>
        <w:t>i</w:t>
      </w:r>
      <w:r>
        <w:rPr>
          <w:rFonts w:hint="eastAsia"/>
        </w:rPr>
        <w:t>中出现，且处于空闲状态（第t时段内该车只要出现过空闲状态，即算作空闲汽车），则将其累加至总空闲汽车数中，部分计算结果如下图所示：</w:t>
      </w:r>
    </w:p>
    <w:p>
      <w:pPr>
        <w:jc w:val="center"/>
      </w:pPr>
    </w:p>
    <w:p>
      <w:pPr>
        <w:jc w:val="center"/>
      </w:pPr>
      <w:r>
        <w:drawing>
          <wp:inline distT="0" distB="0" distL="114300" distR="114300">
            <wp:extent cx="4725670" cy="2413635"/>
            <wp:effectExtent l="0" t="0" r="0" b="571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24"/>
                    <a:srcRect t="16576" b="7659"/>
                    <a:stretch>
                      <a:fillRect/>
                    </a:stretch>
                  </pic:blipFill>
                  <pic:spPr>
                    <a:xfrm>
                      <a:off x="0" y="0"/>
                      <a:ext cx="4746749" cy="2424578"/>
                    </a:xfrm>
                    <a:prstGeom prst="rect">
                      <a:avLst/>
                    </a:prstGeom>
                    <a:ln>
                      <a:noFill/>
                    </a:ln>
                  </pic:spPr>
                </pic:pic>
              </a:graphicData>
            </a:graphic>
          </wp:inline>
        </w:drawing>
      </w:r>
    </w:p>
    <w:p/>
    <w:p>
      <w:pPr>
        <w:ind w:firstLine="480" w:firstLineChars="200"/>
        <w:textAlignment w:val="center"/>
      </w:pPr>
      <w:r>
        <w:rPr>
          <w:rFonts w:hint="eastAsia"/>
        </w:rPr>
        <w:t>（4）计算每一个子区域中每一个时段的总单程收益，</w:t>
      </w:r>
      <w:r>
        <w:t>第</w:t>
      </w:r>
      <w:r>
        <w:rPr>
          <w:rFonts w:hint="eastAsia"/>
          <w:i/>
        </w:rPr>
        <w:t>t</w:t>
      </w:r>
      <w:r>
        <w:t>时段在区域</w:t>
      </w:r>
      <w:r>
        <w:rPr>
          <w:i/>
        </w:rPr>
        <w:t>z</w:t>
      </w:r>
      <w:r>
        <w:rPr>
          <w:i/>
          <w:vertAlign w:val="subscript"/>
        </w:rPr>
        <w:t>i</w:t>
      </w:r>
      <w:r>
        <w:t>的</w:t>
      </w:r>
      <w:r>
        <w:rPr>
          <w:rFonts w:hint="eastAsia"/>
        </w:rPr>
        <w:t>总单程收益表示为</w:t>
      </w:r>
      <w:r>
        <w:rPr>
          <w:rFonts w:hint="eastAsia"/>
        </w:rPr>
        <w:object>
          <v:shape id="_x0000_i1032" o:spt="75" type="#_x0000_t75" style="height:18.15pt;width:19.4pt;" o:ole="t" filled="f" o:preferrelative="t" stroked="f" coordsize="21600,21600">
            <v:path/>
            <v:fill on="f" focussize="0,0"/>
            <v:stroke on="f" joinstyle="miter"/>
            <v:imagedata r:id="rId26" o:title=""/>
            <o:lock v:ext="edit" aspectratio="t"/>
            <w10:wrap type="none"/>
            <w10:anchorlock/>
          </v:shape>
          <o:OLEObject Type="Embed" ProgID="Equation.3" ShapeID="_x0000_i1032" DrawAspect="Content" ObjectID="_1468075732" r:id="rId25">
            <o:LockedField>false</o:LockedField>
          </o:OLEObject>
        </w:object>
      </w:r>
      <w:r>
        <w:rPr>
          <w:rFonts w:hint="eastAsia"/>
        </w:rPr>
        <w:t>。对于成功载客的车辆，基于行程轨迹，通过计算轨迹中采样点之间的球面距离，得到行程距离，并基于重庆市出租车计价规则得到载客收益，部分计算结果如下：</w:t>
      </w:r>
    </w:p>
    <w:p/>
    <w:p>
      <w:pPr>
        <w:jc w:val="center"/>
      </w:pPr>
      <w:r>
        <w:drawing>
          <wp:inline distT="0" distB="0" distL="114300" distR="114300">
            <wp:extent cx="4752975" cy="2258695"/>
            <wp:effectExtent l="0" t="0" r="0" b="8255"/>
            <wp:docPr id="13" name="内容占位符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内容占位符 23"/>
                    <pic:cNvPicPr>
                      <a:picLocks noChangeAspect="1"/>
                    </pic:cNvPicPr>
                  </pic:nvPicPr>
                  <pic:blipFill>
                    <a:blip r:embed="rId27"/>
                    <a:srcRect t="16294" b="7810"/>
                    <a:stretch>
                      <a:fillRect/>
                    </a:stretch>
                  </pic:blipFill>
                  <pic:spPr>
                    <a:xfrm>
                      <a:off x="0" y="0"/>
                      <a:ext cx="4758864" cy="2262034"/>
                    </a:xfrm>
                    <a:prstGeom prst="rect">
                      <a:avLst/>
                    </a:prstGeom>
                    <a:noFill/>
                    <a:ln>
                      <a:noFill/>
                    </a:ln>
                  </pic:spPr>
                </pic:pic>
              </a:graphicData>
            </a:graphic>
          </wp:inline>
        </w:drawing>
      </w:r>
    </w:p>
    <w:p/>
    <w:p>
      <w:pPr>
        <w:ind w:firstLine="480" w:firstLineChars="200"/>
      </w:pPr>
      <w:r>
        <w:rPr>
          <w:rFonts w:hint="eastAsia"/>
        </w:rPr>
        <w:t>（5）计算载客概率和单程平均收益。对于每一个子区域中每一个时段，用该时段子区域内总接客汽车数即总接客成功载客车辆数与总空闲车辆数之比作为载客概率。则</w:t>
      </w:r>
      <w:r>
        <w:t>第</w:t>
      </w:r>
      <w:r>
        <w:rPr>
          <w:rFonts w:hint="eastAsia"/>
          <w:i/>
        </w:rPr>
        <w:t>t</w:t>
      </w:r>
      <w:r>
        <w:t xml:space="preserve">时段在区域 </w:t>
      </w:r>
      <w:r>
        <w:rPr>
          <w:i/>
        </w:rPr>
        <w:t>z</w:t>
      </w:r>
      <w:r>
        <w:rPr>
          <w:i/>
          <w:vertAlign w:val="subscript"/>
        </w:rPr>
        <w:t>i</w:t>
      </w:r>
      <w:r>
        <w:t>的接客概率</w:t>
      </w:r>
      <w:r>
        <w:rPr>
          <w:rFonts w:hint="eastAsia"/>
        </w:rPr>
        <w:t>表示为：</w:t>
      </w:r>
    </w:p>
    <w:p>
      <w:pPr>
        <w:jc w:val="center"/>
      </w:pPr>
      <w:r>
        <w:rPr>
          <w:position w:val="-30"/>
        </w:rPr>
        <w:object>
          <v:shape id="_x0000_i1033" o:spt="75" type="#_x0000_t75" style="height:36.3pt;width:40.7pt;" o:ole="t" filled="f" o:preferrelative="t" stroked="f" coordsize="21600,21600">
            <v:path/>
            <v:fill on="f" focussize="0,0"/>
            <v:stroke on="f" joinstyle="miter"/>
            <v:imagedata r:id="rId29" o:title=""/>
            <o:lock v:ext="edit" aspectratio="t"/>
            <w10:wrap type="none"/>
            <w10:anchorlock/>
          </v:shape>
          <o:OLEObject Type="Embed" ProgID="Equation.3" ShapeID="_x0000_i1033" DrawAspect="Content" ObjectID="_1468075733" r:id="rId28">
            <o:LockedField>false</o:LockedField>
          </o:OLEObject>
        </w:object>
      </w:r>
    </w:p>
    <w:p>
      <w:pPr>
        <w:ind w:firstLine="480" w:firstLineChars="200"/>
      </w:pPr>
      <w:r>
        <w:rPr>
          <w:rFonts w:hint="eastAsia"/>
        </w:rPr>
        <w:t>显然，单程平均收益即为总单程收益与总接客汽车数之比，则</w:t>
      </w:r>
      <w:r>
        <w:t>第</w:t>
      </w:r>
      <w:r>
        <w:rPr>
          <w:rFonts w:hint="eastAsia"/>
          <w:i/>
        </w:rPr>
        <w:t>t</w:t>
      </w:r>
      <w:r>
        <w:t xml:space="preserve">时段在区域 </w:t>
      </w:r>
      <w:r>
        <w:rPr>
          <w:i/>
        </w:rPr>
        <w:t>z</w:t>
      </w:r>
      <w:r>
        <w:rPr>
          <w:i/>
          <w:vertAlign w:val="subscript"/>
        </w:rPr>
        <w:t>i</w:t>
      </w:r>
      <w:r>
        <w:t>的</w:t>
      </w:r>
      <w:r>
        <w:rPr>
          <w:rFonts w:hint="eastAsia"/>
        </w:rPr>
        <w:t>单程平均收益表示为：</w:t>
      </w:r>
    </w:p>
    <w:p>
      <w:pPr>
        <w:jc w:val="center"/>
      </w:pPr>
      <w:r>
        <w:rPr>
          <w:rFonts w:hint="eastAsia"/>
          <w:position w:val="-30"/>
        </w:rPr>
        <w:object>
          <v:shape id="_x0000_i1034" o:spt="75" type="#_x0000_t75" style="height:36.3pt;width:46.95pt;" o:ole="t" filled="f" o:preferrelative="t" stroked="f" coordsize="21600,21600">
            <v:path/>
            <v:fill on="f" focussize="0,0"/>
            <v:stroke on="f" joinstyle="miter"/>
            <v:imagedata r:id="rId31" o:title=""/>
            <o:lock v:ext="edit" aspectratio="t"/>
            <w10:wrap type="none"/>
            <w10:anchorlock/>
          </v:shape>
          <o:OLEObject Type="Embed" ProgID="Equation.3" ShapeID="_x0000_i1034" DrawAspect="Content" ObjectID="_1468075734" r:id="rId30">
            <o:LockedField>false</o:LockedField>
          </o:OLEObject>
        </w:object>
      </w:r>
    </w:p>
    <w:p>
      <w:pPr>
        <w:ind w:firstLine="480" w:firstLineChars="200"/>
      </w:pPr>
      <w:r>
        <w:rPr>
          <w:rFonts w:hint="eastAsia"/>
        </w:rPr>
        <w:t>由载客概率和单程平均收益得到每一个子区域中每一时段的载客收益，进而可以得到历史载客收益热力图，基于该热力图和各子区域的拓扑邻接图，即能预测未来每个子区域的载客收益。</w:t>
      </w:r>
    </w:p>
    <w:p>
      <w:pPr>
        <w:ind w:firstLine="480" w:firstLineChars="200"/>
      </w:pPr>
    </w:p>
    <w:p>
      <w:pPr>
        <w:rPr>
          <w:b/>
        </w:rPr>
      </w:pPr>
      <w:r>
        <w:rPr>
          <w:rFonts w:hint="eastAsia"/>
          <w:b/>
        </w:rPr>
        <w:t>3</w:t>
      </w:r>
      <w:r>
        <w:rPr>
          <w:b/>
        </w:rPr>
        <w:t xml:space="preserve">.2 </w:t>
      </w:r>
      <w:r>
        <w:rPr>
          <w:rFonts w:hint="eastAsia"/>
          <w:b/>
        </w:rPr>
        <w:t>使用双注意力机制RNN算法进行载客收益预测</w:t>
      </w:r>
    </w:p>
    <w:p>
      <w:pPr>
        <w:ind w:firstLine="480" w:firstLineChars="200"/>
      </w:pPr>
      <w:r>
        <w:rPr>
          <w:rFonts w:hint="eastAsia"/>
        </w:rPr>
        <w:t>我们以一个子区域为例，详细介绍如何基于双注意力机制的循环神经网络预测载客收益。如下图所示，该方法利用基于长短期记忆的编码器</w:t>
      </w:r>
      <w:r>
        <w:rPr>
          <w:rFonts w:hint="eastAsia"/>
          <w:lang w:eastAsia="zh-CN"/>
        </w:rPr>
        <w:t>－</w:t>
      </w:r>
      <w:r>
        <w:rPr>
          <w:rFonts w:hint="eastAsia"/>
        </w:rPr>
        <w:t>解码器架构（LSTM based Encoder-Decoder）和时空注意力机制（Temporal-Spatial Attentions），主要包括基于时间注意力机制的编码和基于空间注意力机制的解码两部分。</w:t>
      </w:r>
    </w:p>
    <w:p>
      <w:pPr>
        <w:ind w:firstLine="480" w:firstLineChars="200"/>
      </w:pPr>
      <w:r>
        <mc:AlternateContent>
          <mc:Choice Requires="wps">
            <w:drawing>
              <wp:anchor distT="45720" distB="45720" distL="114300" distR="114300" simplePos="0" relativeHeight="251661312" behindDoc="0" locked="0" layoutInCell="1" allowOverlap="1">
                <wp:simplePos x="0" y="0"/>
                <wp:positionH relativeFrom="margin">
                  <wp:align>center</wp:align>
                </wp:positionH>
                <wp:positionV relativeFrom="paragraph">
                  <wp:posOffset>292735</wp:posOffset>
                </wp:positionV>
                <wp:extent cx="2415540" cy="2451735"/>
                <wp:effectExtent l="19050" t="19050" r="22860" b="24765"/>
                <wp:wrapTopAndBottom/>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5540" cy="2451735"/>
                        </a:xfrm>
                        <a:prstGeom prst="roundRect">
                          <a:avLst/>
                        </a:prstGeom>
                        <a:solidFill>
                          <a:srgbClr val="FFFFFF"/>
                        </a:solidFill>
                        <a:ln w="28575">
                          <a:solidFill>
                            <a:srgbClr val="000000"/>
                          </a:solidFill>
                          <a:miter lim="800000"/>
                        </a:ln>
                      </wps:spPr>
                      <wps:txbx>
                        <w:txbxContent>
                          <w:p>
                            <w:r>
                              <w:rPr>
                                <w:color w:val="FF0000"/>
                              </w:rPr>
                              <w:drawing>
                                <wp:inline distT="0" distB="0" distL="0" distR="0">
                                  <wp:extent cx="1816735" cy="20396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869669" cy="2099505"/>
                                          </a:xfrm>
                                          <a:prstGeom prst="rect">
                                            <a:avLst/>
                                          </a:prstGeom>
                                          <a:noFill/>
                                        </pic:spPr>
                                      </pic:pic>
                                    </a:graphicData>
                                  </a:graphic>
                                </wp:inline>
                              </w:drawing>
                            </w:r>
                          </w:p>
                        </w:txbxContent>
                      </wps:txbx>
                      <wps:bodyPr rot="0" vert="horz" wrap="square" lIns="91440" tIns="45720" rIns="91440" bIns="45720" anchor="t" anchorCtr="0">
                        <a:noAutofit/>
                      </wps:bodyPr>
                    </wps:wsp>
                  </a:graphicData>
                </a:graphic>
              </wp:anchor>
            </w:drawing>
          </mc:Choice>
          <mc:Fallback>
            <w:pict>
              <v:roundrect id="文本框 2" o:spid="_x0000_s1026" o:spt="2" style="position:absolute;left:0pt;margin-top:23.05pt;height:193.05pt;width:190.2pt;mso-position-horizontal:center;mso-position-horizontal-relative:margin;mso-wrap-distance-bottom:3.6pt;mso-wrap-distance-top:3.6pt;z-index:251661312;mso-width-relative:page;mso-height-relative:page;" fillcolor="#FFFFFF" filled="t" stroked="t" coordsize="21600,21600" arcsize="0.166666666666667" o:gfxdata="UEsDBAoAAAAAAIdO4kAAAAAAAAAAAAAAAAAEAAAAZHJzL1BLAwQUAAAACACHTuJAApVM+9UAAAAH&#10;AQAADwAAAGRycy9kb3ducmV2LnhtbE2PO0/EMBCEeyT+g7VIdJydh04hxLmCEwWC5h4FpS9enIh4&#10;HWLf69+zVFDuzGjm22Z18aM44RyHQBqyhQKB1AU7kNOw3708VCBiMmTNGAg1XDHCqr29aUxtw5k2&#10;eNomJ7iEYm009ClNtZSx69GbuAgTEnufYfYm8Tk7aWdz5nI/ylyppfRmIF7ozYTPPXZf26PXsLu+&#10;UrV+dwWqfP34vXEfb1Ustb6/y9QTiISX9BeGX3xGh5aZDuFINopRAz+SNJTLDAS7RaVKEAcWijwH&#10;2TbyP3/7A1BLAwQUAAAACACHTuJAZBGNckECAACEBAAADgAAAGRycy9lMm9Eb2MueG1srVTNbtQw&#10;EL4j8Q6W7zSbsGFLtNmqbFWEVH5E4QG8jrOxsD3G9m5SHgDegBMX7jxXn4Oxk5algNQDOVgznvE3&#10;M9/MZHkyaEX2wnkJpqb50YwSYTg00mxr+v7d+aNjSnxgpmEKjKjplfD0ZPXwwbK3lSigA9UIRxDE&#10;+Kq3Ne1CsFWWed4JzfwRWGHQ2ILTLKDqtlnjWI/oWmXFbPYk68E11gEX3uPt2WikE6K7DyC0reTi&#10;DPhOCxNGVCcUC1iS76T1dJWybVvBw+u29SIQVVOsNKQTg6C8iWe2WrJq65jtJJ9SYPdJ4U5NmkmD&#10;QW+hzlhgZOfkH1Bacgce2nDEQWdjIYkRrCKf3eHmsmNWpFqQam9vSff/D5a/2r9xRDY1LfIFJYZp&#10;bPn11y/X335cf/9MikhQb32FfpcWPcPwDAYcm1SstxfAP3hiYN0xsxWnzkHfCdZggnl8mR08HXF8&#10;BNn0L6HBOGwXIAENrdORPeSDIDo25+q2OWIIhONlMc/Lco4mjrZiXuaLx2WKwaqb59b58FyAJlGo&#10;qYOdad7iCKQYbH/hQ8yJVTd+MaQHJZtzqVRS3HazVo7sGY7LefqmEL+5KUN6zOG4XJQjD//EmKXv&#10;bxhaBlwjJXVNjw+dlJloi0yNnIVhM0xt2EBzhQQ6GAcZ1xiFDtwnSnoc4pr6jzvmBCXqhcEmPM3n&#10;kbGQlHm5KFBxh5bNoYUZjlA1DZSM4jqkTYnMGDjFZrUyMRi7OmYy5YrDmYidFilO/6GevH79PFY/&#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KVTPvVAAAABwEAAA8AAAAAAAAAAQAgAAAAIgAAAGRy&#10;cy9kb3ducmV2LnhtbFBLAQIUABQAAAAIAIdO4kBkEY1yQQIAAIQEAAAOAAAAAAAAAAEAIAAAACQB&#10;AABkcnMvZTJvRG9jLnhtbFBLBQYAAAAABgAGAFkBAADXBQAAAAA=&#10;">
                <v:fill on="t" focussize="0,0"/>
                <v:stroke weight="2.25pt" color="#000000" miterlimit="8" joinstyle="miter"/>
                <v:imagedata o:title=""/>
                <o:lock v:ext="edit" aspectratio="f"/>
                <v:textbox>
                  <w:txbxContent>
                    <w:p>
                      <w:r>
                        <w:rPr>
                          <w:color w:val="FF0000"/>
                        </w:rPr>
                        <w:drawing>
                          <wp:inline distT="0" distB="0" distL="0" distR="0">
                            <wp:extent cx="1816735" cy="203962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a:xfrm>
                                      <a:off x="0" y="0"/>
                                      <a:ext cx="1869669" cy="2099505"/>
                                    </a:xfrm>
                                    <a:prstGeom prst="rect">
                                      <a:avLst/>
                                    </a:prstGeom>
                                    <a:noFill/>
                                  </pic:spPr>
                                </pic:pic>
                              </a:graphicData>
                            </a:graphic>
                          </wp:inline>
                        </w:drawing>
                      </w:r>
                    </w:p>
                  </w:txbxContent>
                </v:textbox>
                <w10:wrap type="topAndBottom"/>
              </v:roundrect>
            </w:pict>
          </mc:Fallback>
        </mc:AlternateContent>
      </w:r>
    </w:p>
    <w:p>
      <w:pPr>
        <w:ind w:firstLine="480" w:firstLineChars="200"/>
      </w:pPr>
    </w:p>
    <w:p>
      <w:pPr>
        <w:ind w:firstLine="480" w:firstLineChars="200"/>
      </w:pPr>
      <w:r>
        <w:rPr>
          <w:rFonts w:hint="eastAsia"/>
        </w:rPr>
        <w:t>在上图中，基于空间注意力机制的编码利用空间注意力机制将邻近区域的载客收益热力图编码为特征向量，称为隐藏状态；基于时间注意力机制的解码利用基于LSTM的循环神经网络解码每个时段编码生成的隐藏状态，从而预测载客收益。同时，在解码过程中，利用时间注意力机制，从所有时段中挖掘学习得到最相关的隐藏状态。</w:t>
      </w:r>
    </w:p>
    <w:p>
      <w:pPr>
        <w:ind w:firstLine="480" w:firstLineChars="200"/>
      </w:pPr>
      <w:r>
        <w:rPr>
          <w:rFonts w:hint="eastAsia"/>
        </w:rPr>
        <w:t>对于数据集，本案例选择重庆市江北区作为实验区域，将其均匀划分成125个2km</w:t>
      </w:r>
      <w:r>
        <w:rPr>
          <w:rFonts w:hint="eastAsia"/>
          <w:vertAlign w:val="superscript"/>
        </w:rPr>
        <w:t>2</w:t>
      </w:r>
      <w:r>
        <w:rPr>
          <w:rFonts w:hint="eastAsia"/>
        </w:rPr>
        <w:t>的子区域</w:t>
      </w:r>
      <w:r>
        <w:rPr>
          <w:rFonts w:hint="eastAsia"/>
          <w:lang w:eastAsia="zh-CN"/>
        </w:rPr>
        <w:t>（</w:t>
      </w:r>
      <w:r>
        <w:rPr>
          <w:rFonts w:hint="eastAsia"/>
        </w:rPr>
        <w:t>每个子区域大小约为。对于每一个子区域中每一个时段，用该时段子区域内成功载客车辆数与总空闲车辆数之比作为载客概率。</w:t>
      </w:r>
    </w:p>
    <w:p>
      <w:pPr>
        <w:ind w:firstLine="480" w:firstLineChars="200"/>
      </w:pPr>
      <w:r>
        <w:rPr>
          <w:rFonts w:hint="eastAsia"/>
        </w:rPr>
        <w:t>首先，对于成功载客的车辆，基于行程轨迹，通过计算轨迹中采样点之间的球面距离，得到行程距离，并基于重庆市出租车计价规则得到载客收益。然后，计算该时段子区域内所有成功载客车辆的平均载客收益，作为单程收益期望。最后，我们使用预测平均误差（Mean</w:t>
      </w:r>
      <w:r>
        <w:t xml:space="preserve"> </w:t>
      </w:r>
      <w:r>
        <w:rPr>
          <w:rFonts w:hint="eastAsia"/>
        </w:rPr>
        <w:t>Absolute</w:t>
      </w:r>
      <w:r>
        <w:t xml:space="preserve"> </w:t>
      </w:r>
      <w:r>
        <w:rPr>
          <w:rFonts w:hint="eastAsia"/>
        </w:rPr>
        <w:t>Error，MAE），即预测值与真实值之间的平均绝对误差，用于评估基于深度学习算法的载客收益预测的准确性。</w:t>
      </w:r>
    </w:p>
    <w:p>
      <w:pPr>
        <w:ind w:firstLine="480" w:firstLineChars="200"/>
      </w:pPr>
      <w:r>
        <w:rPr>
          <w:rFonts w:hint="eastAsia"/>
        </w:rPr>
        <w:t>同时，我们也使用下述三种算法进行对比：</w:t>
      </w:r>
    </w:p>
    <w:p>
      <w:pPr>
        <w:ind w:firstLine="480" w:firstLineChars="200"/>
      </w:pPr>
      <w:r>
        <w:rPr>
          <w:rFonts w:hint="eastAsia"/>
        </w:rPr>
        <w:t>（1）LSTM：即长短期记忆网络深度学习算法，是递归神经网络的变体，其特点在于可以同时捕获序列中的长期与短期变化特征。</w:t>
      </w:r>
    </w:p>
    <w:p>
      <w:pPr>
        <w:ind w:firstLine="480" w:firstLineChars="200"/>
      </w:pPr>
      <w:r>
        <w:rPr>
          <w:rFonts w:hint="eastAsia"/>
        </w:rPr>
        <w:t>（2）Seq</w:t>
      </w:r>
      <w:r>
        <w:t>2Seq</w:t>
      </w:r>
      <w:r>
        <w:rPr>
          <w:rFonts w:hint="eastAsia"/>
        </w:rPr>
        <w:t>：一种基于递归神经网络的序列转换模型，利用编码器</w:t>
      </w:r>
      <w:r>
        <w:rPr>
          <w:rFonts w:hint="eastAsia"/>
          <w:lang w:eastAsia="zh-CN"/>
        </w:rPr>
        <w:t>－</w:t>
      </w:r>
      <w:r>
        <w:rPr>
          <w:rFonts w:hint="eastAsia"/>
        </w:rPr>
        <w:t>解码器结构，主要包括编码器、上下文向量和解码器三个主要模块。</w:t>
      </w:r>
    </w:p>
    <w:p>
      <w:pPr>
        <w:ind w:firstLine="480" w:firstLineChars="200"/>
      </w:pPr>
      <w:r>
        <w:rPr>
          <w:rFonts w:hint="eastAsia"/>
        </w:rPr>
        <w:t>（3）TAtt：基于时间注意力机制的循环神经网络。</w:t>
      </w:r>
    </w:p>
    <w:p>
      <w:pPr>
        <w:ind w:firstLine="480" w:firstLineChars="200"/>
      </w:pPr>
      <w:r>
        <w:rPr>
          <w:rFonts w:hint="eastAsia"/>
        </w:rPr>
        <w:t>在该案例中，我们使用Keras工具包实现上述深度学习算法，源代码见附录。每种算法得到的MAE指标结果如下表所示，其中双注意力机制算法取得最佳结果。</w:t>
      </w:r>
    </w:p>
    <w:p>
      <w:pPr>
        <w:ind w:firstLine="480" w:firstLineChars="200"/>
      </w:pPr>
    </w:p>
    <w:tbl>
      <w:tblPr>
        <w:tblStyle w:val="19"/>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1045"/>
        <w:gridCol w:w="1785"/>
        <w:gridCol w:w="2264"/>
        <w:gridCol w:w="936"/>
        <w:gridCol w:w="1275"/>
        <w:gridCol w:w="1217"/>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835" w:type="dxa"/>
            <w:gridSpan w:val="2"/>
          </w:tcPr>
          <w:p>
            <w:pPr>
              <w:spacing w:line="240" w:lineRule="auto"/>
              <w:jc w:val="center"/>
              <w:rPr>
                <w:rFonts w:ascii="宋体" w:hAnsi="宋体" w:cs="Times New Roman"/>
                <w:szCs w:val="24"/>
              </w:rPr>
            </w:pPr>
            <w:bookmarkStart w:id="3" w:name="_Hlk88242955"/>
            <w:r>
              <w:rPr>
                <w:rFonts w:hint="eastAsia" w:ascii="宋体" w:hAnsi="宋体" w:cs="Times New Roman"/>
                <w:szCs w:val="24"/>
              </w:rPr>
              <w:t>算法名称</w:t>
            </w:r>
          </w:p>
        </w:tc>
        <w:tc>
          <w:tcPr>
            <w:tcW w:w="2268" w:type="dxa"/>
          </w:tcPr>
          <w:p>
            <w:pPr>
              <w:spacing w:line="240" w:lineRule="auto"/>
              <w:jc w:val="center"/>
              <w:rPr>
                <w:rFonts w:ascii="宋体" w:hAnsi="宋体" w:cs="Times New Roman"/>
                <w:szCs w:val="24"/>
              </w:rPr>
            </w:pPr>
            <w:r>
              <w:rPr>
                <w:rFonts w:hint="eastAsia" w:ascii="宋体" w:hAnsi="宋体" w:cs="Times New Roman"/>
                <w:szCs w:val="24"/>
              </w:rPr>
              <w:t>双注意力机制算法</w:t>
            </w:r>
          </w:p>
        </w:tc>
        <w:tc>
          <w:tcPr>
            <w:tcW w:w="709" w:type="dxa"/>
          </w:tcPr>
          <w:p>
            <w:pPr>
              <w:spacing w:line="240" w:lineRule="auto"/>
              <w:jc w:val="center"/>
              <w:rPr>
                <w:rFonts w:ascii="宋体" w:hAnsi="宋体" w:cs="Times New Roman"/>
                <w:szCs w:val="24"/>
              </w:rPr>
            </w:pPr>
            <w:r>
              <w:rPr>
                <w:rFonts w:ascii="宋体" w:hAnsi="宋体" w:cs="Times New Roman"/>
                <w:szCs w:val="24"/>
              </w:rPr>
              <w:t>TAtt</w:t>
            </w:r>
          </w:p>
        </w:tc>
        <w:tc>
          <w:tcPr>
            <w:tcW w:w="1276" w:type="dxa"/>
          </w:tcPr>
          <w:p>
            <w:pPr>
              <w:spacing w:line="240" w:lineRule="auto"/>
              <w:jc w:val="center"/>
              <w:rPr>
                <w:rFonts w:ascii="宋体" w:hAnsi="宋体" w:cs="Times New Roman"/>
                <w:szCs w:val="24"/>
              </w:rPr>
            </w:pPr>
            <w:r>
              <w:rPr>
                <w:rFonts w:ascii="宋体" w:hAnsi="宋体" w:cs="Times New Roman"/>
                <w:szCs w:val="24"/>
              </w:rPr>
              <w:t>Seq2Seq</w:t>
            </w:r>
          </w:p>
        </w:tc>
        <w:tc>
          <w:tcPr>
            <w:tcW w:w="1218" w:type="dxa"/>
          </w:tcPr>
          <w:p>
            <w:pPr>
              <w:spacing w:line="240" w:lineRule="auto"/>
              <w:jc w:val="center"/>
              <w:rPr>
                <w:rFonts w:ascii="宋体" w:hAnsi="宋体" w:cs="Times New Roman"/>
                <w:szCs w:val="24"/>
              </w:rPr>
            </w:pPr>
            <w:r>
              <w:rPr>
                <w:rFonts w:ascii="宋体" w:hAnsi="宋体" w:cs="Times New Roman"/>
                <w:szCs w:val="24"/>
              </w:rPr>
              <w:t>LSTM</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1046" w:type="dxa"/>
          </w:tcPr>
          <w:p>
            <w:pPr>
              <w:spacing w:line="240" w:lineRule="auto"/>
              <w:jc w:val="center"/>
              <w:rPr>
                <w:rFonts w:ascii="宋体" w:hAnsi="宋体" w:cs="Times New Roman"/>
                <w:szCs w:val="24"/>
              </w:rPr>
            </w:pPr>
            <w:r>
              <w:rPr>
                <w:rFonts w:ascii="宋体" w:hAnsi="宋体" w:cs="Times New Roman"/>
                <w:szCs w:val="24"/>
              </w:rPr>
              <w:t>MAE</w:t>
            </w:r>
          </w:p>
        </w:tc>
        <w:tc>
          <w:tcPr>
            <w:tcW w:w="1789" w:type="dxa"/>
          </w:tcPr>
          <w:p>
            <w:pPr>
              <w:spacing w:line="240" w:lineRule="auto"/>
              <w:jc w:val="center"/>
              <w:rPr>
                <w:rFonts w:ascii="宋体" w:hAnsi="宋体" w:cs="Times New Roman"/>
                <w:szCs w:val="24"/>
              </w:rPr>
            </w:pPr>
            <w:r>
              <w:rPr>
                <w:rFonts w:ascii="宋体" w:hAnsi="宋体" w:cs="Times New Roman"/>
                <w:szCs w:val="24"/>
              </w:rPr>
              <w:t>重庆市数据集</w:t>
            </w:r>
          </w:p>
        </w:tc>
        <w:tc>
          <w:tcPr>
            <w:tcW w:w="2268" w:type="dxa"/>
          </w:tcPr>
          <w:p>
            <w:pPr>
              <w:spacing w:line="240" w:lineRule="auto"/>
              <w:jc w:val="center"/>
              <w:rPr>
                <w:rFonts w:ascii="宋体" w:hAnsi="宋体" w:cs="Times New Roman"/>
                <w:szCs w:val="24"/>
              </w:rPr>
            </w:pPr>
            <w:r>
              <w:rPr>
                <w:rFonts w:hint="eastAsia" w:ascii="宋体" w:hAnsi="宋体" w:cs="Times New Roman"/>
                <w:szCs w:val="24"/>
              </w:rPr>
              <w:t>1</w:t>
            </w:r>
            <w:r>
              <w:rPr>
                <w:rFonts w:ascii="宋体" w:hAnsi="宋体" w:cs="Times New Roman"/>
                <w:szCs w:val="24"/>
              </w:rPr>
              <w:t>53.80</w:t>
            </w:r>
          </w:p>
        </w:tc>
        <w:tc>
          <w:tcPr>
            <w:tcW w:w="709" w:type="dxa"/>
          </w:tcPr>
          <w:p>
            <w:pPr>
              <w:spacing w:line="240" w:lineRule="auto"/>
              <w:jc w:val="center"/>
              <w:rPr>
                <w:rFonts w:ascii="宋体" w:hAnsi="宋体" w:cs="Times New Roman"/>
                <w:szCs w:val="24"/>
              </w:rPr>
            </w:pPr>
            <w:r>
              <w:rPr>
                <w:rFonts w:hint="eastAsia" w:ascii="宋体" w:hAnsi="宋体" w:cs="Times New Roman"/>
                <w:szCs w:val="24"/>
              </w:rPr>
              <w:t>1</w:t>
            </w:r>
            <w:r>
              <w:rPr>
                <w:rFonts w:ascii="宋体" w:hAnsi="宋体" w:cs="Times New Roman"/>
                <w:szCs w:val="24"/>
              </w:rPr>
              <w:t>84.59</w:t>
            </w:r>
          </w:p>
        </w:tc>
        <w:tc>
          <w:tcPr>
            <w:tcW w:w="1276" w:type="dxa"/>
          </w:tcPr>
          <w:p>
            <w:pPr>
              <w:spacing w:line="240" w:lineRule="auto"/>
              <w:jc w:val="center"/>
              <w:rPr>
                <w:rFonts w:ascii="宋体" w:hAnsi="宋体" w:cs="Times New Roman"/>
                <w:szCs w:val="24"/>
              </w:rPr>
            </w:pPr>
            <w:r>
              <w:rPr>
                <w:rFonts w:hint="eastAsia" w:ascii="宋体" w:hAnsi="宋体" w:cs="Times New Roman"/>
                <w:szCs w:val="24"/>
              </w:rPr>
              <w:t>2</w:t>
            </w:r>
            <w:r>
              <w:rPr>
                <w:rFonts w:ascii="宋体" w:hAnsi="宋体" w:cs="Times New Roman"/>
                <w:szCs w:val="24"/>
              </w:rPr>
              <w:t>16.16</w:t>
            </w:r>
          </w:p>
        </w:tc>
        <w:tc>
          <w:tcPr>
            <w:tcW w:w="1218" w:type="dxa"/>
          </w:tcPr>
          <w:p>
            <w:pPr>
              <w:spacing w:line="240" w:lineRule="auto"/>
              <w:jc w:val="center"/>
              <w:rPr>
                <w:rFonts w:ascii="宋体" w:hAnsi="宋体" w:cs="Times New Roman"/>
                <w:szCs w:val="24"/>
              </w:rPr>
            </w:pPr>
            <w:r>
              <w:rPr>
                <w:rFonts w:hint="eastAsia" w:ascii="宋体" w:hAnsi="宋体" w:cs="Times New Roman"/>
                <w:szCs w:val="24"/>
              </w:rPr>
              <w:t>1</w:t>
            </w:r>
            <w:r>
              <w:rPr>
                <w:rFonts w:ascii="宋体" w:hAnsi="宋体" w:cs="Times New Roman"/>
                <w:szCs w:val="24"/>
              </w:rPr>
              <w:t>78.65</w:t>
            </w:r>
          </w:p>
        </w:tc>
      </w:tr>
      <w:bookmarkEnd w:id="3"/>
    </w:tbl>
    <w:p/>
    <w:p>
      <w:pPr>
        <w:ind w:firstLine="480" w:firstLineChars="200"/>
      </w:pPr>
      <w:r>
        <w:rPr>
          <w:rFonts w:hint="eastAsia"/>
        </w:rPr>
        <w:t>同时，在本案例中可以设计一系列参数实验，以确定多种因素对载客收益预测任务的影响，并选取最佳的参数设定。参数实验的内容与结果如下图所示：</w:t>
      </w:r>
    </w:p>
    <w:p>
      <w:pPr>
        <w:ind w:firstLine="480" w:firstLineChars="200"/>
      </w:pPr>
    </w:p>
    <w:p>
      <w:r>
        <w:drawing>
          <wp:inline distT="0" distB="0" distL="0" distR="0">
            <wp:extent cx="5274310" cy="173926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33"/>
                    <a:srcRect l="2550" t="6846" r="1062"/>
                    <a:stretch>
                      <a:fillRect/>
                    </a:stretch>
                  </pic:blipFill>
                  <pic:spPr>
                    <a:xfrm>
                      <a:off x="0" y="0"/>
                      <a:ext cx="5274310" cy="1739724"/>
                    </a:xfrm>
                    <a:prstGeom prst="rect">
                      <a:avLst/>
                    </a:prstGeom>
                    <a:ln>
                      <a:noFill/>
                    </a:ln>
                  </pic:spPr>
                </pic:pic>
              </a:graphicData>
            </a:graphic>
          </wp:inline>
        </w:drawing>
      </w:r>
    </w:p>
    <w:p>
      <w:pPr>
        <w:jc w:val="left"/>
      </w:pPr>
      <w:r>
        <w:rPr>
          <w:rFonts w:hint="eastAsia"/>
        </w:rPr>
        <w:t xml:space="preserve"> </w:t>
      </w:r>
      <w:r>
        <w:t xml:space="preserve">        </w:t>
      </w:r>
      <w:r>
        <w:rPr>
          <w:rFonts w:hint="eastAsia"/>
        </w:rPr>
        <w:t>图1</w:t>
      </w:r>
      <w:r>
        <w:t xml:space="preserve">                    </w:t>
      </w:r>
      <w:r>
        <w:rPr>
          <w:rFonts w:hint="eastAsia"/>
        </w:rPr>
        <w:t>图2</w:t>
      </w:r>
      <w:r>
        <w:t xml:space="preserve">                     </w:t>
      </w:r>
      <w:r>
        <w:rPr>
          <w:rFonts w:hint="eastAsia"/>
        </w:rPr>
        <w:t>图3</w:t>
      </w:r>
    </w:p>
    <w:p>
      <w:pPr>
        <w:ind w:firstLine="480" w:firstLineChars="200"/>
      </w:pPr>
    </w:p>
    <w:p>
      <w:pPr>
        <w:ind w:firstLine="480" w:firstLineChars="200"/>
      </w:pPr>
      <w:r>
        <w:rPr>
          <w:rFonts w:hint="eastAsia"/>
        </w:rPr>
        <w:t>在上图中，输入和输出长度分别表示深度学习算法输入数据的长度和输出数据的时间长度；输入区域数量表示深度学习算法邻近区域的个数。（这里输入长度单位值在设置为5分钟，输入长度12即为5*12min=60min，输入区域为预测区域的邻近区域个数，例如输入区域数量2为预测子区域的邻近区域个数输入值为2，这与基于空间注意力机制是对应的）</w:t>
      </w:r>
    </w:p>
    <w:p>
      <w:pPr>
        <w:ind w:firstLine="480" w:firstLineChars="200"/>
      </w:pPr>
      <w:r>
        <w:rPr>
          <w:rFonts w:hint="eastAsia"/>
        </w:rPr>
        <w:t>从图1中可以看出，随着输入长度的增加，双注意力机制算法预测精度逐渐提高。当输入长度为96时，预测精度最高，即MAE=8.33。同时，相比于LSTM、Seq2Seq和TAtt，双注意力机制算法分别平均提高预测精度约31.2%、27.1%和25.1%。</w:t>
      </w:r>
    </w:p>
    <w:p>
      <w:pPr>
        <w:ind w:firstLine="480" w:firstLineChars="200"/>
      </w:pPr>
      <w:r>
        <w:rPr>
          <w:rFonts w:hint="eastAsia"/>
        </w:rPr>
        <w:t>图2结果表明，随着输出长度的增加，双注意力机制算法与TAtt性能都比较稳定。同时，双注意力机制算法的预测精度比 Seq2Seq 和 TAtt 分别平均提高 55.5%和 13.5%。</w:t>
      </w:r>
    </w:p>
    <w:p>
      <w:pPr>
        <w:ind w:firstLine="480" w:firstLineChars="200"/>
      </w:pPr>
      <w:r>
        <w:rPr>
          <w:rFonts w:hint="eastAsia"/>
        </w:rPr>
        <w:t>图3是因为由于双注意力机制算法采用时空双注意力机制，因此评估邻近区域输入数量对算法的影响。我们可以看出，随着输入区域数量的增加，双注意力机制算法的预测精度逐步提高。当输入的邻近区域数量为10时，预测误差可以达到MAE=10.02。并且，不同邻近区域的加入对预测结果的影响不相同，主要原因如下：对于目标区域的预测，加入部分相关性较强的邻近区域可提高它的预测性能；反之，加入相关性弱的区域则会给模型学习带来更多的噪声，从而降低预测精度。</w:t>
      </w:r>
    </w:p>
    <w:p/>
    <w:p>
      <w:pPr>
        <w:rPr>
          <w:b/>
        </w:rPr>
      </w:pPr>
      <w:r>
        <w:rPr>
          <w:rFonts w:hint="eastAsia"/>
          <w:b/>
        </w:rPr>
        <w:t>3</w:t>
      </w:r>
      <w:r>
        <w:rPr>
          <w:b/>
        </w:rPr>
        <w:t xml:space="preserve">.3 </w:t>
      </w:r>
      <w:r>
        <w:rPr>
          <w:rFonts w:hint="eastAsia"/>
          <w:b/>
        </w:rPr>
        <w:t>案例拓展</w:t>
      </w:r>
    </w:p>
    <w:p>
      <w:pPr>
        <w:ind w:firstLine="480" w:firstLineChars="200"/>
      </w:pPr>
      <w:r>
        <w:rPr>
          <w:rFonts w:hint="eastAsia"/>
        </w:rPr>
        <w:t>（1）</w:t>
      </w:r>
      <w:bookmarkStart w:id="4" w:name="_Hlk92033018"/>
      <w:r>
        <w:rPr>
          <w:rFonts w:hint="eastAsia"/>
        </w:rPr>
        <w:t>系统实现： 本案例仅仅是停留在数据与算法层面，进一步可以基于该预测算法对预测城市实现原型系统，根据城市出租车的实时GPS数据与载客数据，将预测的载客收益进行实时显示，以便于出租车公司进行调控以提高收益。</w:t>
      </w:r>
      <w:bookmarkEnd w:id="4"/>
    </w:p>
    <w:p>
      <w:pPr>
        <w:widowControl/>
        <w:ind w:firstLine="480" w:firstLineChars="200"/>
        <w:jc w:val="left"/>
        <w:rPr>
          <w:bCs/>
        </w:rPr>
      </w:pPr>
      <w:r>
        <w:rPr>
          <w:rFonts w:hint="eastAsia"/>
        </w:rPr>
        <w:t>（2）</w:t>
      </w:r>
      <w:r>
        <w:rPr>
          <w:rFonts w:hint="eastAsia"/>
          <w:bCs/>
        </w:rPr>
        <w:t>对任务的进一步拓展：考虑对算法进一步拓展，基于算法的载客收益预测结果，实现出租车资源的实时最优分配，以提高交通效率，并可进行高效的智联网感知任务。当然，最优分配问题往往是一种NP-hard 问题，具有指数级时间复杂度，因此需要设计具备可接受时间复杂度的算法寻找较优的分配方案。</w:t>
      </w:r>
    </w:p>
    <w:p>
      <w:pPr>
        <w:ind w:firstLine="480" w:firstLineChars="200"/>
      </w:pPr>
    </w:p>
    <w:p>
      <w:pPr>
        <w:pStyle w:val="3"/>
        <w:spacing w:before="156" w:after="156"/>
      </w:pPr>
      <w:r>
        <w:rPr>
          <w:rFonts w:hint="eastAsia"/>
        </w:rPr>
        <w:t>4</w:t>
      </w:r>
      <w:r>
        <w:t xml:space="preserve"> </w:t>
      </w:r>
      <w:r>
        <w:rPr>
          <w:rFonts w:hint="eastAsia"/>
        </w:rPr>
        <w:t>小结</w:t>
      </w:r>
    </w:p>
    <w:p>
      <w:pPr>
        <w:ind w:firstLine="480" w:firstLineChars="200"/>
      </w:pPr>
      <w:r>
        <w:rPr>
          <w:rFonts w:hint="eastAsia"/>
        </w:rPr>
        <w:t>该案例的选取智能交通中的出租车的载客收益预测作为主要问题，使用重庆市出租车轨迹数据，结合数据挖掘、深度学习的相关方法，进行出租车的载客收益预测。主要内容包括原始数据集的预处理，历史载客收益的计算，以及使用多种深度学习算法进行预测。该案例主题新颖，结合了智能交通的现实需求与大数据分析与挖掘的多种理论与技术，可以充分增强学生的实践能力与理论基础。另外，本案例的内容仅为指导性的过程，在实际教学中，可保持基本研究内容不变，鼓励学生引入其它的数据预处理、数据挖掘、机器学习或深度学习方法完成任务，</w:t>
      </w:r>
      <w:r>
        <w:rPr>
          <w:rFonts w:hint="eastAsia"/>
          <w:lang w:eastAsia="zh-CN"/>
        </w:rPr>
        <w:t>使用其他</w:t>
      </w:r>
      <w:r>
        <w:rPr>
          <w:rFonts w:hint="eastAsia"/>
        </w:rPr>
        <w:t>公开数据集进行实验研究，并考虑针对实际应用的进一步拓展。</w:t>
      </w:r>
    </w:p>
    <w:p>
      <w:pPr>
        <w:pStyle w:val="3"/>
        <w:spacing w:before="156" w:after="156"/>
      </w:pPr>
      <w:r>
        <w:rPr>
          <w:rFonts w:hint="eastAsia"/>
        </w:rPr>
        <w:t>附录</w:t>
      </w:r>
    </w:p>
    <w:p>
      <w:bookmarkStart w:id="5" w:name="_Hlk92033732"/>
      <w:r>
        <w:rPr>
          <w:rFonts w:hint="eastAsia"/>
        </w:rPr>
        <w:t>1</w:t>
      </w:r>
      <w:r>
        <w:t xml:space="preserve">. </w:t>
      </w:r>
      <w:r>
        <w:rPr>
          <w:rFonts w:hint="eastAsia"/>
        </w:rPr>
        <w:t>本案例提供配套的PPT、视频、数据集与代码等，发布于Github，链接为：</w:t>
      </w:r>
      <w:r>
        <w:t>https://github.com/Wanghui-Huang/CQU_bigdata</w:t>
      </w:r>
      <w:r>
        <w:rPr>
          <w:rFonts w:hint="eastAsia"/>
        </w:rPr>
        <w:t>。</w:t>
      </w:r>
    </w:p>
    <w:p>
      <w:r>
        <w:rPr>
          <w:rFonts w:hint="eastAsia"/>
        </w:rPr>
        <w:t>2.</w:t>
      </w:r>
      <w:r>
        <w:t xml:space="preserve"> </w:t>
      </w:r>
      <w:r>
        <w:rPr>
          <w:rFonts w:hint="eastAsia"/>
        </w:rPr>
        <w:t>本案例涉及到数据预处理以及多种机器学习算法，建议使用python语言进行编写，推荐的工具包有p</w:t>
      </w:r>
      <w:r>
        <w:t>andas</w:t>
      </w:r>
      <w:r>
        <w:rPr>
          <w:rFonts w:hint="eastAsia"/>
        </w:rPr>
        <w:t>（数据读取与预处理库），Keras与TensorFlow（深度学习算法库），</w:t>
      </w:r>
      <w:r>
        <w:t>matplotlib</w:t>
      </w:r>
      <w:r>
        <w:rPr>
          <w:rFonts w:hint="eastAsia"/>
        </w:rPr>
        <w:t>（可视化绘图库）。</w:t>
      </w:r>
    </w:p>
    <w:p>
      <w:r>
        <w:rPr>
          <w:rFonts w:hint="eastAsia"/>
        </w:rPr>
        <w:t>3</w:t>
      </w:r>
      <w:r>
        <w:t xml:space="preserve">. </w:t>
      </w:r>
      <w:r>
        <w:rPr>
          <w:rFonts w:hint="eastAsia"/>
        </w:rPr>
        <w:t>由于数据版权原因，本案例仅提供重庆出租车轨迹数据集的部分示例数据。出于教学与实践需要，本案例给出以下公开出租车轨迹数据集，以供学生选择使用：</w:t>
      </w:r>
    </w:p>
    <w:p>
      <w:r>
        <w:rPr>
          <w:rFonts w:hint="eastAsia"/>
        </w:rPr>
        <w:t>（1）T</w:t>
      </w:r>
      <w:r>
        <w:t>-Drive</w:t>
      </w:r>
      <w:r>
        <w:rPr>
          <w:rFonts w:hint="eastAsia"/>
        </w:rPr>
        <w:t>，包含北京市2008年02月02日至02月08日共一周时间内10357辆出租车的轨迹数据，由微软提供，下载链接：</w:t>
      </w:r>
      <w:r>
        <w:t>https://www.microsoft.com/en-us/research/publication/t-drive-trajectory-data-sample</w:t>
      </w:r>
      <w:r>
        <w:rPr>
          <w:rFonts w:hint="eastAsia"/>
          <w:lang w:eastAsia="zh-CN"/>
        </w:rPr>
        <w:t>/</w:t>
      </w:r>
    </w:p>
    <w:p>
      <w:r>
        <w:rPr>
          <w:rFonts w:hint="eastAsia"/>
        </w:rPr>
        <w:t>（2）</w:t>
      </w:r>
      <w:r>
        <w:t>The epfl/mobility dataset</w:t>
      </w:r>
      <w:r>
        <w:rPr>
          <w:rFonts w:hint="eastAsia"/>
        </w:rPr>
        <w:t>，包含美国旧金山湾区2008年05月17日至2008年06月10日大约500辆出租车的GPS轨迹数据，下载链接：</w:t>
      </w:r>
      <w:r>
        <w:t>http://crawdad.org/epfl/mobility/20090224</w:t>
      </w:r>
      <w:r>
        <w:rPr>
          <w:rFonts w:hint="eastAsia"/>
          <w:lang w:eastAsia="zh-CN"/>
        </w:rPr>
        <w:t>/</w:t>
      </w:r>
    </w:p>
    <w:p>
      <w:r>
        <w:rPr>
          <w:rFonts w:hint="eastAsia"/>
        </w:rPr>
        <w:t>（3）</w:t>
      </w:r>
      <w:r>
        <w:t>Smart City Research Group</w:t>
      </w:r>
      <w:r>
        <w:rPr>
          <w:rFonts w:hint="eastAsia"/>
        </w:rPr>
        <w:t>，包括上海市出租车、公交车数据等，来源于香港科技大学，下载链接：</w:t>
      </w:r>
      <w:r>
        <w:t>https://cse.hkust.edu.hk/scrg</w:t>
      </w:r>
      <w:r>
        <w:rPr>
          <w:rFonts w:hint="eastAsia"/>
          <w:lang w:eastAsia="zh-CN"/>
        </w:rPr>
        <w:t>/</w:t>
      </w:r>
    </w:p>
    <w:p>
      <w:r>
        <w:rPr>
          <w:rFonts w:hint="eastAsia"/>
        </w:rPr>
        <w:t>（4）中华人民共和国交通运输部交通</w:t>
      </w:r>
      <w:r>
        <w:rPr>
          <w:rFonts w:hint="eastAsia"/>
          <w:lang w:eastAsia="zh-CN"/>
        </w:rPr>
        <w:t>指数</w:t>
      </w:r>
      <w:r>
        <w:rPr>
          <w:rFonts w:hint="eastAsia"/>
        </w:rPr>
        <w:t>，中华人民共和国交通运输部下属交通数据分享平台，具有全国多个城市的出租车GPS轨迹数据，平台网址：</w:t>
      </w:r>
      <w:r>
        <w:t>https://www.mot.gov.cn/sjkf</w:t>
      </w:r>
      <w:r>
        <w:rPr>
          <w:rFonts w:hint="eastAsia"/>
          <w:lang w:eastAsia="zh-CN"/>
        </w:rPr>
        <w:t>/</w:t>
      </w:r>
      <w:bookmarkStart w:id="7" w:name="_GoBack"/>
      <w:bookmarkEnd w:id="7"/>
    </w:p>
    <w:bookmarkEnd w:id="5"/>
    <w:p>
      <w:r>
        <w:t xml:space="preserve">4. </w:t>
      </w:r>
      <w:r>
        <w:rPr>
          <w:rFonts w:hint="eastAsia"/>
        </w:rPr>
        <w:t>本案例参考文献如下：</w:t>
      </w:r>
    </w:p>
    <w:p>
      <w:r>
        <w:t>[1] Goodfellow I, Bengio Y, Courville A. Deep learning[M]. MIT press, 2016.</w:t>
      </w:r>
    </w:p>
    <w:p>
      <w:bookmarkStart w:id="6" w:name="_Hlk92033714"/>
      <w:r>
        <w:rPr>
          <w:rFonts w:hint="eastAsia"/>
        </w:rPr>
        <w:t>参考内容：深度学习模型。</w:t>
      </w:r>
      <w:bookmarkEnd w:id="6"/>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134"/>
    <w:rsid w:val="00042C73"/>
    <w:rsid w:val="00080134"/>
    <w:rsid w:val="000948C8"/>
    <w:rsid w:val="000B455C"/>
    <w:rsid w:val="001215E5"/>
    <w:rsid w:val="00122F22"/>
    <w:rsid w:val="001431D7"/>
    <w:rsid w:val="00170D6B"/>
    <w:rsid w:val="001721A0"/>
    <w:rsid w:val="001B2A35"/>
    <w:rsid w:val="002249C7"/>
    <w:rsid w:val="002434AE"/>
    <w:rsid w:val="00245BA4"/>
    <w:rsid w:val="002757DC"/>
    <w:rsid w:val="002C6B9F"/>
    <w:rsid w:val="002E026A"/>
    <w:rsid w:val="002F16AD"/>
    <w:rsid w:val="003069DB"/>
    <w:rsid w:val="00385101"/>
    <w:rsid w:val="00501142"/>
    <w:rsid w:val="005052C6"/>
    <w:rsid w:val="00521CFB"/>
    <w:rsid w:val="005A748B"/>
    <w:rsid w:val="006B6741"/>
    <w:rsid w:val="006D3633"/>
    <w:rsid w:val="006E647D"/>
    <w:rsid w:val="00773034"/>
    <w:rsid w:val="0077601C"/>
    <w:rsid w:val="007828F2"/>
    <w:rsid w:val="007A12AA"/>
    <w:rsid w:val="007F14F0"/>
    <w:rsid w:val="00812440"/>
    <w:rsid w:val="0082594F"/>
    <w:rsid w:val="008329BA"/>
    <w:rsid w:val="008C6F61"/>
    <w:rsid w:val="008D1055"/>
    <w:rsid w:val="0091283B"/>
    <w:rsid w:val="00934DC3"/>
    <w:rsid w:val="0097628F"/>
    <w:rsid w:val="009E403D"/>
    <w:rsid w:val="00AB3A19"/>
    <w:rsid w:val="00AD2C1B"/>
    <w:rsid w:val="00B017A0"/>
    <w:rsid w:val="00B429A5"/>
    <w:rsid w:val="00B430F6"/>
    <w:rsid w:val="00B71AD7"/>
    <w:rsid w:val="00C41C0A"/>
    <w:rsid w:val="00C5799A"/>
    <w:rsid w:val="00C86475"/>
    <w:rsid w:val="00D74595"/>
    <w:rsid w:val="00E3457C"/>
    <w:rsid w:val="00E57F4A"/>
    <w:rsid w:val="00E62564"/>
    <w:rsid w:val="00E76531"/>
    <w:rsid w:val="00EB23C1"/>
    <w:rsid w:val="00EF4CFC"/>
    <w:rsid w:val="00F67D8A"/>
    <w:rsid w:val="00F83EC3"/>
    <w:rsid w:val="00FD0F85"/>
    <w:rsid w:val="01460F74"/>
    <w:rsid w:val="23C60070"/>
    <w:rsid w:val="295752F3"/>
    <w:rsid w:val="29887860"/>
    <w:rsid w:val="34095990"/>
    <w:rsid w:val="4C6D23F2"/>
    <w:rsid w:val="521D391D"/>
    <w:rsid w:val="68212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heme="minorBidi"/>
      <w:kern w:val="2"/>
      <w:sz w:val="24"/>
      <w:szCs w:val="22"/>
      <w:lang w:val="en-US" w:eastAsia="zh-CN" w:bidi="ar-SA"/>
    </w:rPr>
  </w:style>
  <w:style w:type="paragraph" w:styleId="2">
    <w:name w:val="heading 1"/>
    <w:basedOn w:val="1"/>
    <w:next w:val="1"/>
    <w:link w:val="14"/>
    <w:qFormat/>
    <w:uiPriority w:val="9"/>
    <w:pPr>
      <w:keepNext/>
      <w:keepLines/>
      <w:spacing w:line="578" w:lineRule="auto"/>
      <w:jc w:val="center"/>
      <w:outlineLvl w:val="0"/>
    </w:pPr>
    <w:rPr>
      <w:b/>
      <w:bCs/>
      <w:kern w:val="44"/>
      <w:sz w:val="32"/>
      <w:szCs w:val="44"/>
    </w:rPr>
  </w:style>
  <w:style w:type="paragraph" w:styleId="3">
    <w:name w:val="heading 2"/>
    <w:basedOn w:val="1"/>
    <w:next w:val="1"/>
    <w:link w:val="16"/>
    <w:unhideWhenUsed/>
    <w:qFormat/>
    <w:uiPriority w:val="9"/>
    <w:pPr>
      <w:keepNext/>
      <w:keepLines/>
      <w:spacing w:before="50" w:beforeLines="50" w:after="50" w:afterLines="50" w:line="415" w:lineRule="auto"/>
      <w:outlineLvl w:val="1"/>
    </w:pPr>
    <w:rPr>
      <w:rFonts w:cstheme="majorBidi"/>
      <w:b/>
      <w:bCs/>
      <w:szCs w:val="32"/>
    </w:rPr>
  </w:style>
  <w:style w:type="paragraph" w:styleId="4">
    <w:name w:val="heading 3"/>
    <w:basedOn w:val="1"/>
    <w:next w:val="1"/>
    <w:link w:val="15"/>
    <w:semiHidden/>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3"/>
    <w:unhideWhenUsed/>
    <w:uiPriority w:val="99"/>
    <w:pPr>
      <w:tabs>
        <w:tab w:val="center" w:pos="4153"/>
        <w:tab w:val="right" w:pos="8306"/>
      </w:tabs>
      <w:snapToGrid w:val="0"/>
      <w:jc w:val="left"/>
    </w:pPr>
    <w:rPr>
      <w:sz w:val="18"/>
      <w:szCs w:val="18"/>
    </w:rPr>
  </w:style>
  <w:style w:type="paragraph" w:styleId="6">
    <w:name w:val="header"/>
    <w:basedOn w:val="1"/>
    <w:link w:val="12"/>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semiHidden/>
    <w:unhideWhenUsed/>
    <w:uiPriority w:val="99"/>
    <w:pPr>
      <w:widowControl/>
      <w:spacing w:before="100" w:beforeAutospacing="1" w:after="100" w:afterAutospacing="1" w:line="240" w:lineRule="auto"/>
      <w:jc w:val="left"/>
    </w:pPr>
    <w:rPr>
      <w:rFonts w:ascii="宋体" w:hAnsi="宋体" w:cs="宋体"/>
      <w:kern w:val="0"/>
      <w:szCs w:val="24"/>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qFormat/>
    <w:uiPriority w:val="99"/>
    <w:rPr>
      <w:color w:val="0000FF"/>
      <w:u w:val="single"/>
    </w:rPr>
  </w:style>
  <w:style w:type="character" w:customStyle="1" w:styleId="12">
    <w:name w:val="页眉 字符"/>
    <w:basedOn w:val="10"/>
    <w:link w:val="6"/>
    <w:qFormat/>
    <w:uiPriority w:val="99"/>
    <w:rPr>
      <w:sz w:val="18"/>
      <w:szCs w:val="18"/>
    </w:rPr>
  </w:style>
  <w:style w:type="character" w:customStyle="1" w:styleId="13">
    <w:name w:val="页脚 字符"/>
    <w:basedOn w:val="10"/>
    <w:link w:val="5"/>
    <w:qFormat/>
    <w:uiPriority w:val="99"/>
    <w:rPr>
      <w:sz w:val="18"/>
      <w:szCs w:val="18"/>
    </w:rPr>
  </w:style>
  <w:style w:type="character" w:customStyle="1" w:styleId="14">
    <w:name w:val="标题 1 字符"/>
    <w:basedOn w:val="10"/>
    <w:link w:val="2"/>
    <w:uiPriority w:val="9"/>
    <w:rPr>
      <w:rFonts w:ascii="Times New Roman" w:hAnsi="Times New Roman" w:eastAsia="宋体"/>
      <w:b/>
      <w:bCs/>
      <w:kern w:val="44"/>
      <w:sz w:val="32"/>
      <w:szCs w:val="44"/>
    </w:rPr>
  </w:style>
  <w:style w:type="character" w:customStyle="1" w:styleId="15">
    <w:name w:val="标题 3 字符"/>
    <w:basedOn w:val="10"/>
    <w:link w:val="4"/>
    <w:semiHidden/>
    <w:qFormat/>
    <w:uiPriority w:val="9"/>
    <w:rPr>
      <w:rFonts w:ascii="Times New Roman" w:hAnsi="Times New Roman" w:eastAsia="宋体"/>
      <w:b/>
      <w:bCs/>
      <w:sz w:val="32"/>
      <w:szCs w:val="32"/>
    </w:rPr>
  </w:style>
  <w:style w:type="character" w:customStyle="1" w:styleId="16">
    <w:name w:val="标题 2 字符"/>
    <w:basedOn w:val="10"/>
    <w:link w:val="3"/>
    <w:qFormat/>
    <w:uiPriority w:val="9"/>
    <w:rPr>
      <w:rFonts w:ascii="Times New Roman" w:hAnsi="Times New Roman" w:eastAsia="宋体" w:cstheme="majorBidi"/>
      <w:b/>
      <w:bCs/>
      <w:sz w:val="24"/>
      <w:szCs w:val="32"/>
    </w:rPr>
  </w:style>
  <w:style w:type="paragraph" w:styleId="17">
    <w:name w:val="List Paragraph"/>
    <w:basedOn w:val="1"/>
    <w:qFormat/>
    <w:uiPriority w:val="34"/>
    <w:pPr>
      <w:ind w:firstLine="420" w:firstLineChars="200"/>
    </w:pPr>
    <w:rPr>
      <w:rFonts w:asciiTheme="minorHAnsi" w:hAnsiTheme="minorHAnsi" w:eastAsiaTheme="minorEastAsia"/>
    </w:rPr>
  </w:style>
  <w:style w:type="table" w:customStyle="1" w:styleId="18">
    <w:name w:val="无格式表格 51"/>
    <w:basedOn w:val="8"/>
    <w:qFormat/>
    <w:uiPriority w:val="45"/>
    <w:rPr>
      <w:rFonts w:ascii="Times New Roman" w:hAnsi="Times New Roman" w:eastAsia="宋体" w:cs="Times New Roman"/>
    </w:rPr>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19">
    <w:name w:val="网格型1"/>
    <w:basedOn w:val="8"/>
    <w:qFormat/>
    <w:uiPriority w:val="39"/>
    <w:rPr>
      <w:rFonts w:ascii="等线" w:hAnsi="等线" w:eastAsia="等线" w:cs="Times New Roman"/>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2.xml"/><Relationship Id="rId34" Type="http://schemas.openxmlformats.org/officeDocument/2006/relationships/customXml" Target="../customXml/item1.xml"/><Relationship Id="rId33" Type="http://schemas.openxmlformats.org/officeDocument/2006/relationships/image" Target="media/image18.png"/><Relationship Id="rId32" Type="http://schemas.openxmlformats.org/officeDocument/2006/relationships/image" Target="media/image17.png"/><Relationship Id="rId31" Type="http://schemas.openxmlformats.org/officeDocument/2006/relationships/image" Target="media/image16.wmf"/><Relationship Id="rId30" Type="http://schemas.openxmlformats.org/officeDocument/2006/relationships/oleObject" Target="embeddings/oleObject10.bin"/><Relationship Id="rId3" Type="http://schemas.openxmlformats.org/officeDocument/2006/relationships/footnotes" Target="footnotes.xml"/><Relationship Id="rId29" Type="http://schemas.openxmlformats.org/officeDocument/2006/relationships/image" Target="media/image15.wmf"/><Relationship Id="rId28" Type="http://schemas.openxmlformats.org/officeDocument/2006/relationships/oleObject" Target="embeddings/oleObject9.bin"/><Relationship Id="rId27" Type="http://schemas.openxmlformats.org/officeDocument/2006/relationships/image" Target="media/image14.png"/><Relationship Id="rId26" Type="http://schemas.openxmlformats.org/officeDocument/2006/relationships/image" Target="media/image13.wmf"/><Relationship Id="rId25" Type="http://schemas.openxmlformats.org/officeDocument/2006/relationships/oleObject" Target="embeddings/oleObject8.bin"/><Relationship Id="rId24" Type="http://schemas.openxmlformats.org/officeDocument/2006/relationships/image" Target="media/image12.png"/><Relationship Id="rId23" Type="http://schemas.openxmlformats.org/officeDocument/2006/relationships/image" Target="media/image11.wmf"/><Relationship Id="rId22" Type="http://schemas.openxmlformats.org/officeDocument/2006/relationships/oleObject" Target="embeddings/oleObject7.bin"/><Relationship Id="rId21" Type="http://schemas.openxmlformats.org/officeDocument/2006/relationships/image" Target="media/image10.png"/><Relationship Id="rId20" Type="http://schemas.openxmlformats.org/officeDocument/2006/relationships/oleObject" Target="embeddings/oleObject6.bin"/><Relationship Id="rId2" Type="http://schemas.openxmlformats.org/officeDocument/2006/relationships/settings" Target="settings.xml"/><Relationship Id="rId19" Type="http://schemas.openxmlformats.org/officeDocument/2006/relationships/image" Target="media/image9.wmf"/><Relationship Id="rId18" Type="http://schemas.openxmlformats.org/officeDocument/2006/relationships/oleObject" Target="embeddings/oleObject5.bin"/><Relationship Id="rId17" Type="http://schemas.openxmlformats.org/officeDocument/2006/relationships/image" Target="media/image8.wmf"/><Relationship Id="rId16" Type="http://schemas.openxmlformats.org/officeDocument/2006/relationships/oleObject" Target="embeddings/oleObject4.bin"/><Relationship Id="rId15" Type="http://schemas.openxmlformats.org/officeDocument/2006/relationships/image" Target="media/image7.png"/><Relationship Id="rId14" Type="http://schemas.openxmlformats.org/officeDocument/2006/relationships/image" Target="media/image6.wmf"/><Relationship Id="rId13" Type="http://schemas.openxmlformats.org/officeDocument/2006/relationships/oleObject" Target="embeddings/oleObject3.bin"/><Relationship Id="rId12" Type="http://schemas.openxmlformats.org/officeDocument/2006/relationships/image" Target="media/image5.wmf"/><Relationship Id="rId11" Type="http://schemas.openxmlformats.org/officeDocument/2006/relationships/oleObject" Target="embeddings/oleObject2.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212671A-E48A-4FA0-8A9F-097F066E9DFE}">
  <ds:schemaRefs/>
</ds:datastoreItem>
</file>

<file path=docProps/app.xml><?xml version="1.0" encoding="utf-8"?>
<Properties xmlns="http://schemas.openxmlformats.org/officeDocument/2006/extended-properties" xmlns:vt="http://schemas.openxmlformats.org/officeDocument/2006/docPropsVTypes">
  <Template>Normal.dotm</Template>
  <Pages>1</Pages>
  <Words>866</Words>
  <Characters>4939</Characters>
  <Lines>41</Lines>
  <Paragraphs>11</Paragraphs>
  <TotalTime>6088</TotalTime>
  <ScaleCrop>false</ScaleCrop>
  <LinksUpToDate>false</LinksUpToDate>
  <CharactersWithSpaces>5794</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2021-12-22T06:07:00Z</dcterms:created>
  <dc:creator>peppa</dc:creator>
  <cp:lastModifiedBy>李白不用立白、</cp:lastModifiedBy>
  <dcterms:modified xsi:type="dcterms:W3CDTF">2022-01-04T11:28:05Z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2BF8E23D800F4C73866CE229588FEF76</vt:lpwstr>
  </property>
</Properties>
</file>