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智能交通背景下出租车载客收益预测案例教学指导手册</w:t>
      </w:r>
    </w:p>
    <w:p/>
    <w:p>
      <w:r>
        <w:rPr>
          <w:rFonts w:hint="eastAsia"/>
          <w:b/>
          <w:bCs/>
        </w:rPr>
        <w:t>教学适用的课程：</w:t>
      </w:r>
      <w:r>
        <w:rPr>
          <w:rFonts w:hint="eastAsia"/>
        </w:rPr>
        <w:t>《大数据架构与技术》</w:t>
      </w:r>
    </w:p>
    <w:p>
      <w:pPr>
        <w:rPr>
          <w:b/>
          <w:bCs/>
        </w:rPr>
      </w:pPr>
      <w:r>
        <w:rPr>
          <w:rFonts w:hint="eastAsia"/>
          <w:b/>
          <w:bCs/>
        </w:rPr>
        <w:t>教学适用的专业：</w:t>
      </w:r>
      <w:r>
        <w:rPr>
          <w:rFonts w:hint="eastAsia"/>
        </w:rPr>
        <w:t>电子信息</w:t>
      </w:r>
    </w:p>
    <w:p>
      <w:r>
        <w:rPr>
          <w:rFonts w:hint="eastAsia"/>
          <w:b/>
          <w:bCs/>
        </w:rPr>
        <w:t>教学目的与用途：</w:t>
      </w:r>
      <w:r>
        <w:rPr>
          <w:rFonts w:hint="eastAsia"/>
        </w:rPr>
        <w:t>学习实际智能交通场景下的大数据应用；掌握大数据预处理、数据分析相关知识点；掌握大数据处理与分析的基本流程。</w:t>
      </w:r>
    </w:p>
    <w:p>
      <w:pPr>
        <w:rPr>
          <w:b/>
          <w:bCs/>
        </w:rPr>
      </w:pPr>
      <w:r>
        <w:rPr>
          <w:rFonts w:hint="eastAsia"/>
          <w:b/>
          <w:bCs/>
        </w:rPr>
        <w:t>教学内容</w:t>
      </w:r>
      <w:r>
        <w:rPr>
          <w:rFonts w:hint="eastAsia"/>
          <w:b/>
          <w:bCs/>
          <w:lang w:eastAsia="zh-CN"/>
        </w:rPr>
        <w:t>：</w:t>
      </w:r>
    </w:p>
    <w:p>
      <w:r>
        <w:rPr>
          <w:rFonts w:hint="eastAsia"/>
        </w:rPr>
        <w:t>（1）理论依据：本案例基于大数据技术对智能交通中出租车载客收益预测。案例整合了多种的数据挖掘与深度学习方法，进行数据预处理与基于多种深度学习算法的出租车收益预测，可实现大数据依托的智能交通决策，促进传统交通行业的智能化改进。</w:t>
      </w:r>
    </w:p>
    <w:p>
      <w:r>
        <w:rPr>
          <w:rFonts w:hint="eastAsia"/>
        </w:rPr>
        <w:t>（2）涉及知识点：数据预处理、时序数据预测、注意力机制、时间注意力、空间注意力、长短期记忆网络、Seq2Seq模型。</w:t>
      </w:r>
    </w:p>
    <w:p>
      <w:r>
        <w:rPr>
          <w:rFonts w:hint="eastAsia"/>
        </w:rPr>
        <w:t>（3）分析路径：首先介绍智能交通与智联网汽车感知的背景，并进行数据集展示，介绍相关字段含义。对数据集进行预处理，关键点在于如何将出租车的轨迹信息与载客信息转化为历史载客收益图。然后基于处理后的数据进行出租车的载客收益预测，主要介绍基于双注意力机制的RNN算法，使学生充分理解时间注意力与空间注意力的含义与作用，另外了解其他经典深度学习算法，包括LSTM、Seq</w:t>
      </w:r>
      <w:r>
        <w:t>2</w:t>
      </w:r>
      <w:r>
        <w:rPr>
          <w:rFonts w:hint="eastAsia"/>
        </w:rPr>
        <w:t>Seq、以及TAtt。最后，使用MAE指标作为评估标准，对多个算法进行训练与测试，挑选最佳算法，并可进行进一步地调优。</w:t>
      </w:r>
    </w:p>
    <w:p/>
    <w:p>
      <w:pPr>
        <w:rPr>
          <w:b/>
          <w:bCs/>
        </w:rPr>
      </w:pPr>
      <w:r>
        <w:rPr>
          <w:b/>
          <w:bCs/>
        </w:rPr>
        <w:t>启发思考题</w:t>
      </w:r>
      <w:r>
        <w:rPr>
          <w:rFonts w:hint="eastAsia"/>
          <w:b/>
          <w:bCs/>
          <w:lang w:eastAsia="zh-CN"/>
        </w:rPr>
        <w:t>：</w:t>
      </w:r>
    </w:p>
    <w:p>
      <w:pPr>
        <w:widowControl/>
        <w:jc w:val="left"/>
      </w:pPr>
      <w:r>
        <w:rPr>
          <w:rFonts w:hint="eastAsia"/>
        </w:rPr>
        <w:t>(</w:t>
      </w:r>
      <w:r>
        <w:t>1)</w:t>
      </w:r>
      <w:r>
        <w:rPr>
          <w:rFonts w:hint="eastAsia"/>
        </w:rPr>
        <w:t xml:space="preserve"> 系统实现：本案例仅仅是停留在数据与算法层面，进一步可以基于该预测算法对预测城市实现原型系统，根据城市出租车的实时GPS数据与载客数据，将预测的载客收益进行实时显示，以便于出租车公司进行调控以提高收益。</w:t>
      </w:r>
    </w:p>
    <w:p>
      <w:pPr>
        <w:widowControl/>
        <w:jc w:val="left"/>
        <w:rPr>
          <w:bCs/>
        </w:rPr>
      </w:pPr>
      <w:r>
        <w:rPr>
          <w:rFonts w:hint="eastAsia"/>
          <w:bCs/>
        </w:rPr>
        <w:t>(</w:t>
      </w:r>
      <w:r>
        <w:rPr>
          <w:bCs/>
        </w:rPr>
        <w:t>2)</w:t>
      </w:r>
      <w:r>
        <w:rPr>
          <w:rFonts w:hint="eastAsia"/>
        </w:rPr>
        <w:t xml:space="preserve"> </w:t>
      </w:r>
      <w:bookmarkStart w:id="0" w:name="_Hlk92033132"/>
      <w:r>
        <w:rPr>
          <w:rFonts w:hint="eastAsia"/>
          <w:bCs/>
        </w:rPr>
        <w:t>对任务的进一步拓展：考虑对算法进一步拓展，基于算法的载客收益预测结果，实现出租车资源的实时最优分配，以提高交通效率，并可进行高效的智联网感知任务。当然，最优分配问题往往是一种NP-hard 问题，具有指数级时间复杂度，因此需要设计具备可接受时间复杂度的算法寻找较优的分配方案。</w:t>
      </w:r>
    </w:p>
    <w:bookmarkEnd w:id="0"/>
    <w:p>
      <w:pPr>
        <w:widowControl/>
        <w:jc w:val="left"/>
        <w:rPr>
          <w:b/>
          <w:bCs/>
        </w:rPr>
      </w:pPr>
    </w:p>
    <w:p>
      <w:pPr>
        <w:widowControl/>
        <w:jc w:val="left"/>
      </w:pPr>
      <w:r>
        <w:rPr>
          <w:rFonts w:hint="eastAsia"/>
          <w:b/>
          <w:bCs/>
        </w:rPr>
        <w:t>建议课堂计划</w:t>
      </w:r>
      <w:r>
        <w:rPr>
          <w:rFonts w:hint="eastAsia" w:ascii="仿宋" w:hAnsi="仿宋" w:eastAsia="仿宋" w:cs="宋体"/>
          <w:b/>
          <w:color w:val="000000"/>
          <w:kern w:val="0"/>
          <w:sz w:val="32"/>
          <w:szCs w:val="32"/>
        </w:rPr>
        <w:t>：</w:t>
      </w:r>
    </w:p>
    <w:p>
      <w:pPr>
        <w:widowControl/>
        <w:numPr>
          <w:ilvl w:val="0"/>
          <w:numId w:val="1"/>
        </w:numPr>
        <w:jc w:val="left"/>
      </w:pPr>
      <w:r>
        <w:rPr>
          <w:rFonts w:hint="eastAsia"/>
        </w:rPr>
        <w:t>时间安排：3课时</w:t>
      </w:r>
    </w:p>
    <w:p>
      <w:pPr>
        <w:widowControl/>
        <w:numPr>
          <w:ilvl w:val="0"/>
          <w:numId w:val="1"/>
        </w:numPr>
        <w:jc w:val="left"/>
      </w:pPr>
      <w:r>
        <w:rPr>
          <w:rFonts w:hint="eastAsia"/>
        </w:rPr>
        <w:t>学生学习准备：了解常见的数据预处理、时序数据预测、深度学习算法的理论知识。</w:t>
      </w:r>
    </w:p>
    <w:p>
      <w:pPr>
        <w:widowControl/>
        <w:numPr>
          <w:ilvl w:val="0"/>
          <w:numId w:val="1"/>
        </w:numPr>
        <w:jc w:val="left"/>
      </w:pPr>
      <w:r>
        <w:rPr>
          <w:rFonts w:hint="eastAsia"/>
        </w:rPr>
        <w:t>分组及讨论内容：分组讨论启发思考题。</w:t>
      </w:r>
    </w:p>
    <w:p>
      <w:pPr>
        <w:widowControl/>
        <w:numPr>
          <w:ilvl w:val="0"/>
          <w:numId w:val="1"/>
        </w:numPr>
        <w:jc w:val="left"/>
      </w:pPr>
      <w:r>
        <w:rPr>
          <w:rFonts w:hint="eastAsia"/>
        </w:rPr>
        <w:t>案例开场白：智能交通是大数据技术的一个重要应用场景。随着智能汽车、辅助/无人驾驶汽车、电动汽车的飞速发展和爆炸式普及，当前汽车集成越来越多的传感器，拥有越来越强大的感知、计算和通信能力。近年来，涌现很多基于智联网汽车感知的实际应用。这节课我们将接触一个大数据在智能交通中的实际应用。</w:t>
      </w:r>
    </w:p>
    <w:p>
      <w:pPr>
        <w:widowControl/>
        <w:numPr>
          <w:ilvl w:val="0"/>
          <w:numId w:val="1"/>
        </w:numPr>
        <w:jc w:val="left"/>
      </w:pPr>
      <w:r>
        <w:rPr>
          <w:rFonts w:hint="eastAsia"/>
        </w:rPr>
        <w:t>结束总结：这节课我们以出租车载客收益预测为例，接触到数据清洗与预处理、时序数据预测、循环神经网络等相关知识，对大数据在智能交通场景中应用有了初步的接触与实践。需要注意的是，课程所学内容是有限的，希望对该领域感兴趣的同学可以自行搜集相关资料，进一步了解大数据在智能交通中的其它应用及相关技术。</w:t>
      </w:r>
    </w:p>
    <w:p>
      <w:pPr>
        <w:widowControl/>
        <w:numPr>
          <w:ilvl w:val="0"/>
          <w:numId w:val="1"/>
        </w:numPr>
        <w:jc w:val="left"/>
      </w:pPr>
      <w:r>
        <w:rPr>
          <w:rFonts w:hint="eastAsia"/>
        </w:rPr>
        <w:t>案例引导建议：在教师简要分析应用场景后，鼓励学生自主考虑如何使用所学知识解决该场景问题。</w:t>
      </w:r>
    </w:p>
    <w:p>
      <w:pPr>
        <w:widowControl/>
        <w:tabs>
          <w:tab w:val="left" w:pos="312"/>
        </w:tabs>
        <w:jc w:val="left"/>
      </w:pPr>
    </w:p>
    <w:p>
      <w:pPr>
        <w:widowControl/>
        <w:spacing w:line="600" w:lineRule="exact"/>
        <w:jc w:val="left"/>
        <w:rPr>
          <w:b/>
          <w:bCs/>
        </w:rPr>
      </w:pPr>
      <w:r>
        <w:rPr>
          <w:rFonts w:hint="eastAsia"/>
          <w:b/>
          <w:bCs/>
        </w:rPr>
        <w:t>参考文献</w:t>
      </w:r>
      <w:r>
        <w:rPr>
          <w:rFonts w:hint="eastAsia"/>
          <w:b/>
          <w:bCs/>
          <w:lang w:eastAsia="zh-CN"/>
        </w:rPr>
        <w:t>：</w:t>
      </w:r>
    </w:p>
    <w:p>
      <w:r>
        <w:t>[1] Goodfellow I, Bengio Y, Courville A. Deep learning[M]. MIT press, 2016.</w:t>
      </w:r>
    </w:p>
    <w:p>
      <w:r>
        <w:rPr>
          <w:rFonts w:hint="eastAsia"/>
        </w:rPr>
        <w:t>参考内容：深度学习模型。</w:t>
      </w:r>
    </w:p>
    <w:p>
      <w:pPr>
        <w:widowControl/>
        <w:spacing w:line="600" w:lineRule="exact"/>
        <w:jc w:val="left"/>
        <w:rPr>
          <w:b/>
          <w:bCs/>
        </w:rPr>
      </w:pPr>
    </w:p>
    <w:p>
      <w:pPr>
        <w:widowControl/>
        <w:spacing w:line="600" w:lineRule="exact"/>
        <w:jc w:val="left"/>
        <w:rPr>
          <w:color w:val="FF0000"/>
        </w:rPr>
      </w:pPr>
      <w:r>
        <w:rPr>
          <w:b/>
          <w:bCs/>
        </w:rPr>
        <w:t>其他教学支持材料：</w:t>
      </w:r>
    </w:p>
    <w:p>
      <w:r>
        <w:rPr>
          <w:rFonts w:hint="eastAsia"/>
        </w:rPr>
        <w:t>1</w:t>
      </w:r>
      <w:r>
        <w:t xml:space="preserve">. </w:t>
      </w:r>
      <w:r>
        <w:rPr>
          <w:rFonts w:hint="eastAsia"/>
        </w:rPr>
        <w:t>本案例提供配套的PPT、视频、数据集与代码等，发布于Github，链接为：</w:t>
      </w:r>
      <w:r>
        <w:t>https://github.com/Wanghui-Huang/CQU_bigdata</w:t>
      </w:r>
      <w:r>
        <w:rPr>
          <w:rFonts w:hint="eastAsia"/>
        </w:rPr>
        <w:t>。</w:t>
      </w:r>
    </w:p>
    <w:p>
      <w:r>
        <w:rPr>
          <w:rFonts w:hint="eastAsia"/>
        </w:rPr>
        <w:t>2.</w:t>
      </w:r>
      <w:r>
        <w:t xml:space="preserve"> </w:t>
      </w:r>
      <w:r>
        <w:rPr>
          <w:rFonts w:hint="eastAsia"/>
        </w:rPr>
        <w:t>本案例涉及到数据预处理以及多种机器学习算法，建议使用python语言进行编写，推荐的工具包有p</w:t>
      </w:r>
      <w:r>
        <w:t>andas</w:t>
      </w:r>
      <w:r>
        <w:rPr>
          <w:rFonts w:hint="eastAsia"/>
        </w:rPr>
        <w:t>（数据读取与预处理库），Keras与TensorFlow（深度学习算法库），</w:t>
      </w:r>
      <w:r>
        <w:t>matplotlib</w:t>
      </w:r>
      <w:r>
        <w:rPr>
          <w:rFonts w:hint="eastAsia"/>
        </w:rPr>
        <w:t>（可视化绘图库）。</w:t>
      </w:r>
    </w:p>
    <w:p>
      <w:r>
        <w:rPr>
          <w:rFonts w:hint="eastAsia"/>
        </w:rPr>
        <w:t>3</w:t>
      </w:r>
      <w:r>
        <w:t xml:space="preserve">. </w:t>
      </w:r>
      <w:r>
        <w:rPr>
          <w:rFonts w:hint="eastAsia"/>
        </w:rPr>
        <w:t>由于数据版权原因，本案例仅提供重庆出租车轨迹数据集的部分示例数据。出于教学与实践需要，本案例给出以下公开出租车轨迹数据集，以供学生选择使用：</w:t>
      </w:r>
    </w:p>
    <w:p>
      <w:r>
        <w:rPr>
          <w:rFonts w:hint="eastAsia"/>
        </w:rPr>
        <w:t>（1）T</w:t>
      </w:r>
      <w:r>
        <w:t>-Drive</w:t>
      </w:r>
      <w:r>
        <w:rPr>
          <w:rFonts w:hint="eastAsia"/>
        </w:rPr>
        <w:t>，包含北京市2008年02月02日至02月08日共一周时间内10357辆出租车的轨迹数据，由微软提供，下载链接：</w:t>
      </w:r>
      <w:r>
        <w:t>https://www.microsoft.com/en-us/research/publication/t-drive-trajectory-data-sample</w:t>
      </w:r>
      <w:r>
        <w:rPr>
          <w:rFonts w:hint="eastAsia"/>
          <w:lang w:eastAsia="zh-CN"/>
        </w:rPr>
        <w:t>/</w:t>
      </w:r>
    </w:p>
    <w:p>
      <w:r>
        <w:rPr>
          <w:rFonts w:hint="eastAsia"/>
        </w:rPr>
        <w:t>（2）</w:t>
      </w:r>
      <w:r>
        <w:t>The epfl/mobility dataset</w:t>
      </w:r>
      <w:r>
        <w:rPr>
          <w:rFonts w:hint="eastAsia"/>
        </w:rPr>
        <w:t>，包含美国旧金山湾区2008年05月17日至2008年06月10日大约500辆出租车的GPS轨迹数据，下载链接：</w:t>
      </w:r>
      <w:r>
        <w:t>http://crawdad.org/epfl/mobility/20090224</w:t>
      </w:r>
      <w:r>
        <w:rPr>
          <w:rFonts w:hint="eastAsia"/>
          <w:lang w:eastAsia="zh-CN"/>
        </w:rPr>
        <w:t>/</w:t>
      </w:r>
    </w:p>
    <w:p>
      <w:r>
        <w:rPr>
          <w:rFonts w:hint="eastAsia"/>
        </w:rPr>
        <w:t>（3）</w:t>
      </w:r>
      <w:r>
        <w:t>Smart City Research Group</w:t>
      </w:r>
      <w:r>
        <w:rPr>
          <w:rFonts w:hint="eastAsia"/>
        </w:rPr>
        <w:t>，包括上海市出租车、公交车数据等，来源于香港科技大学，下载链接：</w:t>
      </w:r>
      <w:r>
        <w:t>https://cse.hkust.edu.hk/scrg</w:t>
      </w:r>
      <w:r>
        <w:rPr>
          <w:rFonts w:hint="eastAsia"/>
          <w:lang w:eastAsia="zh-CN"/>
        </w:rPr>
        <w:t>/</w:t>
      </w:r>
    </w:p>
    <w:p>
      <w:r>
        <w:rPr>
          <w:rFonts w:hint="eastAsia"/>
        </w:rPr>
        <w:t>（4）中华人民共和国交通运输部交通</w:t>
      </w:r>
      <w:r>
        <w:rPr>
          <w:rFonts w:hint="eastAsia"/>
          <w:lang w:eastAsia="zh-CN"/>
        </w:rPr>
        <w:t>指数</w:t>
      </w:r>
      <w:r>
        <w:rPr>
          <w:rFonts w:hint="eastAsia"/>
        </w:rPr>
        <w:t>，中华人民共和国交通运输部下属交通数据分享平台，具有全国多个城市的出租车GPS轨迹数据，平台网址：</w:t>
      </w:r>
      <w:r>
        <w:t>https://www.mot.gov.cn/sjkf</w:t>
      </w:r>
      <w:r>
        <w:rPr>
          <w:rFonts w:hint="eastAsia"/>
          <w:lang w:eastAsia="zh-CN"/>
        </w:rPr>
        <w:t>/</w:t>
      </w:r>
      <w:bookmarkStart w:id="1" w:name="_GoBack"/>
      <w:bookmarkEnd w:id="1"/>
    </w:p>
    <w:p>
      <w:pPr>
        <w:widowControl/>
        <w:spacing w:line="600" w:lineRule="exact"/>
        <w:jc w:val="left"/>
        <w:rPr>
          <w:b/>
          <w:bC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DC176E"/>
    <w:multiLevelType w:val="singleLevel"/>
    <w:tmpl w:val="3FDC176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B131F"/>
    <w:rsid w:val="00106E77"/>
    <w:rsid w:val="001314E9"/>
    <w:rsid w:val="002A7A9B"/>
    <w:rsid w:val="003B3BA0"/>
    <w:rsid w:val="003C6F32"/>
    <w:rsid w:val="004C290A"/>
    <w:rsid w:val="005F7B22"/>
    <w:rsid w:val="00602A86"/>
    <w:rsid w:val="007B3C00"/>
    <w:rsid w:val="00A32F7F"/>
    <w:rsid w:val="00B30070"/>
    <w:rsid w:val="00B46BB2"/>
    <w:rsid w:val="00C4652F"/>
    <w:rsid w:val="00D47DCD"/>
    <w:rsid w:val="00DC70DB"/>
    <w:rsid w:val="00EA60A8"/>
    <w:rsid w:val="019B3631"/>
    <w:rsid w:val="0203379B"/>
    <w:rsid w:val="020E6AD8"/>
    <w:rsid w:val="02EF0CFB"/>
    <w:rsid w:val="042B714A"/>
    <w:rsid w:val="043109BD"/>
    <w:rsid w:val="04B73217"/>
    <w:rsid w:val="0832500B"/>
    <w:rsid w:val="08857578"/>
    <w:rsid w:val="08CD2746"/>
    <w:rsid w:val="091A7E4E"/>
    <w:rsid w:val="099A07CD"/>
    <w:rsid w:val="09CB2742"/>
    <w:rsid w:val="09FC5E0B"/>
    <w:rsid w:val="0A305D6B"/>
    <w:rsid w:val="0A5C7676"/>
    <w:rsid w:val="0A664130"/>
    <w:rsid w:val="0A8C23FF"/>
    <w:rsid w:val="0BBD4838"/>
    <w:rsid w:val="0D316917"/>
    <w:rsid w:val="0D346116"/>
    <w:rsid w:val="0E302325"/>
    <w:rsid w:val="0F4E78AF"/>
    <w:rsid w:val="0F6B131F"/>
    <w:rsid w:val="101A1F18"/>
    <w:rsid w:val="106164CC"/>
    <w:rsid w:val="10FD2C30"/>
    <w:rsid w:val="11000A34"/>
    <w:rsid w:val="119328C6"/>
    <w:rsid w:val="11A32BFD"/>
    <w:rsid w:val="11A42091"/>
    <w:rsid w:val="12383FA4"/>
    <w:rsid w:val="12AC610E"/>
    <w:rsid w:val="12BB4719"/>
    <w:rsid w:val="12DB0E0B"/>
    <w:rsid w:val="13756C12"/>
    <w:rsid w:val="137B2AD9"/>
    <w:rsid w:val="13A540B0"/>
    <w:rsid w:val="149D0E1B"/>
    <w:rsid w:val="15303D7E"/>
    <w:rsid w:val="15590BF3"/>
    <w:rsid w:val="15F41EFD"/>
    <w:rsid w:val="168F3428"/>
    <w:rsid w:val="17591043"/>
    <w:rsid w:val="18654F0A"/>
    <w:rsid w:val="19C7608B"/>
    <w:rsid w:val="19F63197"/>
    <w:rsid w:val="1C3F39CA"/>
    <w:rsid w:val="1CFF6AA9"/>
    <w:rsid w:val="1D2147FC"/>
    <w:rsid w:val="1D79207C"/>
    <w:rsid w:val="1F222992"/>
    <w:rsid w:val="1F7E6617"/>
    <w:rsid w:val="1FB75DEE"/>
    <w:rsid w:val="201E6FC3"/>
    <w:rsid w:val="208E488C"/>
    <w:rsid w:val="212F7D7B"/>
    <w:rsid w:val="22535C5C"/>
    <w:rsid w:val="23417949"/>
    <w:rsid w:val="23C67966"/>
    <w:rsid w:val="24873859"/>
    <w:rsid w:val="25BF1C4B"/>
    <w:rsid w:val="26802B61"/>
    <w:rsid w:val="275D0E98"/>
    <w:rsid w:val="278C526B"/>
    <w:rsid w:val="27BA2942"/>
    <w:rsid w:val="28E04771"/>
    <w:rsid w:val="291461DD"/>
    <w:rsid w:val="2BCF6555"/>
    <w:rsid w:val="2C3072FA"/>
    <w:rsid w:val="2C9E4972"/>
    <w:rsid w:val="2CAC2F7C"/>
    <w:rsid w:val="2CFB081F"/>
    <w:rsid w:val="2EE3501E"/>
    <w:rsid w:val="2F750BAF"/>
    <w:rsid w:val="301B2C2C"/>
    <w:rsid w:val="305D2C02"/>
    <w:rsid w:val="31243D32"/>
    <w:rsid w:val="31786C76"/>
    <w:rsid w:val="31D6175D"/>
    <w:rsid w:val="330C29E3"/>
    <w:rsid w:val="33365A84"/>
    <w:rsid w:val="3717748F"/>
    <w:rsid w:val="386E4DC7"/>
    <w:rsid w:val="398E712C"/>
    <w:rsid w:val="39C3314D"/>
    <w:rsid w:val="3A0F41FA"/>
    <w:rsid w:val="3ACA3114"/>
    <w:rsid w:val="3B046B78"/>
    <w:rsid w:val="3C547124"/>
    <w:rsid w:val="3CEE2AEC"/>
    <w:rsid w:val="3D3D4B4B"/>
    <w:rsid w:val="3DC75184"/>
    <w:rsid w:val="3E5325C6"/>
    <w:rsid w:val="3E6A3919"/>
    <w:rsid w:val="401C03BA"/>
    <w:rsid w:val="40562EB0"/>
    <w:rsid w:val="4260502C"/>
    <w:rsid w:val="431B6011"/>
    <w:rsid w:val="435E5108"/>
    <w:rsid w:val="44824934"/>
    <w:rsid w:val="46CB3B5D"/>
    <w:rsid w:val="46E77526"/>
    <w:rsid w:val="476A6C3A"/>
    <w:rsid w:val="47D613CB"/>
    <w:rsid w:val="4A884BF4"/>
    <w:rsid w:val="4AEB2DD8"/>
    <w:rsid w:val="4B661F08"/>
    <w:rsid w:val="4BD351E5"/>
    <w:rsid w:val="4CFE6909"/>
    <w:rsid w:val="4D6953E4"/>
    <w:rsid w:val="4DD77222"/>
    <w:rsid w:val="4DDE26C9"/>
    <w:rsid w:val="4DDF7D83"/>
    <w:rsid w:val="4E852468"/>
    <w:rsid w:val="4F2953A8"/>
    <w:rsid w:val="517F1B99"/>
    <w:rsid w:val="51BE095C"/>
    <w:rsid w:val="537942B1"/>
    <w:rsid w:val="53952E53"/>
    <w:rsid w:val="53AD564D"/>
    <w:rsid w:val="546C3B80"/>
    <w:rsid w:val="54EA2D48"/>
    <w:rsid w:val="54FA1ED7"/>
    <w:rsid w:val="55286A78"/>
    <w:rsid w:val="55DD5212"/>
    <w:rsid w:val="56FE6628"/>
    <w:rsid w:val="57241016"/>
    <w:rsid w:val="59C12859"/>
    <w:rsid w:val="59CB7C49"/>
    <w:rsid w:val="59FA07E8"/>
    <w:rsid w:val="5A40568A"/>
    <w:rsid w:val="5A653D47"/>
    <w:rsid w:val="5B212D92"/>
    <w:rsid w:val="5B2659AE"/>
    <w:rsid w:val="5BF846A1"/>
    <w:rsid w:val="5C036547"/>
    <w:rsid w:val="5C986150"/>
    <w:rsid w:val="5CD764EB"/>
    <w:rsid w:val="5D1D2301"/>
    <w:rsid w:val="5D3F1E4E"/>
    <w:rsid w:val="5D8451DF"/>
    <w:rsid w:val="5DD16AE3"/>
    <w:rsid w:val="5F0576A9"/>
    <w:rsid w:val="5F5D3CC9"/>
    <w:rsid w:val="5FB62E8F"/>
    <w:rsid w:val="60314FBA"/>
    <w:rsid w:val="604348F3"/>
    <w:rsid w:val="60CC3634"/>
    <w:rsid w:val="614669C9"/>
    <w:rsid w:val="61924D87"/>
    <w:rsid w:val="620D7FC9"/>
    <w:rsid w:val="62BC6718"/>
    <w:rsid w:val="661E33E8"/>
    <w:rsid w:val="66BF0F11"/>
    <w:rsid w:val="691C6E3B"/>
    <w:rsid w:val="6A4E5001"/>
    <w:rsid w:val="6A535C87"/>
    <w:rsid w:val="6A5C063B"/>
    <w:rsid w:val="6BA00FBB"/>
    <w:rsid w:val="6CAC252B"/>
    <w:rsid w:val="6D1C4ABE"/>
    <w:rsid w:val="6D610AD4"/>
    <w:rsid w:val="6E700D11"/>
    <w:rsid w:val="6E8276A5"/>
    <w:rsid w:val="6F18137C"/>
    <w:rsid w:val="70F02B89"/>
    <w:rsid w:val="72F67F21"/>
    <w:rsid w:val="74D1206C"/>
    <w:rsid w:val="755D14D4"/>
    <w:rsid w:val="759A6AA7"/>
    <w:rsid w:val="76375ADD"/>
    <w:rsid w:val="781E0018"/>
    <w:rsid w:val="79FB73C2"/>
    <w:rsid w:val="7B4A02D1"/>
    <w:rsid w:val="7B544DE1"/>
    <w:rsid w:val="7C110490"/>
    <w:rsid w:val="7CE21BF1"/>
    <w:rsid w:val="7D8A547F"/>
    <w:rsid w:val="7E00697D"/>
    <w:rsid w:val="7FDE6E35"/>
    <w:rsid w:val="7FE9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line="578" w:lineRule="auto"/>
      <w:jc w:val="center"/>
      <w:outlineLvl w:val="0"/>
    </w:pPr>
    <w:rPr>
      <w:b/>
      <w:bCs/>
      <w:kern w:val="44"/>
      <w:sz w:val="32"/>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spacing w:line="240" w:lineRule="auto"/>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spacing w:line="240" w:lineRule="auto"/>
      <w:jc w:val="center"/>
    </w:pPr>
    <w:rPr>
      <w:sz w:val="18"/>
      <w:szCs w:val="18"/>
    </w:rPr>
  </w:style>
  <w:style w:type="character" w:customStyle="1" w:styleId="7">
    <w:name w:val="页眉 字符"/>
    <w:basedOn w:val="6"/>
    <w:link w:val="4"/>
    <w:qFormat/>
    <w:uiPriority w:val="0"/>
    <w:rPr>
      <w:rFonts w:cstheme="minorBidi"/>
      <w:kern w:val="2"/>
      <w:sz w:val="18"/>
      <w:szCs w:val="18"/>
    </w:rPr>
  </w:style>
  <w:style w:type="character" w:customStyle="1" w:styleId="8">
    <w:name w:val="页脚 字符"/>
    <w:basedOn w:val="6"/>
    <w:link w:val="3"/>
    <w:qFormat/>
    <w:uiPriority w:val="0"/>
    <w:rPr>
      <w:rFonts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306</Words>
  <Characters>1748</Characters>
  <Lines>14</Lines>
  <Paragraphs>4</Paragraphs>
  <TotalTime>53</TotalTime>
  <ScaleCrop>false</ScaleCrop>
  <LinksUpToDate>false</LinksUpToDate>
  <CharactersWithSpaces>2050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2021-12-22T09:23:00Z</dcterms:created>
  <dc:creator>1718</dc:creator>
  <cp:lastModifiedBy>李白不用立白、</cp:lastModifiedBy>
  <dcterms:modified xsi:type="dcterms:W3CDTF">2022-01-04T11:27:35Z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B77E117315D746A694754D66CEDFB0BE</vt:lpwstr>
  </property>
</Properties>
</file>