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AstraPay — Payment Profitability Diagnostic</w:t>
      </w:r>
    </w:p>
    <w:p>
      <w:pPr>
        <w:pBdr>
          <w:bottom w:val="single" w:color="8EA9DB" w:sz="6" w:space="6"/>
        </w:pBdr>
        <w:spacing w:after="240"/>
      </w:pPr>
      <w:r>
        <w:rPr>
          <w:color w:val="444444"/>
          <w:sz w:val="24"/>
          <w:szCs w:val="24"/>
        </w:rPr>
        <w:t xml:space="preserve">Task 1 — Executive Problem Framing</w:t>
      </w:r>
    </w:p>
    <w:p>
      <w:pPr>
        <w:pStyle w:val="Heading1"/>
        <w:spacing w:after="120" w:before="280"/>
      </w:pPr>
      <w:r>
        <w:rPr>
          <w:b/>
          <w:bCs/>
        </w:rPr>
        <w:t xml:space="preserve">1. Executive question</w:t>
      </w:r>
    </w:p>
    <w:p>
      <w:pPr>
        <w:spacing w:after="120"/>
      </w:pPr>
      <w:r>
        <w:rPr>
          <w:i w:val="false"/>
          <w:iCs w:val="false"/>
          <w:sz w:val="20"/>
          <w:szCs w:val="20"/>
        </w:rPr>
        <w:t xml:space="preserve">Why is payment contribution profit per successful transaction falling even though payment volume is increasing, and what should AstraPay change in the next 60 days?</w:t>
      </w:r>
    </w:p>
    <w:p>
      <w:pPr>
        <w:spacing w:after="120"/>
      </w:pPr>
      <w:r>
        <w:rPr>
          <w:i w:val="false"/>
          <w:iCs w:val="false"/>
          <w:sz w:val="20"/>
          <w:szCs w:val="20"/>
        </w:rPr>
        <w:t xml:space="preserve">Four stakeholders have offered competing explanations: merchant pricing (CFO), routing and processing cost (Head of Payments), fraud controls causing false declines (Risk Head), and untrustworthy reporting (Data Head). This diagnostic does not set out to prove any of them right. It establishes what is reliable, locates where the economics deteriorate, quantifies the credible drivers, and recommends what management should do next.</w:t>
      </w:r>
    </w:p>
    <w:p>
      <w:pPr>
        <w:pStyle w:val="Heading1"/>
        <w:spacing w:after="120" w:before="280"/>
      </w:pPr>
      <w:r>
        <w:rPr>
          <w:b/>
          <w:bCs/>
        </w:rPr>
        <w:t xml:space="preserve">2. SMART framing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D9E2F3" w:val="clear"/>
            <w:tcMar>
              <w:top w:type="dxa" w:w="60"/>
              <w:left w:type="dxa" w:w="110"/>
              <w:bottom w:type="dxa" w:w="60"/>
              <w:right w:type="dxa" w:w="110"/>
            </w:tcMar>
          </w:tcPr>
          <w:p>
            <w:pPr>
              <w:spacing w:after="40" w:before="40"/>
            </w:pPr>
            <w:r>
              <w:rPr>
                <w:b/>
                <w:bCs/>
                <w:sz w:val="19"/>
                <w:szCs w:val="19"/>
              </w:rPr>
              <w:t xml:space="preserve">Dimension</w:t>
            </w:r>
          </w:p>
        </w:tc>
        <w:tc>
          <w:tcPr>
            <w:tcW w:type="dxa" w:w="7500"/>
            <w:shd w:fill="D9E2F3" w:val="clear"/>
            <w:tcMar>
              <w:top w:type="dxa" w:w="60"/>
              <w:left w:type="dxa" w:w="110"/>
              <w:bottom w:type="dxa" w:w="60"/>
              <w:right w:type="dxa" w:w="110"/>
            </w:tcMar>
          </w:tcPr>
          <w:p>
            <w:pPr>
              <w:spacing w:after="40" w:before="40"/>
            </w:pPr>
            <w:r>
              <w:rPr>
                <w:b/>
                <w:bCs/>
                <w:sz w:val="19"/>
                <w:szCs w:val="19"/>
              </w:rPr>
              <w:t xml:space="preserve">Statement</w:t>
            </w:r>
          </w:p>
        </w:tc>
      </w:tr>
      <w:tr>
        <w:tc>
          <w:tcPr>
            <w:tcW w:type="dxa" w:w="1500"/>
            <w:tcMar>
              <w:top w:type="dxa" w:w="60"/>
              <w:left w:type="dxa" w:w="110"/>
              <w:bottom w:type="dxa" w:w="60"/>
              <w:right w:type="dxa" w:w="110"/>
            </w:tcMar>
          </w:tcPr>
          <w:p>
            <w:pPr>
              <w:spacing w:after="40" w:before="40"/>
            </w:pPr>
            <w:r>
              <w:rPr>
                <w:b w:val="false"/>
                <w:bCs w:val="false"/>
                <w:sz w:val="19"/>
                <w:szCs w:val="19"/>
              </w:rPr>
              <w:t xml:space="preserve">Specific</w:t>
            </w:r>
          </w:p>
        </w:tc>
        <w:tc>
          <w:tcPr>
            <w:tcW w:type="dxa" w:w="7500"/>
            <w:tcMar>
              <w:top w:type="dxa" w:w="60"/>
              <w:left w:type="dxa" w:w="110"/>
              <w:bottom w:type="dxa" w:w="60"/>
              <w:right w:type="dxa" w:w="110"/>
            </w:tcMar>
          </w:tcPr>
          <w:p>
            <w:pPr>
              <w:spacing w:after="40" w:before="40"/>
            </w:pPr>
            <w:r>
              <w:rPr>
                <w:b w:val="false"/>
                <w:bCs w:val="false"/>
                <w:sz w:val="19"/>
                <w:szCs w:val="19"/>
              </w:rPr>
              <w:t xml:space="preserve">Identify and size the drivers of the decline in contribution profit per successful transaction across the 2025 calendar year, separating genuine business performance from data-quality artefacts.</w:t>
            </w:r>
          </w:p>
        </w:tc>
      </w:tr>
      <w:tr>
        <w:tc>
          <w:tcPr>
            <w:tcW w:type="dxa" w:w="1500"/>
            <w:tcMar>
              <w:top w:type="dxa" w:w="60"/>
              <w:left w:type="dxa" w:w="110"/>
              <w:bottom w:type="dxa" w:w="60"/>
              <w:right w:type="dxa" w:w="110"/>
            </w:tcMar>
          </w:tcPr>
          <w:p>
            <w:pPr>
              <w:spacing w:after="40" w:before="40"/>
            </w:pPr>
            <w:r>
              <w:rPr>
                <w:b w:val="false"/>
                <w:bCs w:val="false"/>
                <w:sz w:val="19"/>
                <w:szCs w:val="19"/>
              </w:rPr>
              <w:t xml:space="preserve">Measurable</w:t>
            </w:r>
          </w:p>
        </w:tc>
        <w:tc>
          <w:tcPr>
            <w:tcW w:type="dxa" w:w="7500"/>
            <w:tcMar>
              <w:top w:type="dxa" w:w="60"/>
              <w:left w:type="dxa" w:w="110"/>
              <w:bottom w:type="dxa" w:w="60"/>
              <w:right w:type="dxa" w:w="110"/>
            </w:tcMar>
          </w:tcPr>
          <w:p>
            <w:pPr>
              <w:spacing w:after="40" w:before="40"/>
            </w:pPr>
            <w:r>
              <w:rPr>
                <w:b w:val="false"/>
                <w:bCs w:val="false"/>
                <w:sz w:val="19"/>
                <w:szCs w:val="19"/>
              </w:rPr>
              <w:t xml:space="preserve">Attribute at least 90% of the observed decline to named drivers, each quantified in USD per successful transaction, with the residual stated explicitly.</w:t>
            </w:r>
          </w:p>
        </w:tc>
      </w:tr>
      <w:tr>
        <w:tc>
          <w:tcPr>
            <w:tcW w:type="dxa" w:w="1500"/>
            <w:tcMar>
              <w:top w:type="dxa" w:w="60"/>
              <w:left w:type="dxa" w:w="110"/>
              <w:bottom w:type="dxa" w:w="60"/>
              <w:right w:type="dxa" w:w="110"/>
            </w:tcMar>
          </w:tcPr>
          <w:p>
            <w:pPr>
              <w:spacing w:after="40" w:before="40"/>
            </w:pPr>
            <w:r>
              <w:rPr>
                <w:b w:val="false"/>
                <w:bCs w:val="false"/>
                <w:sz w:val="19"/>
                <w:szCs w:val="19"/>
              </w:rPr>
              <w:t xml:space="preserve">Achievable</w:t>
            </w:r>
          </w:p>
        </w:tc>
        <w:tc>
          <w:tcPr>
            <w:tcW w:type="dxa" w:w="7500"/>
            <w:tcMar>
              <w:top w:type="dxa" w:w="60"/>
              <w:left w:type="dxa" w:w="110"/>
              <w:bottom w:type="dxa" w:w="60"/>
              <w:right w:type="dxa" w:w="110"/>
            </w:tcMar>
          </w:tcPr>
          <w:p>
            <w:pPr>
              <w:spacing w:after="40" w:before="40"/>
            </w:pPr>
            <w:r>
              <w:rPr>
                <w:b w:val="false"/>
                <w:bCs w:val="false"/>
                <w:sz w:val="19"/>
                <w:szCs w:val="19"/>
              </w:rPr>
              <w:t xml:space="preserve">All required data is available in ten source files covering the full period. No external data or new instrumentation is needed.</w:t>
            </w:r>
          </w:p>
        </w:tc>
      </w:tr>
      <w:tr>
        <w:tc>
          <w:tcPr>
            <w:tcW w:type="dxa" w:w="1500"/>
            <w:tcMar>
              <w:top w:type="dxa" w:w="60"/>
              <w:left w:type="dxa" w:w="110"/>
              <w:bottom w:type="dxa" w:w="60"/>
              <w:right w:type="dxa" w:w="110"/>
            </w:tcMar>
          </w:tcPr>
          <w:p>
            <w:pPr>
              <w:spacing w:after="40" w:before="40"/>
            </w:pPr>
            <w:r>
              <w:rPr>
                <w:b w:val="false"/>
                <w:bCs w:val="false"/>
                <w:sz w:val="19"/>
                <w:szCs w:val="19"/>
              </w:rPr>
              <w:t xml:space="preserve">Relevant</w:t>
            </w:r>
          </w:p>
        </w:tc>
        <w:tc>
          <w:tcPr>
            <w:tcW w:type="dxa" w:w="7500"/>
            <w:tcMar>
              <w:top w:type="dxa" w:w="60"/>
              <w:left w:type="dxa" w:w="110"/>
              <w:bottom w:type="dxa" w:w="60"/>
              <w:right w:type="dxa" w:w="110"/>
            </w:tcMar>
          </w:tcPr>
          <w:p>
            <w:pPr>
              <w:spacing w:after="40" w:before="40"/>
            </w:pPr>
            <w:r>
              <w:rPr>
                <w:b w:val="false"/>
                <w:bCs w:val="false"/>
                <w:sz w:val="19"/>
                <w:szCs w:val="19"/>
              </w:rPr>
              <w:t xml:space="preserve">Contribution profit per successful transaction is the unit economic that determines whether volume growth creates or destroys value. It is the metric the executive question is asked in.</w:t>
            </w:r>
          </w:p>
        </w:tc>
      </w:tr>
      <w:tr>
        <w:tc>
          <w:tcPr>
            <w:tcW w:type="dxa" w:w="1500"/>
            <w:tcMar>
              <w:top w:type="dxa" w:w="60"/>
              <w:left w:type="dxa" w:w="110"/>
              <w:bottom w:type="dxa" w:w="60"/>
              <w:right w:type="dxa" w:w="110"/>
            </w:tcMar>
          </w:tcPr>
          <w:p>
            <w:pPr>
              <w:spacing w:after="40" w:before="40"/>
            </w:pPr>
            <w:r>
              <w:rPr>
                <w:b w:val="false"/>
                <w:bCs w:val="false"/>
                <w:sz w:val="19"/>
                <w:szCs w:val="19"/>
              </w:rPr>
              <w:t xml:space="preserve">Time-bound</w:t>
            </w:r>
          </w:p>
        </w:tc>
        <w:tc>
          <w:tcPr>
            <w:tcW w:type="dxa" w:w="7500"/>
            <w:tcMar>
              <w:top w:type="dxa" w:w="60"/>
              <w:left w:type="dxa" w:w="110"/>
              <w:bottom w:type="dxa" w:w="60"/>
              <w:right w:type="dxa" w:w="110"/>
            </w:tcMar>
          </w:tcPr>
          <w:p>
            <w:pPr>
              <w:spacing w:after="40" w:before="40"/>
            </w:pPr>
            <w:r>
              <w:rPr>
                <w:b w:val="false"/>
                <w:bCs w:val="false"/>
                <w:sz w:val="19"/>
                <w:szCs w:val="19"/>
              </w:rPr>
              <w:t xml:space="preserve">Five-day diagnostic. Recommendations are scoped to actions that can be started and measured within 60 days.</w:t>
            </w:r>
          </w:p>
        </w:tc>
      </w:tr>
    </w:tbl>
    <w:p>
      <w:pPr>
        <w:pStyle w:val="Heading1"/>
        <w:spacing w:after="120" w:before="280"/>
      </w:pPr>
      <w:r>
        <w:rPr>
          <w:b/>
          <w:bCs/>
        </w:rPr>
        <w:t xml:space="preserve">3. KPI definitions</w:t>
      </w:r>
    </w:p>
    <w:p>
      <w:pPr>
        <w:spacing w:after="120"/>
      </w:pPr>
      <w:r>
        <w:rPr>
          <w:i w:val="false"/>
          <w:iCs w:val="false"/>
          <w:sz w:val="20"/>
          <w:szCs w:val="20"/>
        </w:rPr>
        <w:t xml:space="preserve">Every metric below states its numerator, denominator, date basis and exclusion rules. Ratios are marked non-additive: they cannot be summed or averaged across segments without reweighting.</w:t>
      </w:r>
    </w:p>
    <w:p>
      <w:pPr>
        <w:pStyle w:val="Heading2"/>
        <w:spacing w:after="120" w:before="280"/>
      </w:pPr>
      <w:r>
        <w:rPr>
          <w:b/>
          <w:bCs/>
        </w:rPr>
        <w:t xml:space="preserve">3.1 Executive KPI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D9E2F3" w:val="clear"/>
            <w:tcMar>
              <w:top w:type="dxa" w:w="60"/>
              <w:left w:type="dxa" w:w="110"/>
              <w:bottom w:type="dxa" w:w="60"/>
              <w:right w:type="dxa" w:w="110"/>
            </w:tcMar>
          </w:tcPr>
          <w:p>
            <w:pPr>
              <w:spacing w:after="40" w:before="40"/>
            </w:pPr>
            <w:r>
              <w:rPr>
                <w:b/>
                <w:bCs/>
                <w:sz w:val="19"/>
                <w:szCs w:val="19"/>
              </w:rPr>
              <w:t xml:space="preserve">Element</w:t>
            </w:r>
          </w:p>
        </w:tc>
        <w:tc>
          <w:tcPr>
            <w:tcW w:type="dxa" w:w="7100"/>
            <w:shd w:fill="D9E2F3" w:val="clear"/>
            <w:tcMar>
              <w:top w:type="dxa" w:w="60"/>
              <w:left w:type="dxa" w:w="110"/>
              <w:bottom w:type="dxa" w:w="60"/>
              <w:right w:type="dxa" w:w="110"/>
            </w:tcMar>
          </w:tcPr>
          <w:p>
            <w:pPr>
              <w:spacing w:after="40" w:before="40"/>
            </w:pPr>
            <w:r>
              <w:rPr>
                <w:b/>
                <w:bCs/>
                <w:sz w:val="19"/>
                <w:szCs w:val="19"/>
              </w:rPr>
              <w:t xml:space="preserve">Definition</w:t>
            </w:r>
          </w:p>
        </w:tc>
      </w:tr>
      <w:tr>
        <w:tc>
          <w:tcPr>
            <w:tcW w:type="dxa" w:w="1900"/>
            <w:tcMar>
              <w:top w:type="dxa" w:w="60"/>
              <w:left w:type="dxa" w:w="110"/>
              <w:bottom w:type="dxa" w:w="60"/>
              <w:right w:type="dxa" w:w="110"/>
            </w:tcMar>
          </w:tcPr>
          <w:p>
            <w:pPr>
              <w:spacing w:after="40" w:before="40"/>
            </w:pPr>
            <w:r>
              <w:rPr>
                <w:b w:val="false"/>
                <w:bCs w:val="false"/>
                <w:sz w:val="19"/>
                <w:szCs w:val="19"/>
              </w:rPr>
              <w:t xml:space="preserve">Metric</w:t>
            </w:r>
          </w:p>
        </w:tc>
        <w:tc>
          <w:tcPr>
            <w:tcW w:type="dxa" w:w="7100"/>
            <w:tcMar>
              <w:top w:type="dxa" w:w="60"/>
              <w:left w:type="dxa" w:w="110"/>
              <w:bottom w:type="dxa" w:w="60"/>
              <w:right w:type="dxa" w:w="110"/>
            </w:tcMar>
          </w:tcPr>
          <w:p>
            <w:pPr>
              <w:spacing w:after="40" w:before="40"/>
            </w:pPr>
            <w:r>
              <w:rPr>
                <w:b w:val="false"/>
                <w:bCs w:val="false"/>
                <w:sz w:val="19"/>
                <w:szCs w:val="19"/>
              </w:rPr>
              <w:t xml:space="preserve">Contribution profit per successful transaction (USD). Non-additive.</w:t>
            </w:r>
          </w:p>
        </w:tc>
      </w:tr>
      <w:tr>
        <w:tc>
          <w:tcPr>
            <w:tcW w:type="dxa" w:w="1900"/>
            <w:tcMar>
              <w:top w:type="dxa" w:w="60"/>
              <w:left w:type="dxa" w:w="110"/>
              <w:bottom w:type="dxa" w:w="60"/>
              <w:right w:type="dxa" w:w="110"/>
            </w:tcMar>
          </w:tcPr>
          <w:p>
            <w:pPr>
              <w:spacing w:after="40" w:before="40"/>
            </w:pPr>
            <w:r>
              <w:rPr>
                <w:b w:val="false"/>
                <w:bCs w:val="false"/>
                <w:sz w:val="19"/>
                <w:szCs w:val="19"/>
              </w:rPr>
              <w:t xml:space="preserve">Numerator</w:t>
            </w:r>
          </w:p>
        </w:tc>
        <w:tc>
          <w:tcPr>
            <w:tcW w:type="dxa" w:w="7100"/>
            <w:tcMar>
              <w:top w:type="dxa" w:w="60"/>
              <w:left w:type="dxa" w:w="110"/>
              <w:bottom w:type="dxa" w:w="60"/>
              <w:right w:type="dxa" w:w="110"/>
            </w:tcMar>
          </w:tcPr>
          <w:p>
            <w:pPr>
              <w:spacing w:after="40" w:before="40"/>
            </w:pPr>
            <w:r>
              <w:rPr>
                <w:b w:val="false"/>
                <w:bCs w:val="false"/>
                <w:sz w:val="19"/>
                <w:szCs w:val="19"/>
              </w:rPr>
              <w:t xml:space="preserve">Merchant revenue less processing cost less risk cost, in USD.</w:t>
            </w:r>
          </w:p>
        </w:tc>
      </w:tr>
      <w:tr>
        <w:tc>
          <w:tcPr>
            <w:tcW w:type="dxa" w:w="1900"/>
            <w:tcMar>
              <w:top w:type="dxa" w:w="60"/>
              <w:left w:type="dxa" w:w="110"/>
              <w:bottom w:type="dxa" w:w="60"/>
              <w:right w:type="dxa" w:w="110"/>
            </w:tcMar>
          </w:tcPr>
          <w:p>
            <w:pPr>
              <w:spacing w:after="40" w:before="40"/>
            </w:pPr>
            <w:r>
              <w:rPr>
                <w:b w:val="false"/>
                <w:bCs w:val="false"/>
                <w:sz w:val="19"/>
                <w:szCs w:val="19"/>
              </w:rPr>
              <w:t xml:space="preserve">Denominator</w:t>
            </w:r>
          </w:p>
        </w:tc>
        <w:tc>
          <w:tcPr>
            <w:tcW w:type="dxa" w:w="7100"/>
            <w:tcMar>
              <w:top w:type="dxa" w:w="60"/>
              <w:left w:type="dxa" w:w="110"/>
              <w:bottom w:type="dxa" w:w="60"/>
              <w:right w:type="dxa" w:w="110"/>
            </w:tcMar>
          </w:tcPr>
          <w:p>
            <w:pPr>
              <w:spacing w:after="40" w:before="40"/>
            </w:pPr>
            <w:r>
              <w:rPr>
                <w:b w:val="false"/>
                <w:bCs w:val="false"/>
                <w:sz w:val="19"/>
                <w:szCs w:val="19"/>
              </w:rPr>
              <w:t xml:space="preserve">Count of transactions with status CAPTURED.</w:t>
            </w:r>
          </w:p>
        </w:tc>
      </w:tr>
      <w:tr>
        <w:tc>
          <w:tcPr>
            <w:tcW w:type="dxa" w:w="1900"/>
            <w:tcMar>
              <w:top w:type="dxa" w:w="60"/>
              <w:left w:type="dxa" w:w="110"/>
              <w:bottom w:type="dxa" w:w="60"/>
              <w:right w:type="dxa" w:w="110"/>
            </w:tcMar>
          </w:tcPr>
          <w:p>
            <w:pPr>
              <w:spacing w:after="40" w:before="40"/>
            </w:pPr>
            <w:r>
              <w:rPr>
                <w:b w:val="false"/>
                <w:bCs w:val="false"/>
                <w:sz w:val="19"/>
                <w:szCs w:val="19"/>
              </w:rPr>
              <w:t xml:space="preserve">Date basis</w:t>
            </w:r>
          </w:p>
        </w:tc>
        <w:tc>
          <w:tcPr>
            <w:tcW w:type="dxa" w:w="7100"/>
            <w:tcMar>
              <w:top w:type="dxa" w:w="60"/>
              <w:left w:type="dxa" w:w="110"/>
              <w:bottom w:type="dxa" w:w="60"/>
              <w:right w:type="dxa" w:w="110"/>
            </w:tcMar>
          </w:tcPr>
          <w:p>
            <w:pPr>
              <w:spacing w:after="40" w:before="40"/>
            </w:pPr>
            <w:r>
              <w:rPr>
                <w:b w:val="false"/>
                <w:bCs w:val="false"/>
                <w:sz w:val="19"/>
                <w:szCs w:val="19"/>
              </w:rPr>
              <w:t xml:space="preserve">transaction.created_at. The question is about the month in which the business transacted, not the month cash settled.</w:t>
            </w:r>
          </w:p>
        </w:tc>
      </w:tr>
      <w:tr>
        <w:tc>
          <w:tcPr>
            <w:tcW w:type="dxa" w:w="1900"/>
            <w:tcMar>
              <w:top w:type="dxa" w:w="60"/>
              <w:left w:type="dxa" w:w="110"/>
              <w:bottom w:type="dxa" w:w="60"/>
              <w:right w:type="dxa" w:w="110"/>
            </w:tcMar>
          </w:tcPr>
          <w:p>
            <w:pPr>
              <w:spacing w:after="40" w:before="40"/>
            </w:pPr>
            <w:r>
              <w:rPr>
                <w:b w:val="false"/>
                <w:bCs w:val="false"/>
                <w:sz w:val="19"/>
                <w:szCs w:val="19"/>
              </w:rPr>
              <w:t xml:space="preserve">Exclusions</w:t>
            </w:r>
          </w:p>
        </w:tc>
        <w:tc>
          <w:tcPr>
            <w:tcW w:type="dxa" w:w="7100"/>
            <w:tcMar>
              <w:top w:type="dxa" w:w="60"/>
              <w:left w:type="dxa" w:w="110"/>
              <w:bottom w:type="dxa" w:w="60"/>
              <w:right w:type="dxa" w:w="110"/>
            </w:tcMar>
          </w:tcPr>
          <w:p>
            <w:pPr>
              <w:spacing w:after="40" w:before="40"/>
            </w:pPr>
            <w:r>
              <w:rPr>
                <w:b w:val="false"/>
                <w:bCs w:val="false"/>
                <w:sz w:val="19"/>
                <w:szCs w:val="19"/>
              </w:rPr>
              <w:t xml:space="preserve">Status REVERSED excluded from both numerator and denominator and reported separately. Negative amounts on a CAPTURED status with no reversal parent are quarantined. Declined, failed and pending attempts are excluded from the denominator but retained for success-rate reporting.</w:t>
            </w:r>
          </w:p>
        </w:tc>
      </w:tr>
    </w:tbl>
    <w:p>
      <w:pPr>
        <w:pStyle w:val="Heading2"/>
        <w:spacing w:after="120" w:before="280"/>
      </w:pPr>
      <w:r>
        <w:rPr>
          <w:b/>
          <w:bCs/>
        </w:rPr>
        <w:t xml:space="preserve">3.2 Supporting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900"/>
        <w:gridCol w:w="1600"/>
        <w:gridCol w:w="1400"/>
      </w:tblGrid>
      <w:tr>
        <w:trPr>
          <w:tblHeader/>
        </w:trPr>
        <w:tc>
          <w:tcPr>
            <w:tcW w:type="dxa" w:w="2000"/>
            <w:shd w:fill="D9E2F3" w:val="clear"/>
            <w:tcMar>
              <w:top w:type="dxa" w:w="60"/>
              <w:left w:type="dxa" w:w="110"/>
              <w:bottom w:type="dxa" w:w="60"/>
              <w:right w:type="dxa" w:w="110"/>
            </w:tcMar>
          </w:tcPr>
          <w:p>
            <w:pPr>
              <w:spacing w:after="40" w:before="40"/>
            </w:pPr>
            <w:r>
              <w:rPr>
                <w:b/>
                <w:bCs/>
                <w:sz w:val="19"/>
                <w:szCs w:val="19"/>
              </w:rPr>
              <w:t xml:space="preserve">KPI</w:t>
            </w:r>
          </w:p>
        </w:tc>
        <w:tc>
          <w:tcPr>
            <w:tcW w:type="dxa" w:w="2100"/>
            <w:shd w:fill="D9E2F3" w:val="clear"/>
            <w:tcMar>
              <w:top w:type="dxa" w:w="60"/>
              <w:left w:type="dxa" w:w="110"/>
              <w:bottom w:type="dxa" w:w="60"/>
              <w:right w:type="dxa" w:w="110"/>
            </w:tcMar>
          </w:tcPr>
          <w:p>
            <w:pPr>
              <w:spacing w:after="40" w:before="40"/>
            </w:pPr>
            <w:r>
              <w:rPr>
                <w:b/>
                <w:bCs/>
                <w:sz w:val="19"/>
                <w:szCs w:val="19"/>
              </w:rPr>
              <w:t xml:space="preserve">Numerator</w:t>
            </w:r>
          </w:p>
        </w:tc>
        <w:tc>
          <w:tcPr>
            <w:tcW w:type="dxa" w:w="1900"/>
            <w:shd w:fill="D9E2F3" w:val="clear"/>
            <w:tcMar>
              <w:top w:type="dxa" w:w="60"/>
              <w:left w:type="dxa" w:w="110"/>
              <w:bottom w:type="dxa" w:w="60"/>
              <w:right w:type="dxa" w:w="110"/>
            </w:tcMar>
          </w:tcPr>
          <w:p>
            <w:pPr>
              <w:spacing w:after="40" w:before="40"/>
            </w:pPr>
            <w:r>
              <w:rPr>
                <w:b/>
                <w:bCs/>
                <w:sz w:val="19"/>
                <w:szCs w:val="19"/>
              </w:rPr>
              <w:t xml:space="preserve">Denominator</w:t>
            </w:r>
          </w:p>
        </w:tc>
        <w:tc>
          <w:tcPr>
            <w:tcW w:type="dxa" w:w="1600"/>
            <w:shd w:fill="D9E2F3" w:val="clear"/>
            <w:tcMar>
              <w:top w:type="dxa" w:w="60"/>
              <w:left w:type="dxa" w:w="110"/>
              <w:bottom w:type="dxa" w:w="60"/>
              <w:right w:type="dxa" w:w="110"/>
            </w:tcMar>
          </w:tcPr>
          <w:p>
            <w:pPr>
              <w:spacing w:after="40" w:before="40"/>
            </w:pPr>
            <w:r>
              <w:rPr>
                <w:b/>
                <w:bCs/>
                <w:sz w:val="19"/>
                <w:szCs w:val="19"/>
              </w:rPr>
              <w:t xml:space="preserve">Date basis</w:t>
            </w:r>
          </w:p>
        </w:tc>
        <w:tc>
          <w:tcPr>
            <w:tcW w:type="dxa" w:w="1400"/>
            <w:shd w:fill="D9E2F3" w:val="clear"/>
            <w:tcMar>
              <w:top w:type="dxa" w:w="60"/>
              <w:left w:type="dxa" w:w="110"/>
              <w:bottom w:type="dxa" w:w="60"/>
              <w:right w:type="dxa" w:w="110"/>
            </w:tcMar>
          </w:tcPr>
          <w:p>
            <w:pPr>
              <w:spacing w:after="40" w:before="40"/>
            </w:pPr>
            <w:r>
              <w:rPr>
                <w:b/>
                <w:bCs/>
                <w:sz w:val="19"/>
                <w:szCs w:val="19"/>
              </w:rPr>
              <w:t xml:space="preserve">Additive?</w:t>
            </w:r>
          </w:p>
        </w:tc>
      </w:tr>
      <w:tr>
        <w:tc>
          <w:tcPr>
            <w:tcW w:type="dxa" w:w="2000"/>
            <w:tcMar>
              <w:top w:type="dxa" w:w="60"/>
              <w:left w:type="dxa" w:w="110"/>
              <w:bottom w:type="dxa" w:w="60"/>
              <w:right w:type="dxa" w:w="110"/>
            </w:tcMar>
          </w:tcPr>
          <w:p>
            <w:pPr>
              <w:spacing w:after="40" w:before="40"/>
            </w:pPr>
            <w:r>
              <w:rPr>
                <w:b w:val="false"/>
                <w:bCs w:val="false"/>
                <w:sz w:val="19"/>
                <w:szCs w:val="19"/>
              </w:rPr>
              <w:t xml:space="preserve">Attempted volume</w:t>
            </w:r>
          </w:p>
        </w:tc>
        <w:tc>
          <w:tcPr>
            <w:tcW w:type="dxa" w:w="2100"/>
            <w:tcMar>
              <w:top w:type="dxa" w:w="60"/>
              <w:left w:type="dxa" w:w="110"/>
              <w:bottom w:type="dxa" w:w="60"/>
              <w:right w:type="dxa" w:w="110"/>
            </w:tcMar>
          </w:tcPr>
          <w:p>
            <w:pPr>
              <w:spacing w:after="40" w:before="40"/>
            </w:pPr>
            <w:r>
              <w:rPr>
                <w:b w:val="false"/>
                <w:bCs w:val="false"/>
                <w:sz w:val="19"/>
                <w:szCs w:val="19"/>
              </w:rPr>
              <w:t xml:space="preserve">Count of all transaction rows</w:t>
            </w:r>
          </w:p>
        </w:tc>
        <w:tc>
          <w:tcPr>
            <w:tcW w:type="dxa" w:w="1900"/>
            <w:tcMar>
              <w:top w:type="dxa" w:w="60"/>
              <w:left w:type="dxa" w:w="110"/>
              <w:bottom w:type="dxa" w:w="60"/>
              <w:right w:type="dxa" w:w="110"/>
            </w:tcMar>
          </w:tcPr>
          <w:p>
            <w:pPr>
              <w:spacing w:after="40" w:before="40"/>
            </w:pPr>
            <w:r>
              <w:rPr>
                <w:b w:val="false"/>
                <w:bCs w:val="false"/>
                <w:sz w:val="19"/>
                <w:szCs w:val="19"/>
              </w:rPr>
              <w:t xml:space="preserve">n/a</w:t>
            </w:r>
          </w:p>
        </w:tc>
        <w:tc>
          <w:tcPr>
            <w:tcW w:type="dxa" w:w="1600"/>
            <w:tcMar>
              <w:top w:type="dxa" w:w="60"/>
              <w:left w:type="dxa" w:w="110"/>
              <w:bottom w:type="dxa" w:w="60"/>
              <w:right w:type="dxa" w:w="110"/>
            </w:tcMar>
          </w:tcPr>
          <w:p>
            <w:pPr>
              <w:spacing w:after="40" w:before="40"/>
            </w:pPr>
            <w:r>
              <w:rPr>
                <w:b w:val="false"/>
                <w:bCs w:val="false"/>
                <w:sz w:val="19"/>
                <w:szCs w:val="19"/>
              </w:rPr>
              <w:t xml:space="preserve">created_at</w:t>
            </w:r>
          </w:p>
        </w:tc>
        <w:tc>
          <w:tcPr>
            <w:tcW w:type="dxa" w:w="1400"/>
            <w:tcMar>
              <w:top w:type="dxa" w:w="60"/>
              <w:left w:type="dxa" w:w="110"/>
              <w:bottom w:type="dxa" w:w="60"/>
              <w:right w:type="dxa" w:w="110"/>
            </w:tcMar>
          </w:tcPr>
          <w:p>
            <w:pPr>
              <w:spacing w:after="40" w:before="40"/>
            </w:pPr>
            <w:r>
              <w:rPr>
                <w:b w:val="false"/>
                <w:bCs w:val="false"/>
                <w:sz w:val="19"/>
                <w:szCs w:val="19"/>
              </w:rPr>
              <w:t xml:space="preserve">Yes</w:t>
            </w:r>
          </w:p>
        </w:tc>
      </w:tr>
      <w:tr>
        <w:tc>
          <w:tcPr>
            <w:tcW w:type="dxa" w:w="2000"/>
            <w:tcMar>
              <w:top w:type="dxa" w:w="60"/>
              <w:left w:type="dxa" w:w="110"/>
              <w:bottom w:type="dxa" w:w="60"/>
              <w:right w:type="dxa" w:w="110"/>
            </w:tcMar>
          </w:tcPr>
          <w:p>
            <w:pPr>
              <w:spacing w:after="40" w:before="40"/>
            </w:pPr>
            <w:r>
              <w:rPr>
                <w:b w:val="false"/>
                <w:bCs w:val="false"/>
                <w:sz w:val="19"/>
                <w:szCs w:val="19"/>
              </w:rPr>
              <w:t xml:space="preserve">Successful volume</w:t>
            </w:r>
          </w:p>
        </w:tc>
        <w:tc>
          <w:tcPr>
            <w:tcW w:type="dxa" w:w="2100"/>
            <w:tcMar>
              <w:top w:type="dxa" w:w="60"/>
              <w:left w:type="dxa" w:w="110"/>
              <w:bottom w:type="dxa" w:w="60"/>
              <w:right w:type="dxa" w:w="110"/>
            </w:tcMar>
          </w:tcPr>
          <w:p>
            <w:pPr>
              <w:spacing w:after="40" w:before="40"/>
            </w:pPr>
            <w:r>
              <w:rPr>
                <w:b w:val="false"/>
                <w:bCs w:val="false"/>
                <w:sz w:val="19"/>
                <w:szCs w:val="19"/>
              </w:rPr>
              <w:t xml:space="preserve">Count of CAPTURED rows</w:t>
            </w:r>
          </w:p>
        </w:tc>
        <w:tc>
          <w:tcPr>
            <w:tcW w:type="dxa" w:w="1900"/>
            <w:tcMar>
              <w:top w:type="dxa" w:w="60"/>
              <w:left w:type="dxa" w:w="110"/>
              <w:bottom w:type="dxa" w:w="60"/>
              <w:right w:type="dxa" w:w="110"/>
            </w:tcMar>
          </w:tcPr>
          <w:p>
            <w:pPr>
              <w:spacing w:after="40" w:before="40"/>
            </w:pPr>
            <w:r>
              <w:rPr>
                <w:b w:val="false"/>
                <w:bCs w:val="false"/>
                <w:sz w:val="19"/>
                <w:szCs w:val="19"/>
              </w:rPr>
              <w:t xml:space="preserve">n/a</w:t>
            </w:r>
          </w:p>
        </w:tc>
        <w:tc>
          <w:tcPr>
            <w:tcW w:type="dxa" w:w="1600"/>
            <w:tcMar>
              <w:top w:type="dxa" w:w="60"/>
              <w:left w:type="dxa" w:w="110"/>
              <w:bottom w:type="dxa" w:w="60"/>
              <w:right w:type="dxa" w:w="110"/>
            </w:tcMar>
          </w:tcPr>
          <w:p>
            <w:pPr>
              <w:spacing w:after="40" w:before="40"/>
            </w:pPr>
            <w:r>
              <w:rPr>
                <w:b w:val="false"/>
                <w:bCs w:val="false"/>
                <w:sz w:val="19"/>
                <w:szCs w:val="19"/>
              </w:rPr>
              <w:t xml:space="preserve">created_at</w:t>
            </w:r>
          </w:p>
        </w:tc>
        <w:tc>
          <w:tcPr>
            <w:tcW w:type="dxa" w:w="1400"/>
            <w:tcMar>
              <w:top w:type="dxa" w:w="60"/>
              <w:left w:type="dxa" w:w="110"/>
              <w:bottom w:type="dxa" w:w="60"/>
              <w:right w:type="dxa" w:w="110"/>
            </w:tcMar>
          </w:tcPr>
          <w:p>
            <w:pPr>
              <w:spacing w:after="40" w:before="40"/>
            </w:pPr>
            <w:r>
              <w:rPr>
                <w:b w:val="false"/>
                <w:bCs w:val="false"/>
                <w:sz w:val="19"/>
                <w:szCs w:val="19"/>
              </w:rPr>
              <w:t xml:space="preserve">Yes</w:t>
            </w:r>
          </w:p>
        </w:tc>
      </w:tr>
      <w:tr>
        <w:tc>
          <w:tcPr>
            <w:tcW w:type="dxa" w:w="2000"/>
            <w:tcMar>
              <w:top w:type="dxa" w:w="60"/>
              <w:left w:type="dxa" w:w="110"/>
              <w:bottom w:type="dxa" w:w="60"/>
              <w:right w:type="dxa" w:w="110"/>
            </w:tcMar>
          </w:tcPr>
          <w:p>
            <w:pPr>
              <w:spacing w:after="40" w:before="40"/>
            </w:pPr>
            <w:r>
              <w:rPr>
                <w:b w:val="false"/>
                <w:bCs w:val="false"/>
                <w:sz w:val="19"/>
                <w:szCs w:val="19"/>
              </w:rPr>
              <w:t xml:space="preserve">Success rate</w:t>
            </w:r>
          </w:p>
        </w:tc>
        <w:tc>
          <w:tcPr>
            <w:tcW w:type="dxa" w:w="2100"/>
            <w:tcMar>
              <w:top w:type="dxa" w:w="60"/>
              <w:left w:type="dxa" w:w="110"/>
              <w:bottom w:type="dxa" w:w="60"/>
              <w:right w:type="dxa" w:w="110"/>
            </w:tcMar>
          </w:tcPr>
          <w:p>
            <w:pPr>
              <w:spacing w:after="40" w:before="40"/>
            </w:pPr>
            <w:r>
              <w:rPr>
                <w:b w:val="false"/>
                <w:bCs w:val="false"/>
                <w:sz w:val="19"/>
                <w:szCs w:val="19"/>
              </w:rPr>
              <w:t xml:space="preserve">Successful volume</w:t>
            </w:r>
          </w:p>
        </w:tc>
        <w:tc>
          <w:tcPr>
            <w:tcW w:type="dxa" w:w="1900"/>
            <w:tcMar>
              <w:top w:type="dxa" w:w="60"/>
              <w:left w:type="dxa" w:w="110"/>
              <w:bottom w:type="dxa" w:w="60"/>
              <w:right w:type="dxa" w:w="110"/>
            </w:tcMar>
          </w:tcPr>
          <w:p>
            <w:pPr>
              <w:spacing w:after="40" w:before="40"/>
            </w:pPr>
            <w:r>
              <w:rPr>
                <w:b w:val="false"/>
                <w:bCs w:val="false"/>
                <w:sz w:val="19"/>
                <w:szCs w:val="19"/>
              </w:rPr>
              <w:t xml:space="preserve">Attempted volume</w:t>
            </w:r>
          </w:p>
        </w:tc>
        <w:tc>
          <w:tcPr>
            <w:tcW w:type="dxa" w:w="1600"/>
            <w:tcMar>
              <w:top w:type="dxa" w:w="60"/>
              <w:left w:type="dxa" w:w="110"/>
              <w:bottom w:type="dxa" w:w="60"/>
              <w:right w:type="dxa" w:w="110"/>
            </w:tcMar>
          </w:tcPr>
          <w:p>
            <w:pPr>
              <w:spacing w:after="40" w:before="40"/>
            </w:pPr>
            <w:r>
              <w:rPr>
                <w:b w:val="false"/>
                <w:bCs w:val="false"/>
                <w:sz w:val="19"/>
                <w:szCs w:val="19"/>
              </w:rPr>
              <w:t xml:space="preserve">created_at</w:t>
            </w:r>
          </w:p>
        </w:tc>
        <w:tc>
          <w:tcPr>
            <w:tcW w:type="dxa" w:w="1400"/>
            <w:tcMar>
              <w:top w:type="dxa" w:w="60"/>
              <w:left w:type="dxa" w:w="110"/>
              <w:bottom w:type="dxa" w:w="60"/>
              <w:right w:type="dxa" w:w="110"/>
            </w:tcMar>
          </w:tcPr>
          <w:p>
            <w:pPr>
              <w:spacing w:after="40" w:before="40"/>
            </w:pPr>
            <w:r>
              <w:rPr>
                <w:b w:val="false"/>
                <w:bCs w:val="false"/>
                <w:sz w:val="19"/>
                <w:szCs w:val="19"/>
              </w:rPr>
              <w:t xml:space="preserve">No</w:t>
            </w:r>
          </w:p>
        </w:tc>
      </w:tr>
      <w:tr>
        <w:tc>
          <w:tcPr>
            <w:tcW w:type="dxa" w:w="2000"/>
            <w:tcMar>
              <w:top w:type="dxa" w:w="60"/>
              <w:left w:type="dxa" w:w="110"/>
              <w:bottom w:type="dxa" w:w="60"/>
              <w:right w:type="dxa" w:w="110"/>
            </w:tcMar>
          </w:tcPr>
          <w:p>
            <w:pPr>
              <w:spacing w:after="40" w:before="40"/>
            </w:pPr>
            <w:r>
              <w:rPr>
                <w:b w:val="false"/>
                <w:bCs w:val="false"/>
                <w:sz w:val="19"/>
                <w:szCs w:val="19"/>
              </w:rPr>
              <w:t xml:space="preserve">Gross payment value</w:t>
            </w:r>
          </w:p>
        </w:tc>
        <w:tc>
          <w:tcPr>
            <w:tcW w:type="dxa" w:w="2100"/>
            <w:tcMar>
              <w:top w:type="dxa" w:w="60"/>
              <w:left w:type="dxa" w:w="110"/>
              <w:bottom w:type="dxa" w:w="60"/>
              <w:right w:type="dxa" w:w="110"/>
            </w:tcMar>
          </w:tcPr>
          <w:p>
            <w:pPr>
              <w:spacing w:after="40" w:before="40"/>
            </w:pPr>
            <w:r>
              <w:rPr>
                <w:b w:val="false"/>
                <w:bCs w:val="false"/>
                <w:sz w:val="19"/>
                <w:szCs w:val="19"/>
              </w:rPr>
              <w:t xml:space="preserve">Sum of amount converted to USD</w:t>
            </w:r>
          </w:p>
        </w:tc>
        <w:tc>
          <w:tcPr>
            <w:tcW w:type="dxa" w:w="1900"/>
            <w:tcMar>
              <w:top w:type="dxa" w:w="60"/>
              <w:left w:type="dxa" w:w="110"/>
              <w:bottom w:type="dxa" w:w="60"/>
              <w:right w:type="dxa" w:w="110"/>
            </w:tcMar>
          </w:tcPr>
          <w:p>
            <w:pPr>
              <w:spacing w:after="40" w:before="40"/>
            </w:pPr>
            <w:r>
              <w:rPr>
                <w:b w:val="false"/>
                <w:bCs w:val="false"/>
                <w:sz w:val="19"/>
                <w:szCs w:val="19"/>
              </w:rPr>
              <w:t xml:space="preserve">n/a</w:t>
            </w:r>
          </w:p>
        </w:tc>
        <w:tc>
          <w:tcPr>
            <w:tcW w:type="dxa" w:w="1600"/>
            <w:tcMar>
              <w:top w:type="dxa" w:w="60"/>
              <w:left w:type="dxa" w:w="110"/>
              <w:bottom w:type="dxa" w:w="60"/>
              <w:right w:type="dxa" w:w="110"/>
            </w:tcMar>
          </w:tcPr>
          <w:p>
            <w:pPr>
              <w:spacing w:after="40" w:before="40"/>
            </w:pPr>
            <w:r>
              <w:rPr>
                <w:b w:val="false"/>
                <w:bCs w:val="false"/>
                <w:sz w:val="19"/>
                <w:szCs w:val="19"/>
              </w:rPr>
              <w:t xml:space="preserve">created_at</w:t>
            </w:r>
          </w:p>
        </w:tc>
        <w:tc>
          <w:tcPr>
            <w:tcW w:type="dxa" w:w="1400"/>
            <w:tcMar>
              <w:top w:type="dxa" w:w="60"/>
              <w:left w:type="dxa" w:w="110"/>
              <w:bottom w:type="dxa" w:w="60"/>
              <w:right w:type="dxa" w:w="110"/>
            </w:tcMar>
          </w:tcPr>
          <w:p>
            <w:pPr>
              <w:spacing w:after="40" w:before="40"/>
            </w:pPr>
            <w:r>
              <w:rPr>
                <w:b w:val="false"/>
                <w:bCs w:val="false"/>
                <w:sz w:val="19"/>
                <w:szCs w:val="19"/>
              </w:rPr>
              <w:t xml:space="preserve">Yes</w:t>
            </w:r>
          </w:p>
        </w:tc>
      </w:tr>
      <w:tr>
        <w:tc>
          <w:tcPr>
            <w:tcW w:type="dxa" w:w="2000"/>
            <w:tcMar>
              <w:top w:type="dxa" w:w="60"/>
              <w:left w:type="dxa" w:w="110"/>
              <w:bottom w:type="dxa" w:w="60"/>
              <w:right w:type="dxa" w:w="110"/>
            </w:tcMar>
          </w:tcPr>
          <w:p>
            <w:pPr>
              <w:spacing w:after="40" w:before="40"/>
            </w:pPr>
            <w:r>
              <w:rPr>
                <w:b w:val="false"/>
                <w:bCs w:val="false"/>
                <w:sz w:val="19"/>
                <w:szCs w:val="19"/>
              </w:rPr>
              <w:t xml:space="preserve">Processing cost</w:t>
            </w:r>
          </w:p>
        </w:tc>
        <w:tc>
          <w:tcPr>
            <w:tcW w:type="dxa" w:w="2100"/>
            <w:tcMar>
              <w:top w:type="dxa" w:w="60"/>
              <w:left w:type="dxa" w:w="110"/>
              <w:bottom w:type="dxa" w:w="60"/>
              <w:right w:type="dxa" w:w="110"/>
            </w:tcMar>
          </w:tcPr>
          <w:p>
            <w:pPr>
              <w:spacing w:after="40" w:before="40"/>
            </w:pPr>
            <w:r>
              <w:rPr>
                <w:b w:val="false"/>
                <w:bCs w:val="false"/>
                <w:sz w:val="19"/>
                <w:szCs w:val="19"/>
              </w:rPr>
              <w:t xml:space="preserve">Route fixed fee plus variable fee on USD value</w:t>
            </w:r>
          </w:p>
        </w:tc>
        <w:tc>
          <w:tcPr>
            <w:tcW w:type="dxa" w:w="1900"/>
            <w:tcMar>
              <w:top w:type="dxa" w:w="60"/>
              <w:left w:type="dxa" w:w="110"/>
              <w:bottom w:type="dxa" w:w="60"/>
              <w:right w:type="dxa" w:w="110"/>
            </w:tcMar>
          </w:tcPr>
          <w:p>
            <w:pPr>
              <w:spacing w:after="40" w:before="40"/>
            </w:pPr>
            <w:r>
              <w:rPr>
                <w:b w:val="false"/>
                <w:bCs w:val="false"/>
                <w:sz w:val="19"/>
                <w:szCs w:val="19"/>
              </w:rPr>
              <w:t xml:space="preserve">n/a</w:t>
            </w:r>
          </w:p>
        </w:tc>
        <w:tc>
          <w:tcPr>
            <w:tcW w:type="dxa" w:w="1600"/>
            <w:tcMar>
              <w:top w:type="dxa" w:w="60"/>
              <w:left w:type="dxa" w:w="110"/>
              <w:bottom w:type="dxa" w:w="60"/>
              <w:right w:type="dxa" w:w="110"/>
            </w:tcMar>
          </w:tcPr>
          <w:p>
            <w:pPr>
              <w:spacing w:after="40" w:before="40"/>
            </w:pPr>
            <w:r>
              <w:rPr>
                <w:b w:val="false"/>
                <w:bCs w:val="false"/>
                <w:sz w:val="19"/>
                <w:szCs w:val="19"/>
              </w:rPr>
              <w:t xml:space="preserve">created_at</w:t>
            </w:r>
          </w:p>
        </w:tc>
        <w:tc>
          <w:tcPr>
            <w:tcW w:type="dxa" w:w="1400"/>
            <w:tcMar>
              <w:top w:type="dxa" w:w="60"/>
              <w:left w:type="dxa" w:w="110"/>
              <w:bottom w:type="dxa" w:w="60"/>
              <w:right w:type="dxa" w:w="110"/>
            </w:tcMar>
          </w:tcPr>
          <w:p>
            <w:pPr>
              <w:spacing w:after="40" w:before="40"/>
            </w:pPr>
            <w:r>
              <w:rPr>
                <w:b w:val="false"/>
                <w:bCs w:val="false"/>
                <w:sz w:val="19"/>
                <w:szCs w:val="19"/>
              </w:rPr>
              <w:t xml:space="preserve">Yes</w:t>
            </w:r>
          </w:p>
        </w:tc>
      </w:tr>
      <w:tr>
        <w:tc>
          <w:tcPr>
            <w:tcW w:type="dxa" w:w="2000"/>
            <w:tcMar>
              <w:top w:type="dxa" w:w="60"/>
              <w:left w:type="dxa" w:w="110"/>
              <w:bottom w:type="dxa" w:w="60"/>
              <w:right w:type="dxa" w:w="110"/>
            </w:tcMar>
          </w:tcPr>
          <w:p>
            <w:pPr>
              <w:spacing w:after="40" w:before="40"/>
            </w:pPr>
            <w:r>
              <w:rPr>
                <w:b w:val="false"/>
                <w:bCs w:val="false"/>
                <w:sz w:val="19"/>
                <w:szCs w:val="19"/>
              </w:rPr>
              <w:t xml:space="preserve">Risk cost</w:t>
            </w:r>
          </w:p>
        </w:tc>
        <w:tc>
          <w:tcPr>
            <w:tcW w:type="dxa" w:w="2100"/>
            <w:tcMar>
              <w:top w:type="dxa" w:w="60"/>
              <w:left w:type="dxa" w:w="110"/>
              <w:bottom w:type="dxa" w:w="60"/>
              <w:right w:type="dxa" w:w="110"/>
            </w:tcMar>
          </w:tcPr>
          <w:p>
            <w:pPr>
              <w:spacing w:after="40" w:before="40"/>
            </w:pPr>
            <w:r>
              <w:rPr>
                <w:b w:val="false"/>
                <w:bCs w:val="false"/>
                <w:sz w:val="19"/>
                <w:szCs w:val="19"/>
              </w:rPr>
              <w:t xml:space="preserve">Chargeback amount plus chargeback handling fee</w:t>
            </w:r>
          </w:p>
        </w:tc>
        <w:tc>
          <w:tcPr>
            <w:tcW w:type="dxa" w:w="1900"/>
            <w:tcMar>
              <w:top w:type="dxa" w:w="60"/>
              <w:left w:type="dxa" w:w="110"/>
              <w:bottom w:type="dxa" w:w="60"/>
              <w:right w:type="dxa" w:w="110"/>
            </w:tcMar>
          </w:tcPr>
          <w:p>
            <w:pPr>
              <w:spacing w:after="40" w:before="40"/>
            </w:pPr>
            <w:r>
              <w:rPr>
                <w:b w:val="false"/>
                <w:bCs w:val="false"/>
                <w:sz w:val="19"/>
                <w:szCs w:val="19"/>
              </w:rPr>
              <w:t xml:space="preserve">n/a</w:t>
            </w:r>
          </w:p>
        </w:tc>
        <w:tc>
          <w:tcPr>
            <w:tcW w:type="dxa" w:w="1600"/>
            <w:tcMar>
              <w:top w:type="dxa" w:w="60"/>
              <w:left w:type="dxa" w:w="110"/>
              <w:bottom w:type="dxa" w:w="60"/>
              <w:right w:type="dxa" w:w="110"/>
            </w:tcMar>
          </w:tcPr>
          <w:p>
            <w:pPr>
              <w:spacing w:after="40" w:before="40"/>
            </w:pPr>
            <w:r>
              <w:rPr>
                <w:b w:val="false"/>
                <w:bCs w:val="false"/>
                <w:sz w:val="19"/>
                <w:szCs w:val="19"/>
              </w:rPr>
              <w:t xml:space="preserve">Parent transaction created_at</w:t>
            </w:r>
          </w:p>
        </w:tc>
        <w:tc>
          <w:tcPr>
            <w:tcW w:type="dxa" w:w="1400"/>
            <w:tcMar>
              <w:top w:type="dxa" w:w="60"/>
              <w:left w:type="dxa" w:w="110"/>
              <w:bottom w:type="dxa" w:w="60"/>
              <w:right w:type="dxa" w:w="110"/>
            </w:tcMar>
          </w:tcPr>
          <w:p>
            <w:pPr>
              <w:spacing w:after="40" w:before="40"/>
            </w:pPr>
            <w:r>
              <w:rPr>
                <w:b w:val="false"/>
                <w:bCs w:val="false"/>
                <w:sz w:val="19"/>
                <w:szCs w:val="19"/>
              </w:rPr>
              <w:t xml:space="preserve">Yes</w:t>
            </w:r>
          </w:p>
        </w:tc>
      </w:tr>
      <w:tr>
        <w:tc>
          <w:tcPr>
            <w:tcW w:type="dxa" w:w="2000"/>
            <w:tcMar>
              <w:top w:type="dxa" w:w="60"/>
              <w:left w:type="dxa" w:w="110"/>
              <w:bottom w:type="dxa" w:w="60"/>
              <w:right w:type="dxa" w:w="110"/>
            </w:tcMar>
          </w:tcPr>
          <w:p>
            <w:pPr>
              <w:spacing w:after="40" w:before="40"/>
            </w:pPr>
            <w:r>
              <w:rPr>
                <w:b w:val="false"/>
                <w:bCs w:val="false"/>
                <w:sz w:val="19"/>
                <w:szCs w:val="19"/>
              </w:rPr>
              <w:t xml:space="preserve">Effective take rate</w:t>
            </w:r>
          </w:p>
        </w:tc>
        <w:tc>
          <w:tcPr>
            <w:tcW w:type="dxa" w:w="2100"/>
            <w:tcMar>
              <w:top w:type="dxa" w:w="60"/>
              <w:left w:type="dxa" w:w="110"/>
              <w:bottom w:type="dxa" w:w="60"/>
              <w:right w:type="dxa" w:w="110"/>
            </w:tcMar>
          </w:tcPr>
          <w:p>
            <w:pPr>
              <w:spacing w:after="40" w:before="40"/>
            </w:pPr>
            <w:r>
              <w:rPr>
                <w:b w:val="false"/>
                <w:bCs w:val="false"/>
                <w:sz w:val="19"/>
                <w:szCs w:val="19"/>
              </w:rPr>
              <w:t xml:space="preserve">Merchant revenue in USD</w:t>
            </w:r>
          </w:p>
        </w:tc>
        <w:tc>
          <w:tcPr>
            <w:tcW w:type="dxa" w:w="1900"/>
            <w:tcMar>
              <w:top w:type="dxa" w:w="60"/>
              <w:left w:type="dxa" w:w="110"/>
              <w:bottom w:type="dxa" w:w="60"/>
              <w:right w:type="dxa" w:w="110"/>
            </w:tcMar>
          </w:tcPr>
          <w:p>
            <w:pPr>
              <w:spacing w:after="40" w:before="40"/>
            </w:pPr>
            <w:r>
              <w:rPr>
                <w:b w:val="false"/>
                <w:bCs w:val="false"/>
                <w:sz w:val="19"/>
                <w:szCs w:val="19"/>
              </w:rPr>
              <w:t xml:space="preserve">Gross payment value in USD</w:t>
            </w:r>
          </w:p>
        </w:tc>
        <w:tc>
          <w:tcPr>
            <w:tcW w:type="dxa" w:w="1600"/>
            <w:tcMar>
              <w:top w:type="dxa" w:w="60"/>
              <w:left w:type="dxa" w:w="110"/>
              <w:bottom w:type="dxa" w:w="60"/>
              <w:right w:type="dxa" w:w="110"/>
            </w:tcMar>
          </w:tcPr>
          <w:p>
            <w:pPr>
              <w:spacing w:after="40" w:before="40"/>
            </w:pPr>
            <w:r>
              <w:rPr>
                <w:b w:val="false"/>
                <w:bCs w:val="false"/>
                <w:sz w:val="19"/>
                <w:szCs w:val="19"/>
              </w:rPr>
              <w:t xml:space="preserve">created_at</w:t>
            </w:r>
          </w:p>
        </w:tc>
        <w:tc>
          <w:tcPr>
            <w:tcW w:type="dxa" w:w="1400"/>
            <w:tcMar>
              <w:top w:type="dxa" w:w="60"/>
              <w:left w:type="dxa" w:w="110"/>
              <w:bottom w:type="dxa" w:w="60"/>
              <w:right w:type="dxa" w:w="110"/>
            </w:tcMar>
          </w:tcPr>
          <w:p>
            <w:pPr>
              <w:spacing w:after="40" w:before="40"/>
            </w:pPr>
            <w:r>
              <w:rPr>
                <w:b w:val="false"/>
                <w:bCs w:val="false"/>
                <w:sz w:val="19"/>
                <w:szCs w:val="19"/>
              </w:rPr>
              <w:t xml:space="preserve">No</w:t>
            </w:r>
          </w:p>
        </w:tc>
      </w:tr>
      <w:tr>
        <w:tc>
          <w:tcPr>
            <w:tcW w:type="dxa" w:w="2000"/>
            <w:tcMar>
              <w:top w:type="dxa" w:w="60"/>
              <w:left w:type="dxa" w:w="110"/>
              <w:bottom w:type="dxa" w:w="60"/>
              <w:right w:type="dxa" w:w="110"/>
            </w:tcMar>
          </w:tcPr>
          <w:p>
            <w:pPr>
              <w:spacing w:after="40" w:before="40"/>
            </w:pPr>
            <w:r>
              <w:rPr>
                <w:b w:val="false"/>
                <w:bCs w:val="false"/>
                <w:sz w:val="19"/>
                <w:szCs w:val="19"/>
              </w:rPr>
              <w:t xml:space="preserve">Cost per successful txn</w:t>
            </w:r>
          </w:p>
        </w:tc>
        <w:tc>
          <w:tcPr>
            <w:tcW w:type="dxa" w:w="2100"/>
            <w:tcMar>
              <w:top w:type="dxa" w:w="60"/>
              <w:left w:type="dxa" w:w="110"/>
              <w:bottom w:type="dxa" w:w="60"/>
              <w:right w:type="dxa" w:w="110"/>
            </w:tcMar>
          </w:tcPr>
          <w:p>
            <w:pPr>
              <w:spacing w:after="40" w:before="40"/>
            </w:pPr>
            <w:r>
              <w:rPr>
                <w:b w:val="false"/>
                <w:bCs w:val="false"/>
                <w:sz w:val="19"/>
                <w:szCs w:val="19"/>
              </w:rPr>
              <w:t xml:space="preserve">Processing cost in USD</w:t>
            </w:r>
          </w:p>
        </w:tc>
        <w:tc>
          <w:tcPr>
            <w:tcW w:type="dxa" w:w="1900"/>
            <w:tcMar>
              <w:top w:type="dxa" w:w="60"/>
              <w:left w:type="dxa" w:w="110"/>
              <w:bottom w:type="dxa" w:w="60"/>
              <w:right w:type="dxa" w:w="110"/>
            </w:tcMar>
          </w:tcPr>
          <w:p>
            <w:pPr>
              <w:spacing w:after="40" w:before="40"/>
            </w:pPr>
            <w:r>
              <w:rPr>
                <w:b w:val="false"/>
                <w:bCs w:val="false"/>
                <w:sz w:val="19"/>
                <w:szCs w:val="19"/>
              </w:rPr>
              <w:t xml:space="preserve">Successful volume</w:t>
            </w:r>
          </w:p>
        </w:tc>
        <w:tc>
          <w:tcPr>
            <w:tcW w:type="dxa" w:w="1600"/>
            <w:tcMar>
              <w:top w:type="dxa" w:w="60"/>
              <w:left w:type="dxa" w:w="110"/>
              <w:bottom w:type="dxa" w:w="60"/>
              <w:right w:type="dxa" w:w="110"/>
            </w:tcMar>
          </w:tcPr>
          <w:p>
            <w:pPr>
              <w:spacing w:after="40" w:before="40"/>
            </w:pPr>
            <w:r>
              <w:rPr>
                <w:b w:val="false"/>
                <w:bCs w:val="false"/>
                <w:sz w:val="19"/>
                <w:szCs w:val="19"/>
              </w:rPr>
              <w:t xml:space="preserve">created_at</w:t>
            </w:r>
          </w:p>
        </w:tc>
        <w:tc>
          <w:tcPr>
            <w:tcW w:type="dxa" w:w="1400"/>
            <w:tcMar>
              <w:top w:type="dxa" w:w="60"/>
              <w:left w:type="dxa" w:w="110"/>
              <w:bottom w:type="dxa" w:w="60"/>
              <w:right w:type="dxa" w:w="110"/>
            </w:tcMar>
          </w:tcPr>
          <w:p>
            <w:pPr>
              <w:spacing w:after="40" w:before="40"/>
            </w:pPr>
            <w:r>
              <w:rPr>
                <w:b w:val="false"/>
                <w:bCs w:val="false"/>
                <w:sz w:val="19"/>
                <w:szCs w:val="19"/>
              </w:rPr>
              <w:t xml:space="preserve">No</w:t>
            </w:r>
          </w:p>
        </w:tc>
      </w:tr>
    </w:tbl>
    <w:p>
      <w:pPr>
        <w:pStyle w:val="Heading1"/>
        <w:spacing w:after="120" w:before="280"/>
      </w:pPr>
      <w:r>
        <w:rPr>
          <w:b/>
          <w:bCs/>
        </w:rPr>
        <w:t xml:space="preserve">4. Scope</w:t>
      </w:r>
    </w:p>
    <w:p>
      <w:pPr>
        <w:pStyle w:val="ListParagraph"/>
        <w:numPr>
          <w:ilvl w:val="0"/>
          <w:numId w:val="2"/>
        </w:numPr>
        <w:spacing w:after="60"/>
      </w:pPr>
      <w:r>
        <w:rPr>
          <w:sz w:val="20"/>
          <w:szCs w:val="20"/>
        </w:rPr>
        <w:t xml:space="preserve">Period: 1 January 2025 to 31 December 2025 inclusive.</w:t>
      </w:r>
    </w:p>
    <w:p>
      <w:pPr>
        <w:pStyle w:val="ListParagraph"/>
        <w:numPr>
          <w:ilvl w:val="0"/>
          <w:numId w:val="2"/>
        </w:numPr>
        <w:spacing w:after="60"/>
      </w:pPr>
      <w:r>
        <w:rPr>
          <w:sz w:val="20"/>
          <w:szCs w:val="20"/>
        </w:rPr>
        <w:t xml:space="preserve">Entities: all merchants and customers in India, Singapore and the UAE.</w:t>
      </w:r>
    </w:p>
    <w:p>
      <w:pPr>
        <w:pStyle w:val="ListParagraph"/>
        <w:numPr>
          <w:ilvl w:val="0"/>
          <w:numId w:val="2"/>
        </w:numPr>
        <w:spacing w:after="60"/>
      </w:pPr>
      <w:r>
        <w:rPr>
          <w:sz w:val="20"/>
          <w:szCs w:val="20"/>
        </w:rPr>
        <w:t xml:space="preserve">Channels: card, UPI, wallet and bank transfer.</w:t>
      </w:r>
    </w:p>
    <w:p>
      <w:pPr>
        <w:pStyle w:val="ListParagraph"/>
        <w:numPr>
          <w:ilvl w:val="0"/>
          <w:numId w:val="2"/>
        </w:numPr>
        <w:spacing w:after="60"/>
      </w:pPr>
      <w:r>
        <w:rPr>
          <w:sz w:val="20"/>
          <w:szCs w:val="20"/>
        </w:rPr>
        <w:t xml:space="preserve">Reporting currency: USD.</w:t>
      </w:r>
    </w:p>
    <w:p>
      <w:pPr>
        <w:pStyle w:val="Heading2"/>
        <w:spacing w:after="120" w:before="280"/>
      </w:pPr>
      <w:r>
        <w:rPr>
          <w:b/>
          <w:bCs/>
        </w:rPr>
        <w:t xml:space="preserve">4.1 Exclusions</w:t>
      </w:r>
    </w:p>
    <w:p>
      <w:pPr>
        <w:pStyle w:val="ListParagraph"/>
        <w:numPr>
          <w:ilvl w:val="0"/>
          <w:numId w:val="2"/>
        </w:numPr>
        <w:spacing w:after="60"/>
      </w:pPr>
      <w:r>
        <w:rPr>
          <w:sz w:val="20"/>
          <w:szCs w:val="20"/>
        </w:rPr>
        <w:t xml:space="preserve">Fixed and overhead costs. This is a contribution-margin analysis, not a full P&amp;L.</w:t>
      </w:r>
    </w:p>
    <w:p>
      <w:pPr>
        <w:pStyle w:val="ListParagraph"/>
        <w:numPr>
          <w:ilvl w:val="0"/>
          <w:numId w:val="2"/>
        </w:numPr>
        <w:spacing w:after="60"/>
      </w:pPr>
      <w:r>
        <w:rPr>
          <w:sz w:val="20"/>
          <w:szCs w:val="20"/>
        </w:rPr>
        <w:t xml:space="preserve">Customer acquisition cost and merchant onboarding cost.</w:t>
      </w:r>
    </w:p>
    <w:p>
      <w:pPr>
        <w:pStyle w:val="ListParagraph"/>
        <w:numPr>
          <w:ilvl w:val="0"/>
          <w:numId w:val="2"/>
        </w:numPr>
        <w:spacing w:after="60"/>
      </w:pPr>
      <w:r>
        <w:rPr>
          <w:sz w:val="20"/>
          <w:szCs w:val="20"/>
        </w:rPr>
        <w:t xml:space="preserve">Settlement records with no matching transaction. They cannot be attributed and are reported as a reconciliation break rather than analysed.</w:t>
      </w:r>
    </w:p>
    <w:p>
      <w:pPr>
        <w:pStyle w:val="ListParagraph"/>
        <w:numPr>
          <w:ilvl w:val="0"/>
          <w:numId w:val="2"/>
        </w:numPr>
        <w:spacing w:after="60"/>
      </w:pPr>
      <w:r>
        <w:rPr>
          <w:sz w:val="20"/>
          <w:szCs w:val="20"/>
        </w:rPr>
        <w:t xml:space="preserve">Any period outside 2025, including settlement events landing in January 2026 for December 2025 transactions.</w:t>
      </w:r>
    </w:p>
    <w:p>
      <w:pPr>
        <w:pStyle w:val="Heading2"/>
        <w:spacing w:after="120" w:before="280"/>
      </w:pPr>
      <w:r>
        <w:rPr>
          <w:b/>
          <w:bCs/>
        </w:rPr>
        <w:t xml:space="preserve">4.2 Assumptions</w:t>
      </w:r>
    </w:p>
    <w:p>
      <w:pPr>
        <w:spacing w:after="120"/>
      </w:pPr>
      <w:r>
        <w:rPr>
          <w:i w:val="false"/>
          <w:iCs w:val="false"/>
          <w:sz w:val="20"/>
          <w:szCs w:val="20"/>
        </w:rPr>
        <w:t xml:space="preserve">Each assumption below is a decision with a defensible alternative. Where an assumption materially changes the result, a sensitivity test is included in the analysis.</w:t>
      </w:r>
    </w:p>
    <w:p>
      <w:pPr>
        <w:pStyle w:val="ListParagraph"/>
        <w:numPr>
          <w:ilvl w:val="0"/>
          <w:numId w:val="2"/>
        </w:numPr>
        <w:spacing w:after="60"/>
      </w:pPr>
      <w:r>
        <w:rPr>
          <w:sz w:val="20"/>
          <w:szCs w:val="20"/>
        </w:rPr>
        <w:t xml:space="preserve">A1. Currency conversion uses the SETTLEMENT rate type on the transaction date. The MID rate is the quoted rate, not the realised one, and using it would overstate USD revenue. Sensitivity tested against MID.</w:t>
      </w:r>
    </w:p>
    <w:p>
      <w:pPr>
        <w:pStyle w:val="ListParagraph"/>
        <w:numPr>
          <w:ilvl w:val="0"/>
          <w:numId w:val="2"/>
        </w:numPr>
        <w:spacing w:after="60"/>
      </w:pPr>
      <w:r>
        <w:rPr>
          <w:sz w:val="20"/>
          <w:szCs w:val="20"/>
        </w:rPr>
        <w:t xml:space="preserve">A2. Settlement fees are attributed back to the transaction month, not the settlement month, so that revenue and cost sit in the same period.</w:t>
      </w:r>
    </w:p>
    <w:p>
      <w:pPr>
        <w:pStyle w:val="ListParagraph"/>
        <w:numPr>
          <w:ilvl w:val="0"/>
          <w:numId w:val="2"/>
        </w:numPr>
        <w:spacing w:after="60"/>
      </w:pPr>
      <w:r>
        <w:rPr>
          <w:sz w:val="20"/>
          <w:szCs w:val="20"/>
        </w:rPr>
        <w:t xml:space="preserve">A3. Captured transactions with no settlement record are retained, not dropped. Their fee is imputed from the dated route cost table and flagged. Dropping them would bias the most recent months, where unsettled transactions concentrate.</w:t>
      </w:r>
    </w:p>
    <w:p>
      <w:pPr>
        <w:pStyle w:val="ListParagraph"/>
        <w:numPr>
          <w:ilvl w:val="0"/>
          <w:numId w:val="2"/>
        </w:numPr>
        <w:spacing w:after="60"/>
      </w:pPr>
      <w:r>
        <w:rPr>
          <w:sz w:val="20"/>
          <w:szCs w:val="20"/>
        </w:rPr>
        <w:t xml:space="preserve">A4. Transactions with a missing merchant identifier are retained in the executive KPI, because they are real payments, but excluded from any merchant-level breakdown.</w:t>
      </w:r>
    </w:p>
    <w:p>
      <w:pPr>
        <w:pStyle w:val="ListParagraph"/>
        <w:numPr>
          <w:ilvl w:val="0"/>
          <w:numId w:val="2"/>
        </w:numPr>
        <w:spacing w:after="60"/>
      </w:pPr>
      <w:r>
        <w:rPr>
          <w:sz w:val="20"/>
          <w:szCs w:val="20"/>
        </w:rPr>
        <w:t xml:space="preserve">A5. Negative amounts carrying a REVERSED status are treated as legitimate reversals, not defects. The business definition does not exclude every negative value.</w:t>
      </w:r>
    </w:p>
    <w:p>
      <w:pPr>
        <w:pStyle w:val="ListParagraph"/>
        <w:numPr>
          <w:ilvl w:val="0"/>
          <w:numId w:val="2"/>
        </w:numPr>
        <w:spacing w:after="60"/>
      </w:pPr>
      <w:r>
        <w:rPr>
          <w:sz w:val="20"/>
          <w:szCs w:val="20"/>
        </w:rPr>
        <w:t xml:space="preserve">A6. Route costs are read from the dated route cost table on the transaction date, because provider fees are not constant across the period.</w:t>
      </w:r>
    </w:p>
    <w:p>
      <w:pPr>
        <w:pStyle w:val="Heading1"/>
        <w:spacing w:after="120" w:before="280"/>
      </w:pPr>
      <w:r>
        <w:rPr>
          <w:b/>
          <w:bCs/>
        </w:rPr>
        <w:t xml:space="preserve">5. Hypothesis structure</w:t>
      </w:r>
    </w:p>
    <w:p>
      <w:pPr>
        <w:spacing w:after="120"/>
      </w:pPr>
      <w:r>
        <w:rPr>
          <w:i w:val="false"/>
          <w:iCs w:val="false"/>
          <w:sz w:val="20"/>
          <w:szCs w:val="20"/>
        </w:rPr>
        <w:t xml:space="preserve">The hypothesis tree is derived from the arithmetic of the executive KPI rather than from stakeholder opinion, which makes it mutually exclusive and collectively exhaustive by construction. Per successful transaction:</w:t>
      </w:r>
    </w:p>
    <w:p>
      <w:pPr>
        <w:spacing w:after="160" w:before="60"/>
        <w:jc w:val="center"/>
      </w:pPr>
      <w:r>
        <w:rPr>
          <w:b/>
          <w:bCs/>
          <w:sz w:val="22"/>
          <w:szCs w:val="22"/>
        </w:rPr>
        <w:t xml:space="preserve">contribution = revenue − processing cost − risk cost</w:t>
      </w:r>
    </w:p>
    <w:p>
      <w:pPr>
        <w:spacing w:after="120"/>
      </w:pPr>
      <w:r>
        <w:rPr>
          <w:i w:val="false"/>
          <w:iCs w:val="false"/>
          <w:sz w:val="20"/>
          <w:szCs w:val="20"/>
        </w:rPr>
        <w:t xml:space="preserve">A fall in contribution must therefore come from a fall in revenue, a rise in processing cost, a rise in risk cost, or some combination. Each of those splits again into a mix effect (the weights moved between segments) and a rate effect (performance changed within a segment). That mix-versus-rate distinction is the analytical core of this diagnostic: a blended average can fall while every individual segment improves.</w:t>
      </w:r>
    </w:p>
    <w:p>
      <w:pPr>
        <w:spacing w:after="120"/>
      </w:pPr>
      <w:r>
        <w:rPr>
          <w:i w:val="false"/>
          <w:iCs w:val="false"/>
          <w:sz w:val="20"/>
          <w:szCs w:val="20"/>
        </w:rPr>
        <w:t xml:space="preserve">The Data Head's position is deliberately not a branch of this tree. "The reporting cannot be trusted" is a precondition on evaluating any of the others, so it is treated as a gate that must be cleared first.</w:t>
      </w:r>
    </w:p>
    <w:p>
      <w:pPr>
        <w:pStyle w:val="Heading2"/>
        <w:spacing w:after="120" w:before="280"/>
      </w:pPr>
      <w:r>
        <w:rPr>
          <w:b/>
          <w:bCs/>
        </w:rPr>
        <w:t xml:space="preserve">5.1 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2500"/>
      </w:tblGrid>
      <w:tr>
        <w:trPr>
          <w:tblHeader/>
        </w:trPr>
        <w:tc>
          <w:tcPr>
            <w:tcW w:type="dxa" w:w="900"/>
            <w:shd w:fill="D9E2F3" w:val="clear"/>
            <w:tcMar>
              <w:top w:type="dxa" w:w="60"/>
              <w:left w:type="dxa" w:w="110"/>
              <w:bottom w:type="dxa" w:w="60"/>
              <w:right w:type="dxa" w:w="110"/>
            </w:tcMar>
          </w:tcPr>
          <w:p>
            <w:pPr>
              <w:spacing w:after="40" w:before="40"/>
            </w:pPr>
            <w:r>
              <w:rPr>
                <w:b/>
                <w:bCs/>
                <w:sz w:val="19"/>
                <w:szCs w:val="19"/>
              </w:rPr>
              <w:t xml:space="preserve">ID</w:t>
            </w:r>
          </w:p>
        </w:tc>
        <w:tc>
          <w:tcPr>
            <w:tcW w:type="dxa" w:w="3200"/>
            <w:shd w:fill="D9E2F3" w:val="clear"/>
            <w:tcMar>
              <w:top w:type="dxa" w:w="60"/>
              <w:left w:type="dxa" w:w="110"/>
              <w:bottom w:type="dxa" w:w="60"/>
              <w:right w:type="dxa" w:w="110"/>
            </w:tcMar>
          </w:tcPr>
          <w:p>
            <w:pPr>
              <w:spacing w:after="40" w:before="40"/>
            </w:pPr>
            <w:r>
              <w:rPr>
                <w:b/>
                <w:bCs/>
                <w:sz w:val="19"/>
                <w:szCs w:val="19"/>
              </w:rPr>
              <w:t xml:space="preserve">Hypothesis</w:t>
            </w:r>
          </w:p>
        </w:tc>
        <w:tc>
          <w:tcPr>
            <w:tcW w:type="dxa" w:w="2400"/>
            <w:shd w:fill="D9E2F3" w:val="clear"/>
            <w:tcMar>
              <w:top w:type="dxa" w:w="60"/>
              <w:left w:type="dxa" w:w="110"/>
              <w:bottom w:type="dxa" w:w="60"/>
              <w:right w:type="dxa" w:w="110"/>
            </w:tcMar>
          </w:tcPr>
          <w:p>
            <w:pPr>
              <w:spacing w:after="40" w:before="40"/>
            </w:pPr>
            <w:r>
              <w:rPr>
                <w:b/>
                <w:bCs/>
                <w:sz w:val="19"/>
                <w:szCs w:val="19"/>
              </w:rPr>
              <w:t xml:space="preserve">Confirms if</w:t>
            </w:r>
          </w:p>
        </w:tc>
        <w:tc>
          <w:tcPr>
            <w:tcW w:type="dxa" w:w="2500"/>
            <w:shd w:fill="D9E2F3" w:val="clear"/>
            <w:tcMar>
              <w:top w:type="dxa" w:w="60"/>
              <w:left w:type="dxa" w:w="110"/>
              <w:bottom w:type="dxa" w:w="60"/>
              <w:right w:type="dxa" w:w="110"/>
            </w:tcMar>
          </w:tcPr>
          <w:p>
            <w:pPr>
              <w:spacing w:after="40" w:before="40"/>
            </w:pPr>
            <w:r>
              <w:rPr>
                <w:b/>
                <w:bCs/>
                <w:sz w:val="19"/>
                <w:szCs w:val="19"/>
              </w:rPr>
              <w:t xml:space="preserve">Rejects if</w:t>
            </w:r>
          </w:p>
        </w:tc>
      </w:tr>
      <w:tr>
        <w:tc>
          <w:tcPr>
            <w:tcW w:type="dxa" w:w="900"/>
            <w:tcMar>
              <w:top w:type="dxa" w:w="60"/>
              <w:left w:type="dxa" w:w="110"/>
              <w:bottom w:type="dxa" w:w="60"/>
              <w:right w:type="dxa" w:w="110"/>
            </w:tcMar>
          </w:tcPr>
          <w:p>
            <w:pPr>
              <w:spacing w:after="40" w:before="40"/>
            </w:pPr>
            <w:r>
              <w:rPr>
                <w:b w:val="false"/>
                <w:bCs w:val="false"/>
                <w:sz w:val="19"/>
                <w:szCs w:val="19"/>
              </w:rPr>
              <w:t xml:space="preserve">H0</w:t>
            </w:r>
          </w:p>
        </w:tc>
        <w:tc>
          <w:tcPr>
            <w:tcW w:type="dxa" w:w="3200"/>
            <w:tcMar>
              <w:top w:type="dxa" w:w="60"/>
              <w:left w:type="dxa" w:w="110"/>
              <w:bottom w:type="dxa" w:w="60"/>
              <w:right w:type="dxa" w:w="110"/>
            </w:tcMar>
          </w:tcPr>
          <w:p>
            <w:pPr>
              <w:spacing w:after="40" w:before="40"/>
            </w:pPr>
            <w:r>
              <w:rPr>
                <w:b w:val="false"/>
                <w:bCs w:val="false"/>
                <w:sz w:val="19"/>
                <w:szCs w:val="19"/>
              </w:rPr>
              <w:t xml:space="preserve">The reported deterioration is partly or wholly a data-quality artefact.</w:t>
            </w:r>
          </w:p>
        </w:tc>
        <w:tc>
          <w:tcPr>
            <w:tcW w:type="dxa" w:w="2400"/>
            <w:tcMar>
              <w:top w:type="dxa" w:w="60"/>
              <w:left w:type="dxa" w:w="110"/>
              <w:bottom w:type="dxa" w:w="60"/>
              <w:right w:type="dxa" w:w="110"/>
            </w:tcMar>
          </w:tcPr>
          <w:p>
            <w:pPr>
              <w:spacing w:after="40" w:before="40"/>
            </w:pPr>
            <w:r>
              <w:rPr>
                <w:b w:val="false"/>
                <w:bCs w:val="false"/>
                <w:sz w:val="19"/>
                <w:szCs w:val="19"/>
              </w:rPr>
              <w:t xml:space="preserve">Transaction-side and settlement-side totals fail to reconcile, or a one-to-many join is found to inflate payment amount in existing reporting.</w:t>
            </w:r>
          </w:p>
        </w:tc>
        <w:tc>
          <w:tcPr>
            <w:tcW w:type="dxa" w:w="2500"/>
            <w:tcMar>
              <w:top w:type="dxa" w:w="60"/>
              <w:left w:type="dxa" w:w="110"/>
              <w:bottom w:type="dxa" w:w="60"/>
              <w:right w:type="dxa" w:w="110"/>
            </w:tcMar>
          </w:tcPr>
          <w:p>
            <w:pPr>
              <w:spacing w:after="40" w:before="40"/>
            </w:pPr>
            <w:r>
              <w:rPr>
                <w:b w:val="false"/>
                <w:bCs w:val="false"/>
                <w:sz w:val="19"/>
                <w:szCs w:val="19"/>
              </w:rPr>
              <w:t xml:space="preserve">Reconciliation closes within tolerance and defect rates are stable across the period.</w:t>
            </w:r>
          </w:p>
        </w:tc>
      </w:tr>
    </w:tbl>
    <w:p>
      <w:pPr>
        <w:pStyle w:val="Heading2"/>
        <w:spacing w:after="120" w:before="280"/>
      </w:pPr>
      <w:r>
        <w:rPr>
          <w:b/>
          <w:bCs/>
        </w:rPr>
        <w:t xml:space="preserve">5.2 Competing hypotheses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2500"/>
      </w:tblGrid>
      <w:tr>
        <w:trPr>
          <w:tblHeader/>
        </w:trPr>
        <w:tc>
          <w:tcPr>
            <w:tcW w:type="dxa" w:w="900"/>
            <w:shd w:fill="D9E2F3" w:val="clear"/>
            <w:tcMar>
              <w:top w:type="dxa" w:w="60"/>
              <w:left w:type="dxa" w:w="110"/>
              <w:bottom w:type="dxa" w:w="60"/>
              <w:right w:type="dxa" w:w="110"/>
            </w:tcMar>
          </w:tcPr>
          <w:p>
            <w:pPr>
              <w:spacing w:after="40" w:before="40"/>
            </w:pPr>
            <w:r>
              <w:rPr>
                <w:b/>
                <w:bCs/>
                <w:sz w:val="19"/>
                <w:szCs w:val="19"/>
              </w:rPr>
              <w:t xml:space="preserve">ID</w:t>
            </w:r>
          </w:p>
        </w:tc>
        <w:tc>
          <w:tcPr>
            <w:tcW w:type="dxa" w:w="3200"/>
            <w:shd w:fill="D9E2F3" w:val="clear"/>
            <w:tcMar>
              <w:top w:type="dxa" w:w="60"/>
              <w:left w:type="dxa" w:w="110"/>
              <w:bottom w:type="dxa" w:w="60"/>
              <w:right w:type="dxa" w:w="110"/>
            </w:tcMar>
          </w:tcPr>
          <w:p>
            <w:pPr>
              <w:spacing w:after="40" w:before="40"/>
            </w:pPr>
            <w:r>
              <w:rPr>
                <w:b/>
                <w:bCs/>
                <w:sz w:val="19"/>
                <w:szCs w:val="19"/>
              </w:rPr>
              <w:t xml:space="preserve">Hypothesis</w:t>
            </w:r>
          </w:p>
        </w:tc>
        <w:tc>
          <w:tcPr>
            <w:tcW w:type="dxa" w:w="2400"/>
            <w:shd w:fill="D9E2F3" w:val="clear"/>
            <w:tcMar>
              <w:top w:type="dxa" w:w="60"/>
              <w:left w:type="dxa" w:w="110"/>
              <w:bottom w:type="dxa" w:w="60"/>
              <w:right w:type="dxa" w:w="110"/>
            </w:tcMar>
          </w:tcPr>
          <w:p>
            <w:pPr>
              <w:spacing w:after="40" w:before="40"/>
            </w:pPr>
            <w:r>
              <w:rPr>
                <w:b/>
                <w:bCs/>
                <w:sz w:val="19"/>
                <w:szCs w:val="19"/>
              </w:rPr>
              <w:t xml:space="preserve">Confirms if</w:t>
            </w:r>
          </w:p>
        </w:tc>
        <w:tc>
          <w:tcPr>
            <w:tcW w:type="dxa" w:w="2500"/>
            <w:shd w:fill="D9E2F3" w:val="clear"/>
            <w:tcMar>
              <w:top w:type="dxa" w:w="60"/>
              <w:left w:type="dxa" w:w="110"/>
              <w:bottom w:type="dxa" w:w="60"/>
              <w:right w:type="dxa" w:w="110"/>
            </w:tcMar>
          </w:tcPr>
          <w:p>
            <w:pPr>
              <w:spacing w:after="40" w:before="40"/>
            </w:pPr>
            <w:r>
              <w:rPr>
                <w:b/>
                <w:bCs/>
                <w:sz w:val="19"/>
                <w:szCs w:val="19"/>
              </w:rPr>
              <w:t xml:space="preserve">Rejects if</w:t>
            </w:r>
          </w:p>
        </w:tc>
      </w:tr>
      <w:tr>
        <w:tc>
          <w:tcPr>
            <w:tcW w:type="dxa" w:w="900"/>
            <w:tcMar>
              <w:top w:type="dxa" w:w="60"/>
              <w:left w:type="dxa" w:w="110"/>
              <w:bottom w:type="dxa" w:w="60"/>
              <w:right w:type="dxa" w:w="110"/>
            </w:tcMar>
          </w:tcPr>
          <w:p>
            <w:pPr>
              <w:spacing w:after="40" w:before="40"/>
            </w:pPr>
            <w:r>
              <w:rPr>
                <w:b w:val="false"/>
                <w:bCs w:val="false"/>
                <w:sz w:val="19"/>
                <w:szCs w:val="19"/>
              </w:rPr>
              <w:t xml:space="preserve">H1a</w:t>
            </w:r>
          </w:p>
        </w:tc>
        <w:tc>
          <w:tcPr>
            <w:tcW w:type="dxa" w:w="3200"/>
            <w:tcMar>
              <w:top w:type="dxa" w:w="60"/>
              <w:left w:type="dxa" w:w="110"/>
              <w:bottom w:type="dxa" w:w="60"/>
              <w:right w:type="dxa" w:w="110"/>
            </w:tcMar>
          </w:tcPr>
          <w:p>
            <w:pPr>
              <w:spacing w:after="40" w:before="40"/>
            </w:pPr>
            <w:r>
              <w:rPr>
                <w:b w:val="false"/>
                <w:bCs w:val="false"/>
                <w:sz w:val="19"/>
                <w:szCs w:val="19"/>
              </w:rPr>
              <w:t xml:space="preserve">Revenue per successful transaction fell because the business mix moved toward lower-value transactions.</w:t>
            </w:r>
          </w:p>
        </w:tc>
        <w:tc>
          <w:tcPr>
            <w:tcW w:type="dxa" w:w="2400"/>
            <w:tcMar>
              <w:top w:type="dxa" w:w="60"/>
              <w:left w:type="dxa" w:w="110"/>
              <w:bottom w:type="dxa" w:w="60"/>
              <w:right w:type="dxa" w:w="110"/>
            </w:tcMar>
          </w:tcPr>
          <w:p>
            <w:pPr>
              <w:spacing w:after="40" w:before="40"/>
            </w:pPr>
            <w:r>
              <w:rPr>
                <w:b w:val="false"/>
                <w:bCs w:val="false"/>
                <w:sz w:val="19"/>
                <w:szCs w:val="19"/>
              </w:rPr>
              <w:t xml:space="preserve">Segment weights shift materially across the period and reweighting the closing month to the opening month's mix removes most of the decline.</w:t>
            </w:r>
          </w:p>
        </w:tc>
        <w:tc>
          <w:tcPr>
            <w:tcW w:type="dxa" w:w="2500"/>
            <w:tcMar>
              <w:top w:type="dxa" w:w="60"/>
              <w:left w:type="dxa" w:w="110"/>
              <w:bottom w:type="dxa" w:w="60"/>
              <w:right w:type="dxa" w:w="110"/>
            </w:tcMar>
          </w:tcPr>
          <w:p>
            <w:pPr>
              <w:spacing w:after="40" w:before="40"/>
            </w:pPr>
            <w:r>
              <w:rPr>
                <w:b w:val="false"/>
                <w:bCs w:val="false"/>
                <w:sz w:val="19"/>
                <w:szCs w:val="19"/>
              </w:rPr>
              <w:t xml:space="preserve">Segment weights are broadly stable, or reweighting leaves the decline substantially intact.</w:t>
            </w:r>
          </w:p>
        </w:tc>
      </w:tr>
      <w:tr>
        <w:tc>
          <w:tcPr>
            <w:tcW w:type="dxa" w:w="900"/>
            <w:tcMar>
              <w:top w:type="dxa" w:w="60"/>
              <w:left w:type="dxa" w:w="110"/>
              <w:bottom w:type="dxa" w:w="60"/>
              <w:right w:type="dxa" w:w="110"/>
            </w:tcMar>
          </w:tcPr>
          <w:p>
            <w:pPr>
              <w:spacing w:after="40" w:before="40"/>
            </w:pPr>
            <w:r>
              <w:rPr>
                <w:b w:val="false"/>
                <w:bCs w:val="false"/>
                <w:sz w:val="19"/>
                <w:szCs w:val="19"/>
              </w:rPr>
              <w:t xml:space="preserve">H1b</w:t>
            </w:r>
          </w:p>
        </w:tc>
        <w:tc>
          <w:tcPr>
            <w:tcW w:type="dxa" w:w="3200"/>
            <w:tcMar>
              <w:top w:type="dxa" w:w="60"/>
              <w:left w:type="dxa" w:w="110"/>
              <w:bottom w:type="dxa" w:w="60"/>
              <w:right w:type="dxa" w:w="110"/>
            </w:tcMar>
          </w:tcPr>
          <w:p>
            <w:pPr>
              <w:spacing w:after="40" w:before="40"/>
            </w:pPr>
            <w:r>
              <w:rPr>
                <w:b w:val="false"/>
                <w:bCs w:val="false"/>
                <w:sz w:val="19"/>
                <w:szCs w:val="19"/>
              </w:rPr>
              <w:t xml:space="preserve">Revenue per successful transaction fell because merchant pricing weakened. (CFO)</w:t>
            </w:r>
          </w:p>
        </w:tc>
        <w:tc>
          <w:tcPr>
            <w:tcW w:type="dxa" w:w="2400"/>
            <w:tcMar>
              <w:top w:type="dxa" w:w="60"/>
              <w:left w:type="dxa" w:w="110"/>
              <w:bottom w:type="dxa" w:w="60"/>
              <w:right w:type="dxa" w:w="110"/>
            </w:tcMar>
          </w:tcPr>
          <w:p>
            <w:pPr>
              <w:spacing w:after="40" w:before="40"/>
            </w:pPr>
            <w:r>
              <w:rPr>
                <w:b w:val="false"/>
                <w:bCs w:val="false"/>
                <w:sz w:val="19"/>
                <w:szCs w:val="19"/>
              </w:rPr>
              <w:t xml:space="preserve">Effective take rate falls within pricing plan and within merchant, holding ticket size band constant.</w:t>
            </w:r>
          </w:p>
        </w:tc>
        <w:tc>
          <w:tcPr>
            <w:tcW w:type="dxa" w:w="2500"/>
            <w:tcMar>
              <w:top w:type="dxa" w:w="60"/>
              <w:left w:type="dxa" w:w="110"/>
              <w:bottom w:type="dxa" w:w="60"/>
              <w:right w:type="dxa" w:w="110"/>
            </w:tcMar>
          </w:tcPr>
          <w:p>
            <w:pPr>
              <w:spacing w:after="40" w:before="40"/>
            </w:pPr>
            <w:r>
              <w:rPr>
                <w:b w:val="false"/>
                <w:bCs w:val="false"/>
                <w:sz w:val="19"/>
                <w:szCs w:val="19"/>
              </w:rPr>
              <w:t xml:space="preserve">Take rate within every pricing plan is flat or rising, and only the blended rate falls. The decline is then mix, i.e. H1a.</w:t>
            </w:r>
          </w:p>
        </w:tc>
      </w:tr>
      <w:tr>
        <w:tc>
          <w:tcPr>
            <w:tcW w:type="dxa" w:w="900"/>
            <w:tcMar>
              <w:top w:type="dxa" w:w="60"/>
              <w:left w:type="dxa" w:w="110"/>
              <w:bottom w:type="dxa" w:w="60"/>
              <w:right w:type="dxa" w:w="110"/>
            </w:tcMar>
          </w:tcPr>
          <w:p>
            <w:pPr>
              <w:spacing w:after="40" w:before="40"/>
            </w:pPr>
            <w:r>
              <w:rPr>
                <w:b w:val="false"/>
                <w:bCs w:val="false"/>
                <w:sz w:val="19"/>
                <w:szCs w:val="19"/>
              </w:rPr>
              <w:t xml:space="preserve">H1c</w:t>
            </w:r>
          </w:p>
        </w:tc>
        <w:tc>
          <w:tcPr>
            <w:tcW w:type="dxa" w:w="3200"/>
            <w:tcMar>
              <w:top w:type="dxa" w:w="60"/>
              <w:left w:type="dxa" w:w="110"/>
              <w:bottom w:type="dxa" w:w="60"/>
              <w:right w:type="dxa" w:w="110"/>
            </w:tcMar>
          </w:tcPr>
          <w:p>
            <w:pPr>
              <w:spacing w:after="40" w:before="40"/>
            </w:pPr>
            <w:r>
              <w:rPr>
                <w:b w:val="false"/>
                <w:bCs w:val="false"/>
                <w:sz w:val="19"/>
                <w:szCs w:val="19"/>
              </w:rPr>
              <w:t xml:space="preserve">Revenue per successful transaction fell through currency translation.</w:t>
            </w:r>
          </w:p>
        </w:tc>
        <w:tc>
          <w:tcPr>
            <w:tcW w:type="dxa" w:w="2400"/>
            <w:tcMar>
              <w:top w:type="dxa" w:w="60"/>
              <w:left w:type="dxa" w:w="110"/>
              <w:bottom w:type="dxa" w:w="60"/>
              <w:right w:type="dxa" w:w="110"/>
            </w:tcMar>
          </w:tcPr>
          <w:p>
            <w:pPr>
              <w:spacing w:after="40" w:before="40"/>
            </w:pPr>
            <w:r>
              <w:rPr>
                <w:b w:val="false"/>
                <w:bCs w:val="false"/>
                <w:sz w:val="19"/>
                <w:szCs w:val="19"/>
              </w:rPr>
              <w:t xml:space="preserve">Contribution measured at constant opening-period FX is materially higher than at actual FX.</w:t>
            </w:r>
          </w:p>
        </w:tc>
        <w:tc>
          <w:tcPr>
            <w:tcW w:type="dxa" w:w="2500"/>
            <w:tcMar>
              <w:top w:type="dxa" w:w="60"/>
              <w:left w:type="dxa" w:w="110"/>
              <w:bottom w:type="dxa" w:w="60"/>
              <w:right w:type="dxa" w:w="110"/>
            </w:tcMar>
          </w:tcPr>
          <w:p>
            <w:pPr>
              <w:spacing w:after="40" w:before="40"/>
            </w:pPr>
            <w:r>
              <w:rPr>
                <w:b w:val="false"/>
                <w:bCs w:val="false"/>
                <w:sz w:val="19"/>
                <w:szCs w:val="19"/>
              </w:rPr>
              <w:t xml:space="preserve">The constant-FX and actual-FX series track closely.</w:t>
            </w:r>
          </w:p>
        </w:tc>
      </w:tr>
      <w:tr>
        <w:tc>
          <w:tcPr>
            <w:tcW w:type="dxa" w:w="900"/>
            <w:tcMar>
              <w:top w:type="dxa" w:w="60"/>
              <w:left w:type="dxa" w:w="110"/>
              <w:bottom w:type="dxa" w:w="60"/>
              <w:right w:type="dxa" w:w="110"/>
            </w:tcMar>
          </w:tcPr>
          <w:p>
            <w:pPr>
              <w:spacing w:after="40" w:before="40"/>
            </w:pPr>
            <w:r>
              <w:rPr>
                <w:b w:val="false"/>
                <w:bCs w:val="false"/>
                <w:sz w:val="19"/>
                <w:szCs w:val="19"/>
              </w:rPr>
              <w:t xml:space="preserve">H2a</w:t>
            </w:r>
          </w:p>
        </w:tc>
        <w:tc>
          <w:tcPr>
            <w:tcW w:type="dxa" w:w="3200"/>
            <w:tcMar>
              <w:top w:type="dxa" w:w="60"/>
              <w:left w:type="dxa" w:w="110"/>
              <w:bottom w:type="dxa" w:w="60"/>
              <w:right w:type="dxa" w:w="110"/>
            </w:tcMar>
          </w:tcPr>
          <w:p>
            <w:pPr>
              <w:spacing w:after="40" w:before="40"/>
            </w:pPr>
            <w:r>
              <w:rPr>
                <w:b w:val="false"/>
                <w:bCs w:val="false"/>
                <w:sz w:val="19"/>
                <w:szCs w:val="19"/>
              </w:rPr>
              <w:t xml:space="preserve">Processing cost per successful transaction rose because traffic moved to costlier routes, or to ticket sizes that amortise fixed fees badly.</w:t>
            </w:r>
          </w:p>
        </w:tc>
        <w:tc>
          <w:tcPr>
            <w:tcW w:type="dxa" w:w="2400"/>
            <w:tcMar>
              <w:top w:type="dxa" w:w="60"/>
              <w:left w:type="dxa" w:w="110"/>
              <w:bottom w:type="dxa" w:w="60"/>
              <w:right w:type="dxa" w:w="110"/>
            </w:tcMar>
          </w:tcPr>
          <w:p>
            <w:pPr>
              <w:spacing w:after="40" w:before="40"/>
            </w:pPr>
            <w:r>
              <w:rPr>
                <w:b w:val="false"/>
                <w:bCs w:val="false"/>
                <w:sz w:val="19"/>
                <w:szCs w:val="19"/>
              </w:rPr>
              <w:t xml:space="preserve">Route mix shifts and the fixed-fee component of cost rises as a share of transaction value.</w:t>
            </w:r>
          </w:p>
        </w:tc>
        <w:tc>
          <w:tcPr>
            <w:tcW w:type="dxa" w:w="2500"/>
            <w:tcMar>
              <w:top w:type="dxa" w:w="60"/>
              <w:left w:type="dxa" w:w="110"/>
              <w:bottom w:type="dxa" w:w="60"/>
              <w:right w:type="dxa" w:w="110"/>
            </w:tcMar>
          </w:tcPr>
          <w:p>
            <w:pPr>
              <w:spacing w:after="40" w:before="40"/>
            </w:pPr>
            <w:r>
              <w:rPr>
                <w:b w:val="false"/>
                <w:bCs w:val="false"/>
                <w:sz w:val="19"/>
                <w:szCs w:val="19"/>
              </w:rPr>
              <w:t xml:space="preserve">Route mix is stable and cost per transaction within each route and ticket band is unchanged.</w:t>
            </w:r>
          </w:p>
        </w:tc>
      </w:tr>
      <w:tr>
        <w:tc>
          <w:tcPr>
            <w:tcW w:type="dxa" w:w="900"/>
            <w:tcMar>
              <w:top w:type="dxa" w:w="60"/>
              <w:left w:type="dxa" w:w="110"/>
              <w:bottom w:type="dxa" w:w="60"/>
              <w:right w:type="dxa" w:w="110"/>
            </w:tcMar>
          </w:tcPr>
          <w:p>
            <w:pPr>
              <w:spacing w:after="40" w:before="40"/>
            </w:pPr>
            <w:r>
              <w:rPr>
                <w:b w:val="false"/>
                <w:bCs w:val="false"/>
                <w:sz w:val="19"/>
                <w:szCs w:val="19"/>
              </w:rPr>
              <w:t xml:space="preserve">H2b</w:t>
            </w:r>
          </w:p>
        </w:tc>
        <w:tc>
          <w:tcPr>
            <w:tcW w:type="dxa" w:w="3200"/>
            <w:tcMar>
              <w:top w:type="dxa" w:w="60"/>
              <w:left w:type="dxa" w:w="110"/>
              <w:bottom w:type="dxa" w:w="60"/>
              <w:right w:type="dxa" w:w="110"/>
            </w:tcMar>
          </w:tcPr>
          <w:p>
            <w:pPr>
              <w:spacing w:after="40" w:before="40"/>
            </w:pPr>
            <w:r>
              <w:rPr>
                <w:b w:val="false"/>
                <w:bCs w:val="false"/>
                <w:sz w:val="19"/>
                <w:szCs w:val="19"/>
              </w:rPr>
              <w:t xml:space="preserve">Processing cost per successful transaction rose because provider unit costs rose. (Head of Payments)</w:t>
            </w:r>
          </w:p>
        </w:tc>
        <w:tc>
          <w:tcPr>
            <w:tcW w:type="dxa" w:w="2400"/>
            <w:tcMar>
              <w:top w:type="dxa" w:w="60"/>
              <w:left w:type="dxa" w:w="110"/>
              <w:bottom w:type="dxa" w:w="60"/>
              <w:right w:type="dxa" w:w="110"/>
            </w:tcMar>
          </w:tcPr>
          <w:p>
            <w:pPr>
              <w:spacing w:after="40" w:before="40"/>
            </w:pPr>
            <w:r>
              <w:rPr>
                <w:b w:val="false"/>
                <w:bCs w:val="false"/>
                <w:sz w:val="19"/>
                <w:szCs w:val="19"/>
              </w:rPr>
              <w:t xml:space="preserve">Holding route and ticket-size band fixed, cost per transaction in December exceeds January.</w:t>
            </w:r>
          </w:p>
        </w:tc>
        <w:tc>
          <w:tcPr>
            <w:tcW w:type="dxa" w:w="2500"/>
            <w:tcMar>
              <w:top w:type="dxa" w:w="60"/>
              <w:left w:type="dxa" w:w="110"/>
              <w:bottom w:type="dxa" w:w="60"/>
              <w:right w:type="dxa" w:w="110"/>
            </w:tcMar>
          </w:tcPr>
          <w:p>
            <w:pPr>
              <w:spacing w:after="40" w:before="40"/>
            </w:pPr>
            <w:r>
              <w:rPr>
                <w:b w:val="false"/>
                <w:bCs w:val="false"/>
                <w:sz w:val="19"/>
                <w:szCs w:val="19"/>
              </w:rPr>
              <w:t xml:space="preserve">Within route and ticket band, cost per transaction is flat. Any rise in the blended figure is then mix, i.e. H2a.</w:t>
            </w:r>
          </w:p>
        </w:tc>
      </w:tr>
      <w:tr>
        <w:tc>
          <w:tcPr>
            <w:tcW w:type="dxa" w:w="900"/>
            <w:tcMar>
              <w:top w:type="dxa" w:w="60"/>
              <w:left w:type="dxa" w:w="110"/>
              <w:bottom w:type="dxa" w:w="60"/>
              <w:right w:type="dxa" w:w="110"/>
            </w:tcMar>
          </w:tcPr>
          <w:p>
            <w:pPr>
              <w:spacing w:after="40" w:before="40"/>
            </w:pPr>
            <w:r>
              <w:rPr>
                <w:b w:val="false"/>
                <w:bCs w:val="false"/>
                <w:sz w:val="19"/>
                <w:szCs w:val="19"/>
              </w:rPr>
              <w:t xml:space="preserve">H3a</w:t>
            </w:r>
          </w:p>
        </w:tc>
        <w:tc>
          <w:tcPr>
            <w:tcW w:type="dxa" w:w="3200"/>
            <w:tcMar>
              <w:top w:type="dxa" w:w="60"/>
              <w:left w:type="dxa" w:w="110"/>
              <w:bottom w:type="dxa" w:w="60"/>
              <w:right w:type="dxa" w:w="110"/>
            </w:tcMar>
          </w:tcPr>
          <w:p>
            <w:pPr>
              <w:spacing w:after="40" w:before="40"/>
            </w:pPr>
            <w:r>
              <w:rPr>
                <w:b w:val="false"/>
                <w:bCs w:val="false"/>
                <w:sz w:val="19"/>
                <w:szCs w:val="19"/>
              </w:rPr>
              <w:t xml:space="preserve">Risk cost per successful transaction rose because traffic moved toward higher-risk cohorts.</w:t>
            </w:r>
          </w:p>
        </w:tc>
        <w:tc>
          <w:tcPr>
            <w:tcW w:type="dxa" w:w="2400"/>
            <w:tcMar>
              <w:top w:type="dxa" w:w="60"/>
              <w:left w:type="dxa" w:w="110"/>
              <w:bottom w:type="dxa" w:w="60"/>
              <w:right w:type="dxa" w:w="110"/>
            </w:tcMar>
          </w:tcPr>
          <w:p>
            <w:pPr>
              <w:spacing w:after="40" w:before="40"/>
            </w:pPr>
            <w:r>
              <w:rPr>
                <w:b w:val="false"/>
                <w:bCs w:val="false"/>
                <w:sz w:val="19"/>
                <w:szCs w:val="19"/>
              </w:rPr>
              <w:t xml:space="preserve">Risk-band weights shift toward higher bands while the chargeback rate within each band is unchanged.</w:t>
            </w:r>
          </w:p>
        </w:tc>
        <w:tc>
          <w:tcPr>
            <w:tcW w:type="dxa" w:w="2500"/>
            <w:tcMar>
              <w:top w:type="dxa" w:w="60"/>
              <w:left w:type="dxa" w:w="110"/>
              <w:bottom w:type="dxa" w:w="60"/>
              <w:right w:type="dxa" w:w="110"/>
            </w:tcMar>
          </w:tcPr>
          <w:p>
            <w:pPr>
              <w:spacing w:after="40" w:before="40"/>
            </w:pPr>
            <w:r>
              <w:rPr>
                <w:b w:val="false"/>
                <w:bCs w:val="false"/>
                <w:sz w:val="19"/>
                <w:szCs w:val="19"/>
              </w:rPr>
              <w:t xml:space="preserve">Risk-band weights are stable.</w:t>
            </w:r>
          </w:p>
        </w:tc>
      </w:tr>
      <w:tr>
        <w:tc>
          <w:tcPr>
            <w:tcW w:type="dxa" w:w="900"/>
            <w:tcMar>
              <w:top w:type="dxa" w:w="60"/>
              <w:left w:type="dxa" w:w="110"/>
              <w:bottom w:type="dxa" w:w="60"/>
              <w:right w:type="dxa" w:w="110"/>
            </w:tcMar>
          </w:tcPr>
          <w:p>
            <w:pPr>
              <w:spacing w:after="40" w:before="40"/>
            </w:pPr>
            <w:r>
              <w:rPr>
                <w:b w:val="false"/>
                <w:bCs w:val="false"/>
                <w:sz w:val="19"/>
                <w:szCs w:val="19"/>
              </w:rPr>
              <w:t xml:space="preserve">H3b</w:t>
            </w:r>
          </w:p>
        </w:tc>
        <w:tc>
          <w:tcPr>
            <w:tcW w:type="dxa" w:w="3200"/>
            <w:tcMar>
              <w:top w:type="dxa" w:w="60"/>
              <w:left w:type="dxa" w:w="110"/>
              <w:bottom w:type="dxa" w:w="60"/>
              <w:right w:type="dxa" w:w="110"/>
            </w:tcMar>
          </w:tcPr>
          <w:p>
            <w:pPr>
              <w:spacing w:after="40" w:before="40"/>
            </w:pPr>
            <w:r>
              <w:rPr>
                <w:b w:val="false"/>
                <w:bCs w:val="false"/>
                <w:sz w:val="19"/>
                <w:szCs w:val="19"/>
              </w:rPr>
              <w:t xml:space="preserve">Risk cost per successful transaction rose because fraud controls tightened and chargeback or false-decline rates rose within cohort. (Risk Head)</w:t>
            </w:r>
          </w:p>
        </w:tc>
        <w:tc>
          <w:tcPr>
            <w:tcW w:type="dxa" w:w="2400"/>
            <w:tcMar>
              <w:top w:type="dxa" w:w="60"/>
              <w:left w:type="dxa" w:w="110"/>
              <w:bottom w:type="dxa" w:w="60"/>
              <w:right w:type="dxa" w:w="110"/>
            </w:tcMar>
          </w:tcPr>
          <w:p>
            <w:pPr>
              <w:spacing w:after="40" w:before="40"/>
            </w:pPr>
            <w:r>
              <w:rPr>
                <w:b w:val="false"/>
                <w:bCs w:val="false"/>
                <w:sz w:val="19"/>
                <w:szCs w:val="19"/>
              </w:rPr>
              <w:t xml:space="preserve">At a comparable decision threshold, decline rates rise within risk band, and chargeback rates rise within cohort.</w:t>
            </w:r>
          </w:p>
        </w:tc>
        <w:tc>
          <w:tcPr>
            <w:tcW w:type="dxa" w:w="2500"/>
            <w:tcMar>
              <w:top w:type="dxa" w:w="60"/>
              <w:left w:type="dxa" w:w="110"/>
              <w:bottom w:type="dxa" w:w="60"/>
              <w:right w:type="dxa" w:w="110"/>
            </w:tcMar>
          </w:tcPr>
          <w:p>
            <w:pPr>
              <w:spacing w:after="40" w:before="40"/>
            </w:pPr>
            <w:r>
              <w:rPr>
                <w:b w:val="false"/>
                <w:bCs w:val="false"/>
                <w:sz w:val="19"/>
                <w:szCs w:val="19"/>
              </w:rPr>
              <w:t xml:space="preserve">Decline rates at a comparable threshold are flat and chargeback rates within cohort are flat or falling.</w:t>
            </w:r>
          </w:p>
        </w:tc>
      </w:tr>
    </w:tbl>
    <w:p>
      <w:pPr>
        <w:spacing w:after="120"/>
      </w:pPr>
      <w:r>
        <w:rPr>
          <w:i/>
          <w:iCs/>
          <w:sz w:val="20"/>
          <w:szCs w:val="20"/>
        </w:rPr>
        <w:t xml:space="preserve">Note on H3b: fraud scores in this dataset are emitted by more than one model version. Any comparison of score distributions or decline thresholds across the version change must be normalised first, or the test will produce a false positive.</w:t>
      </w:r>
    </w:p>
    <w:p>
      <w:pPr>
        <w:pStyle w:val="Heading1"/>
        <w:spacing w:after="120" w:before="280"/>
      </w:pPr>
      <w:r>
        <w:rPr>
          <w:b/>
          <w:bCs/>
        </w:rPr>
        <w:t xml:space="preserve">6. Decisions the analysis must enable</w:t>
      </w:r>
    </w:p>
    <w:p>
      <w:pPr>
        <w:spacing w:after="120"/>
      </w:pPr>
      <w:r>
        <w:rPr>
          <w:i w:val="false"/>
          <w:iCs w:val="false"/>
          <w:sz w:val="20"/>
          <w:szCs w:val="20"/>
        </w:rPr>
        <w:t xml:space="preserve">Each recommendation in the 60-day plan must resolve one of the following. If the analysis does not settle a decision, that must be stated rather than filled with a recommendation the evidence does not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3700"/>
      </w:tblGrid>
      <w:tr>
        <w:trPr>
          <w:tblHeader/>
        </w:trPr>
        <w:tc>
          <w:tcPr>
            <w:tcW w:type="dxa" w:w="700"/>
            <w:shd w:fill="D9E2F3" w:val="clear"/>
            <w:tcMar>
              <w:top w:type="dxa" w:w="60"/>
              <w:left w:type="dxa" w:w="110"/>
              <w:bottom w:type="dxa" w:w="60"/>
              <w:right w:type="dxa" w:w="110"/>
            </w:tcMar>
          </w:tcPr>
          <w:p>
            <w:pPr>
              <w:spacing w:after="40" w:before="40"/>
            </w:pPr>
            <w:r>
              <w:rPr>
                <w:b/>
                <w:bCs/>
                <w:sz w:val="19"/>
                <w:szCs w:val="19"/>
              </w:rPr>
              <w:t xml:space="preserve">#</w:t>
            </w:r>
          </w:p>
        </w:tc>
        <w:tc>
          <w:tcPr>
            <w:tcW w:type="dxa" w:w="4600"/>
            <w:shd w:fill="D9E2F3" w:val="clear"/>
            <w:tcMar>
              <w:top w:type="dxa" w:w="60"/>
              <w:left w:type="dxa" w:w="110"/>
              <w:bottom w:type="dxa" w:w="60"/>
              <w:right w:type="dxa" w:w="110"/>
            </w:tcMar>
          </w:tcPr>
          <w:p>
            <w:pPr>
              <w:spacing w:after="40" w:before="40"/>
            </w:pPr>
            <w:r>
              <w:rPr>
                <w:b/>
                <w:bCs/>
                <w:sz w:val="19"/>
                <w:szCs w:val="19"/>
              </w:rPr>
              <w:t xml:space="preserve">Decision</w:t>
            </w:r>
          </w:p>
        </w:tc>
        <w:tc>
          <w:tcPr>
            <w:tcW w:type="dxa" w:w="3700"/>
            <w:shd w:fill="D9E2F3" w:val="clear"/>
            <w:tcMar>
              <w:top w:type="dxa" w:w="60"/>
              <w:left w:type="dxa" w:w="110"/>
              <w:bottom w:type="dxa" w:w="60"/>
              <w:right w:type="dxa" w:w="110"/>
            </w:tcMar>
          </w:tcPr>
          <w:p>
            <w:pPr>
              <w:spacing w:after="40" w:before="40"/>
            </w:pPr>
            <w:r>
              <w:rPr>
                <w:b/>
                <w:bCs/>
                <w:sz w:val="19"/>
                <w:szCs w:val="19"/>
              </w:rPr>
              <w:t xml:space="preserve">Owner</w:t>
            </w:r>
          </w:p>
        </w:tc>
      </w:tr>
      <w:tr>
        <w:tc>
          <w:tcPr>
            <w:tcW w:type="dxa" w:w="700"/>
            <w:tcMar>
              <w:top w:type="dxa" w:w="60"/>
              <w:left w:type="dxa" w:w="110"/>
              <w:bottom w:type="dxa" w:w="60"/>
              <w:right w:type="dxa" w:w="110"/>
            </w:tcMar>
          </w:tcPr>
          <w:p>
            <w:pPr>
              <w:spacing w:after="40" w:before="40"/>
            </w:pPr>
            <w:r>
              <w:rPr>
                <w:b w:val="false"/>
                <w:bCs w:val="false"/>
                <w:sz w:val="19"/>
                <w:szCs w:val="19"/>
              </w:rPr>
              <w:t xml:space="preserve">D1</w:t>
            </w:r>
          </w:p>
        </w:tc>
        <w:tc>
          <w:tcPr>
            <w:tcW w:type="dxa" w:w="4600"/>
            <w:tcMar>
              <w:top w:type="dxa" w:w="60"/>
              <w:left w:type="dxa" w:w="110"/>
              <w:bottom w:type="dxa" w:w="60"/>
              <w:right w:type="dxa" w:w="110"/>
            </w:tcMar>
          </w:tcPr>
          <w:p>
            <w:pPr>
              <w:spacing w:after="40" w:before="40"/>
            </w:pPr>
            <w:r>
              <w:rPr>
                <w:b w:val="false"/>
                <w:bCs w:val="false"/>
                <w:sz w:val="19"/>
                <w:szCs w:val="19"/>
              </w:rPr>
              <w:t xml:space="preserve">Whether to change merchant pricing, and if so whether by rate or by a minimum per-transaction fee floor.</w:t>
            </w:r>
          </w:p>
        </w:tc>
        <w:tc>
          <w:tcPr>
            <w:tcW w:type="dxa" w:w="3700"/>
            <w:tcMar>
              <w:top w:type="dxa" w:w="60"/>
              <w:left w:type="dxa" w:w="110"/>
              <w:bottom w:type="dxa" w:w="60"/>
              <w:right w:type="dxa" w:w="110"/>
            </w:tcMar>
          </w:tcPr>
          <w:p>
            <w:pPr>
              <w:spacing w:after="40" w:before="40"/>
            </w:pPr>
            <w:r>
              <w:rPr>
                <w:b w:val="false"/>
                <w:bCs w:val="false"/>
                <w:sz w:val="19"/>
                <w:szCs w:val="19"/>
              </w:rPr>
              <w:t xml:space="preserve">CFO / Commercial</w:t>
            </w:r>
          </w:p>
        </w:tc>
      </w:tr>
      <w:tr>
        <w:tc>
          <w:tcPr>
            <w:tcW w:type="dxa" w:w="700"/>
            <w:tcMar>
              <w:top w:type="dxa" w:w="60"/>
              <w:left w:type="dxa" w:w="110"/>
              <w:bottom w:type="dxa" w:w="60"/>
              <w:right w:type="dxa" w:w="110"/>
            </w:tcMar>
          </w:tcPr>
          <w:p>
            <w:pPr>
              <w:spacing w:after="40" w:before="40"/>
            </w:pPr>
            <w:r>
              <w:rPr>
                <w:b w:val="false"/>
                <w:bCs w:val="false"/>
                <w:sz w:val="19"/>
                <w:szCs w:val="19"/>
              </w:rPr>
              <w:t xml:space="preserve">D2</w:t>
            </w:r>
          </w:p>
        </w:tc>
        <w:tc>
          <w:tcPr>
            <w:tcW w:type="dxa" w:w="4600"/>
            <w:tcMar>
              <w:top w:type="dxa" w:w="60"/>
              <w:left w:type="dxa" w:w="110"/>
              <w:bottom w:type="dxa" w:w="60"/>
              <w:right w:type="dxa" w:w="110"/>
            </w:tcMar>
          </w:tcPr>
          <w:p>
            <w:pPr>
              <w:spacing w:after="40" w:before="40"/>
            </w:pPr>
            <w:r>
              <w:rPr>
                <w:b w:val="false"/>
                <w:bCs w:val="false"/>
                <w:sz w:val="19"/>
                <w:szCs w:val="19"/>
              </w:rPr>
              <w:t xml:space="preserve">Whether to change routing rules, and on what attribute they should be keyed.</w:t>
            </w:r>
          </w:p>
        </w:tc>
        <w:tc>
          <w:tcPr>
            <w:tcW w:type="dxa" w:w="3700"/>
            <w:tcMar>
              <w:top w:type="dxa" w:w="60"/>
              <w:left w:type="dxa" w:w="110"/>
              <w:bottom w:type="dxa" w:w="60"/>
              <w:right w:type="dxa" w:w="110"/>
            </w:tcMar>
          </w:tcPr>
          <w:p>
            <w:pPr>
              <w:spacing w:after="40" w:before="40"/>
            </w:pPr>
            <w:r>
              <w:rPr>
                <w:b w:val="false"/>
                <w:bCs w:val="false"/>
                <w:sz w:val="19"/>
                <w:szCs w:val="19"/>
              </w:rPr>
              <w:t xml:space="preserve">Head of Payments</w:t>
            </w:r>
          </w:p>
        </w:tc>
      </w:tr>
      <w:tr>
        <w:tc>
          <w:tcPr>
            <w:tcW w:type="dxa" w:w="700"/>
            <w:tcMar>
              <w:top w:type="dxa" w:w="60"/>
              <w:left w:type="dxa" w:w="110"/>
              <w:bottom w:type="dxa" w:w="60"/>
              <w:right w:type="dxa" w:w="110"/>
            </w:tcMar>
          </w:tcPr>
          <w:p>
            <w:pPr>
              <w:spacing w:after="40" w:before="40"/>
            </w:pPr>
            <w:r>
              <w:rPr>
                <w:b w:val="false"/>
                <w:bCs w:val="false"/>
                <w:sz w:val="19"/>
                <w:szCs w:val="19"/>
              </w:rPr>
              <w:t xml:space="preserve">D3</w:t>
            </w:r>
          </w:p>
        </w:tc>
        <w:tc>
          <w:tcPr>
            <w:tcW w:type="dxa" w:w="4600"/>
            <w:tcMar>
              <w:top w:type="dxa" w:w="60"/>
              <w:left w:type="dxa" w:w="110"/>
              <w:bottom w:type="dxa" w:w="60"/>
              <w:right w:type="dxa" w:w="110"/>
            </w:tcMar>
          </w:tcPr>
          <w:p>
            <w:pPr>
              <w:spacing w:after="40" w:before="40"/>
            </w:pPr>
            <w:r>
              <w:rPr>
                <w:b w:val="false"/>
                <w:bCs w:val="false"/>
                <w:sz w:val="19"/>
                <w:szCs w:val="19"/>
              </w:rPr>
              <w:t xml:space="preserve">Whether to renegotiate, re-tier or reduce dependence on a specific provider.</w:t>
            </w:r>
          </w:p>
        </w:tc>
        <w:tc>
          <w:tcPr>
            <w:tcW w:type="dxa" w:w="3700"/>
            <w:tcMar>
              <w:top w:type="dxa" w:w="60"/>
              <w:left w:type="dxa" w:w="110"/>
              <w:bottom w:type="dxa" w:w="60"/>
              <w:right w:type="dxa" w:w="110"/>
            </w:tcMar>
          </w:tcPr>
          <w:p>
            <w:pPr>
              <w:spacing w:after="40" w:before="40"/>
            </w:pPr>
            <w:r>
              <w:rPr>
                <w:b w:val="false"/>
                <w:bCs w:val="false"/>
                <w:sz w:val="19"/>
                <w:szCs w:val="19"/>
              </w:rPr>
              <w:t xml:space="preserve">Head of Payments / Procurement</w:t>
            </w:r>
          </w:p>
        </w:tc>
      </w:tr>
      <w:tr>
        <w:tc>
          <w:tcPr>
            <w:tcW w:type="dxa" w:w="700"/>
            <w:tcMar>
              <w:top w:type="dxa" w:w="60"/>
              <w:left w:type="dxa" w:w="110"/>
              <w:bottom w:type="dxa" w:w="60"/>
              <w:right w:type="dxa" w:w="110"/>
            </w:tcMar>
          </w:tcPr>
          <w:p>
            <w:pPr>
              <w:spacing w:after="40" w:before="40"/>
            </w:pPr>
            <w:r>
              <w:rPr>
                <w:b w:val="false"/>
                <w:bCs w:val="false"/>
                <w:sz w:val="19"/>
                <w:szCs w:val="19"/>
              </w:rPr>
              <w:t xml:space="preserve">D4</w:t>
            </w:r>
          </w:p>
        </w:tc>
        <w:tc>
          <w:tcPr>
            <w:tcW w:type="dxa" w:w="4600"/>
            <w:tcMar>
              <w:top w:type="dxa" w:w="60"/>
              <w:left w:type="dxa" w:w="110"/>
              <w:bottom w:type="dxa" w:w="60"/>
              <w:right w:type="dxa" w:w="110"/>
            </w:tcMar>
          </w:tcPr>
          <w:p>
            <w:pPr>
              <w:spacing w:after="40" w:before="40"/>
            </w:pPr>
            <w:r>
              <w:rPr>
                <w:b w:val="false"/>
                <w:bCs w:val="false"/>
                <w:sz w:val="19"/>
                <w:szCs w:val="19"/>
              </w:rPr>
              <w:t xml:space="preserve">Whether to retune fraud thresholds, and whether current false-decline levels are costing more than they prevent.</w:t>
            </w:r>
          </w:p>
        </w:tc>
        <w:tc>
          <w:tcPr>
            <w:tcW w:type="dxa" w:w="3700"/>
            <w:tcMar>
              <w:top w:type="dxa" w:w="60"/>
              <w:left w:type="dxa" w:w="110"/>
              <w:bottom w:type="dxa" w:w="60"/>
              <w:right w:type="dxa" w:w="110"/>
            </w:tcMar>
          </w:tcPr>
          <w:p>
            <w:pPr>
              <w:spacing w:after="40" w:before="40"/>
            </w:pPr>
            <w:r>
              <w:rPr>
                <w:b w:val="false"/>
                <w:bCs w:val="false"/>
                <w:sz w:val="19"/>
                <w:szCs w:val="19"/>
              </w:rPr>
              <w:t xml:space="preserve">Risk Head</w:t>
            </w:r>
          </w:p>
        </w:tc>
      </w:tr>
      <w:tr>
        <w:tc>
          <w:tcPr>
            <w:tcW w:type="dxa" w:w="700"/>
            <w:tcMar>
              <w:top w:type="dxa" w:w="60"/>
              <w:left w:type="dxa" w:w="110"/>
              <w:bottom w:type="dxa" w:w="60"/>
              <w:right w:type="dxa" w:w="110"/>
            </w:tcMar>
          </w:tcPr>
          <w:p>
            <w:pPr>
              <w:spacing w:after="40" w:before="40"/>
            </w:pPr>
            <w:r>
              <w:rPr>
                <w:b w:val="false"/>
                <w:bCs w:val="false"/>
                <w:sz w:val="19"/>
                <w:szCs w:val="19"/>
              </w:rPr>
              <w:t xml:space="preserve">D5</w:t>
            </w:r>
          </w:p>
        </w:tc>
        <w:tc>
          <w:tcPr>
            <w:tcW w:type="dxa" w:w="4600"/>
            <w:tcMar>
              <w:top w:type="dxa" w:w="60"/>
              <w:left w:type="dxa" w:w="110"/>
              <w:bottom w:type="dxa" w:w="60"/>
              <w:right w:type="dxa" w:w="110"/>
            </w:tcMar>
          </w:tcPr>
          <w:p>
            <w:pPr>
              <w:spacing w:after="40" w:before="40"/>
            </w:pPr>
            <w:r>
              <w:rPr>
                <w:b w:val="false"/>
                <w:bCs w:val="false"/>
                <w:sz w:val="19"/>
                <w:szCs w:val="19"/>
              </w:rPr>
              <w:t xml:space="preserve">Whether reporting must be remediated before any of the above can be monitored.</w:t>
            </w:r>
          </w:p>
        </w:tc>
        <w:tc>
          <w:tcPr>
            <w:tcW w:type="dxa" w:w="3700"/>
            <w:tcMar>
              <w:top w:type="dxa" w:w="60"/>
              <w:left w:type="dxa" w:w="110"/>
              <w:bottom w:type="dxa" w:w="60"/>
              <w:right w:type="dxa" w:w="110"/>
            </w:tcMar>
          </w:tcPr>
          <w:p>
            <w:pPr>
              <w:spacing w:after="40" w:before="40"/>
            </w:pPr>
            <w:r>
              <w:rPr>
                <w:b w:val="false"/>
                <w:bCs w:val="false"/>
                <w:sz w:val="19"/>
                <w:szCs w:val="19"/>
              </w:rPr>
              <w:t xml:space="preserve">Data Head</w:t>
            </w:r>
          </w:p>
        </w:tc>
      </w:tr>
      <w:tr>
        <w:tc>
          <w:tcPr>
            <w:tcW w:type="dxa" w:w="700"/>
            <w:tcMar>
              <w:top w:type="dxa" w:w="60"/>
              <w:left w:type="dxa" w:w="110"/>
              <w:bottom w:type="dxa" w:w="60"/>
              <w:right w:type="dxa" w:w="110"/>
            </w:tcMar>
          </w:tcPr>
          <w:p>
            <w:pPr>
              <w:spacing w:after="40" w:before="40"/>
            </w:pPr>
            <w:r>
              <w:rPr>
                <w:b w:val="false"/>
                <w:bCs w:val="false"/>
                <w:sz w:val="19"/>
                <w:szCs w:val="19"/>
              </w:rPr>
              <w:t xml:space="preserve">D6</w:t>
            </w:r>
          </w:p>
        </w:tc>
        <w:tc>
          <w:tcPr>
            <w:tcW w:type="dxa" w:w="4600"/>
            <w:tcMar>
              <w:top w:type="dxa" w:w="60"/>
              <w:left w:type="dxa" w:w="110"/>
              <w:bottom w:type="dxa" w:w="60"/>
              <w:right w:type="dxa" w:w="110"/>
            </w:tcMar>
          </w:tcPr>
          <w:p>
            <w:pPr>
              <w:spacing w:after="40" w:before="40"/>
            </w:pPr>
            <w:r>
              <w:rPr>
                <w:b w:val="false"/>
                <w:bCs w:val="false"/>
                <w:sz w:val="19"/>
                <w:szCs w:val="19"/>
              </w:rPr>
              <w:t xml:space="preserve">Which segments, if any, should be accepted as structurally low-margin and grown anyway.</w:t>
            </w:r>
          </w:p>
        </w:tc>
        <w:tc>
          <w:tcPr>
            <w:tcW w:type="dxa" w:w="3700"/>
            <w:tcMar>
              <w:top w:type="dxa" w:w="60"/>
              <w:left w:type="dxa" w:w="110"/>
              <w:bottom w:type="dxa" w:w="60"/>
              <w:right w:type="dxa" w:w="110"/>
            </w:tcMar>
          </w:tcPr>
          <w:p>
            <w:pPr>
              <w:spacing w:after="40" w:before="40"/>
            </w:pPr>
            <w:r>
              <w:rPr>
                <w:b w:val="false"/>
                <w:bCs w:val="false"/>
                <w:sz w:val="19"/>
                <w:szCs w:val="19"/>
              </w:rPr>
              <w:t xml:space="preserve">CEO / CFO</w:t>
            </w:r>
          </w:p>
        </w:tc>
      </w:tr>
    </w:tbl>
    <w:p>
      <w:pPr>
        <w:pStyle w:val="Heading1"/>
        <w:spacing w:after="120" w:before="280"/>
      </w:pPr>
      <w:r>
        <w:rPr>
          <w:b/>
          <w:bCs/>
        </w:rPr>
        <w:t xml:space="preserve">7. What this analysis will not conclude</w:t>
      </w:r>
    </w:p>
    <w:p>
      <w:pPr>
        <w:spacing w:after="120"/>
      </w:pPr>
      <w:r>
        <w:rPr>
          <w:i w:val="false"/>
          <w:iCs w:val="false"/>
          <w:sz w:val="20"/>
          <w:szCs w:val="20"/>
        </w:rPr>
        <w:t xml:space="preserve">Stated up front so that the absence of a finding is not read as a null result:</w:t>
      </w:r>
    </w:p>
    <w:p>
      <w:pPr>
        <w:pStyle w:val="ListParagraph"/>
        <w:numPr>
          <w:ilvl w:val="0"/>
          <w:numId w:val="2"/>
        </w:numPr>
        <w:spacing w:after="60"/>
      </w:pPr>
      <w:r>
        <w:rPr>
          <w:sz w:val="20"/>
          <w:szCs w:val="20"/>
        </w:rPr>
        <w:t xml:space="preserve">Causation between latency and merchant churn. No churn or retention data is available.</w:t>
      </w:r>
    </w:p>
    <w:p>
      <w:pPr>
        <w:pStyle w:val="ListParagraph"/>
        <w:numPr>
          <w:ilvl w:val="0"/>
          <w:numId w:val="2"/>
        </w:numPr>
        <w:spacing w:after="60"/>
      </w:pPr>
      <w:r>
        <w:rPr>
          <w:sz w:val="20"/>
          <w:szCs w:val="20"/>
        </w:rPr>
        <w:t xml:space="preserve">Whether a false decline represents lost revenue or a customer who retried successfully. Retry linkage is not present in the data.</w:t>
      </w:r>
    </w:p>
    <w:p>
      <w:pPr>
        <w:pStyle w:val="ListParagraph"/>
        <w:numPr>
          <w:ilvl w:val="0"/>
          <w:numId w:val="2"/>
        </w:numPr>
        <w:spacing w:after="60"/>
      </w:pPr>
      <w:r>
        <w:rPr>
          <w:sz w:val="20"/>
          <w:szCs w:val="20"/>
        </w:rPr>
        <w:t xml:space="preserve">The profitability of individual merchants net of relationship and support cost, which is out of scope.</w:t>
      </w:r>
    </w:p>
    <w:p>
      <w:pPr>
        <w:pStyle w:val="ListParagraph"/>
        <w:numPr>
          <w:ilvl w:val="0"/>
          <w:numId w:val="2"/>
        </w:numPr>
        <w:spacing w:after="60"/>
      </w:pPr>
      <w:r>
        <w:rPr>
          <w:sz w:val="20"/>
          <w:szCs w:val="20"/>
        </w:rPr>
        <w:t xml:space="preserve">Any conclusion about periods after 31 December 2025.</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26"/>
      <w:szCs w:val="26"/>
    </w:rPr>
  </w:style>
  <w:style w:type="paragraph" w:styleId="Heading2">
    <w:name w:val="Heading 2"/>
    <w:basedOn w:val="Normal"/>
    <w:next w:val="Normal"/>
    <w:qFormat/>
    <w:rPr>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2026-09-15T08:17:17.277Z</dcterms:created>
  <dcterms:modified xsi:type="dcterms:W3CDTF">2026-09-15T08:17:17.289Z</dcterms:modified>
</cp:coreProperties>
</file>

<file path=docProps/custom.xml><?xml version="1.0" encoding="utf-8"?>
<Properties xmlns="http://schemas.openxmlformats.org/officeDocument/2006/custom-properties" xmlns:vt="http://schemas.openxmlformats.org/officeDocument/2006/docPropsVTypes"/>
</file>