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ABSTRACT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Title:</w:t>
      </w:r>
    </w:p>
    <w:p w:rsidR="00000000" w:rsidDel="00000000" w:rsidP="00000000" w:rsidRDefault="00000000" w:rsidRPr="00000000" w14:paraId="00000004">
      <w:pPr>
        <w:rPr/>
      </w:pPr>
      <w:r w:rsidDel="00000000" w:rsidR="00000000" w:rsidRPr="00000000">
        <w:rPr>
          <w:rtl w:val="0"/>
        </w:rPr>
        <w:t xml:space="preserve">Evaluating Molecular Mimicry Signals in Ankylosing Spondylitis After COVID-19: A Large-Scale EHR Analysis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Authors:</w:t>
      </w:r>
    </w:p>
    <w:p w:rsidR="00000000" w:rsidDel="00000000" w:rsidP="00000000" w:rsidRDefault="00000000" w:rsidRPr="00000000" w14:paraId="00000007">
      <w:pPr>
        <w:rPr/>
      </w:pPr>
      <w:r w:rsidDel="00000000" w:rsidR="00000000" w:rsidRPr="00000000">
        <w:rPr>
          <w:rtl w:val="0"/>
        </w:rPr>
        <w:t xml:space="preserve">Matias Lee, Naomi Schlesinger, Dorota Lebiedz-Odrobina, Jessica Walsh, Julio Facelli, Ram Gouripeddi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Affiliations: </w:t>
      </w:r>
    </w:p>
    <w:p w:rsidR="00000000" w:rsidDel="00000000" w:rsidP="00000000" w:rsidRDefault="00000000" w:rsidRPr="00000000" w14:paraId="0000000A">
      <w:pPr>
        <w:rPr/>
      </w:pPr>
      <w:r w:rsidDel="00000000" w:rsidR="00000000" w:rsidRPr="00000000">
        <w:rPr>
          <w:rtl w:val="0"/>
        </w:rPr>
        <w:t xml:space="preserve">Department of Biomedical Informatics, Division of Rheumatology, University of Utah School of Medicine, Salt Lake City, UT, USA. Salt Lake City Veterans Affairs, Salt Lake City, UT, USA.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Background</w:t>
      </w:r>
      <w:r w:rsidDel="00000000" w:rsidR="00000000" w:rsidRPr="00000000">
        <w:rPr>
          <w:rtl w:val="0"/>
        </w:rPr>
        <w:t xml:space="preserve">: Molecular mimicry between SARS-CoV-2 epitopes and host immune targets has been proposed as a potential mechanism linking COVID-19 to immune-mediated inflammatory diseases. Ankylosing spondylitis (AS) has been identified as one of the strongest molecular mimicry signals, yet whether this mechanistic hypothesis translates into detectable population-level or longitudinal clinical patterns remains unclear.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Methods</w:t>
      </w:r>
      <w:r w:rsidDel="00000000" w:rsidR="00000000" w:rsidRPr="00000000">
        <w:rPr>
          <w:rtl w:val="0"/>
        </w:rPr>
        <w:t xml:space="preserve">: We conducted a large-scale longitudinal analysis of AS and COVID-19 using electronic health record (EHR) data from TriNetX, comprising approximately 300,000 AS patients and nearly 788 million patient-level facts through June 2025. Extensive data engineering was performed to construct event-based longitudinal representations from diagnosis and laboratory records. COVID-19 phenotypes were defined using National COVID Cohort Collaborative (N3C) criteria, integrating diagnosis codes and laboratory confirmation, with reinfection modeled using a 30-day window.Temporal relationships between COVID-19 and AS were assessed by comparing first COVID infection dates with first AS diagnosis dates to determine event ordering and evaluate the interval between infection and subsequent diagnosis, with additional calendar stratification (pre- vs post-January 1, 2020) to assess temporal shifts. Population-level AS incidence trends were assessed using TriNetX’s internally normalized incidence metrics.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Results</w:t>
      </w:r>
      <w:r w:rsidDel="00000000" w:rsidR="00000000" w:rsidRPr="00000000">
        <w:rPr>
          <w:rtl w:val="0"/>
        </w:rPr>
        <w:t xml:space="preserve">: Exploratory longitudinal analyses revealed no strong evidence that COVID-19 was associated with immediate AS onset or clear worsening using diagnosis- and laboratory-based proxies. Using the TriNetX analytic tool to compute population-level incidence proportions, AS incidence remained stable from 2018 through 2022. When extending the incidence timeline through December 2025, a statistically significant increase emerged beginning in mid-2025, with a post- versus pre-COVID incidence ratio of approximately 7.8. This increase was driven primarily by HLA-B27 laboratory testing rather than ICD-10 diagnosis codes.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Conclusions</w:t>
      </w:r>
      <w:r w:rsidDel="00000000" w:rsidR="00000000" w:rsidRPr="00000000">
        <w:rPr>
          <w:rtl w:val="0"/>
        </w:rPr>
        <w:t xml:space="preserve">: These findings indicate that while part of the observed post-2025 increase in AS-related incidence may reflect healthcare disruption during the COVID-19 pandemic and subsequent catch-up or increased screening, the magnitude of the observed rise (approaching an 8-fold increase) combined with prior molecular mimicry evidence, supports the possibility of a biologically meaningful signal. Although no clear acute longitudinal relationship was detected, the convergence of epidemiologic and mechanistic considerations warrants further longitudinal and mechanistic investigation to clarify causality and long-term clinical implications.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