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Chu, Matias Lee</w:t>
      </w: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Sequential Deep Learning for Personalized HbA1c Response Prediction and Treatment Ranking in Type 2 Diabetes</w:t>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Anticipating an individual's glycated hemoglobin (HbA1c) response to specific glucose-lowering therapies remains a critical clinical challenge in the management of type 2 diabetes. Aiming to serve as an academic proof-of-concept, this study evaluates the ability to predict post-treatment HbA1c levels from electronic health record data by comparing sequential deep learning architectures with traditional machine learning baselines. Drawing on 120,224 treatment initiations across a batch of  94,651 type 2 diabetes patients from a TriNetX database, we modeled glycemic trajectories under both a broad follow-up definition and a tightly restricted, unchanged-therapy cohort. We demonstrate that while baseline clinical features hold genuine prognostic value, the overall predictive signal within retrospective EHR data remains modest. A traditional HistGradientBoostingRegressor (HGBR) model outperformed both evaluated deep neural networks, a Static 1D Convolutional Neural Network and a longitudinal Sequence Gated Recurrent Unit (GRU), achieving the highest overall performance in the unchanged-therapy subset. As detailed in our subsequent architectural analysis, the inability of complex sequential models to surpass simpler baselines likely stems from the inherent sparsity of tabular clinical data and the necessary computational constraints of our implementation. Ultimately, our results provide a rigorous methodological benchmark, suggesting that within the constraints of this exploratory EHR analysis, traditional tree-based algorithms offered a more robust and efficient approach than complex sequential networks.</w:t>
      </w:r>
    </w:p>
    <w:p w:rsidR="00000000" w:rsidDel="00000000" w:rsidP="00000000" w:rsidRDefault="00000000" w:rsidRPr="00000000" w14:paraId="000000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0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2 diabetes is a major and growing public health problem, affecting millions of individuals worldwide and increasingly younger populations. For example, according to the CDC, in 2022 alone there were over 21,000 new cases of type 1 diabetes and more than 14,000 new cases of type 2 diabetes in individuals under 18 years old in the United States. More importantly, type 2 diabetes accounts for about 90 to 95 percent of all diabetes cases, meaning it represents the vast majority of the disease burden. Managing diabetes effectively is critical, because poor glucose control can lead to serious long-term complications, including cardiovascular disease, kidney failure, and nerve damage. A key challenge in treatment is that there are multiple glucose-lowering medications available, and patients do not respond equally to each one. </w:t>
      </w:r>
    </w:p>
    <w:p w:rsidR="00000000" w:rsidDel="00000000" w:rsidP="00000000" w:rsidRDefault="00000000" w:rsidRPr="00000000" w14:paraId="000000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treatment decisions are largely based on general guidelines and average responses across populations. However, because patients vary significantly, this approach may not lead to the best outcome for every individual. If we could accurately predict how a specific patient will respond to different treatments, we could make more personalized decisions, improve glucose control, and potentially reduce long-term complications.</w:t>
      </w:r>
    </w:p>
    <w:p w:rsidR="00000000" w:rsidDel="00000000" w:rsidP="00000000" w:rsidRDefault="00000000" w:rsidRPr="00000000" w14:paraId="0000000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an important clinical question: given a specific patient, which medication will work best for them?</w:t>
      </w:r>
    </w:p>
    <w:p w:rsidR="00000000" w:rsidDel="00000000" w:rsidP="00000000" w:rsidRDefault="00000000" w:rsidRPr="00000000" w14:paraId="0000000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work in type 2 diabetes has shown that treatment response is not the same for every patient, which has motivated more personalized approaches to therapy selection. The main study that inspired our project was a 2025 Lancet paper that developed a treatment selection model across five major glucose-lowering drug classes. Using routinely collected clinical variables at the time of treatment initiation, the model predicted each patient’s expected 12-month HbA1c for each drug class, and defined the optimal therapy as the one with the lowest predicted HbA1c.</w:t>
      </w:r>
    </w:p>
    <w:p w:rsidR="00000000" w:rsidDel="00000000" w:rsidP="00000000" w:rsidRDefault="00000000" w:rsidRPr="00000000" w14:paraId="0000000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found that patients receiving the model-predicted optimal therapy had about a 5 mmol/mol better observed 12-month HbA1c than matched patients receiving non-optimal therapy, and model-concordant treatment was also associated with lower risk of glycemic failure over time. This was important because it showed that routine clinical data could support individualized treatment selection in a clinically meaningful way. But the framework relied mainly on static features measured at treatment initiation, such as age, sex, BMI, baseline HbA1c, kidney function, and lipid measures. </w:t>
      </w:r>
    </w:p>
    <w:p w:rsidR="00000000" w:rsidDel="00000000" w:rsidP="00000000" w:rsidRDefault="00000000" w:rsidRPr="00000000" w14:paraId="000000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created the main gap for our project: diabetes care is inherently longitudinal, so we asked whether incorporating patient history over time, such as prior lab trends and medication history, could improve prediction beyond those static baseline features.</w:t>
      </w:r>
    </w:p>
    <w:p w:rsidR="00000000" w:rsidDel="00000000" w:rsidP="00000000" w:rsidRDefault="00000000" w:rsidRPr="00000000" w14:paraId="0000000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was framed as a supervised regression problem. Each observation was a medication-initiation event rather than a unique patient, so one patient could contribute multiple events. Predictors came from information available before treatment initiation, and the target was follow-up HbA1c measured near 12 months after therapy start.</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workflow used a TriNetX-derived type 2 diabetes patient cohort. The final candidate cohort was constructed from staged medication initiations and filtered to retain clinically meaningful events. Inclusion required age 18 to 79 at index, evidence of T2D on or before index, prior glucose-lowering medication exposure before the indexed therapy, no ESKD before index, no insulin overlap within 30 days of index, and a baseline HbA1c between 7.0% and 12.2% measured from 183 days before to 7 days after index.</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selected follow-up HbA1c in a 3 to 15 month window after treatment initiation and kept the value closest to day 365. Two outcome definitions were analyzed: a broad mode including all events with a valid follow-up HbA1c, and an unchanged-therapy mode including only events with continued prescribing of the indexed drug class and no new non-background glucose-lowering class added before the outcome measurement. Before final QC and modeling, these files contained 97,673 broad events and 51,058 unchanged-therapy events.</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data representations were used. For static modeling, each event was represented as a single row containing age, sex, baseline HbA1c, diabetes duration, eGFR, HDL, total cholesterol, ALT, BMI, weight, height, prior glucose-medication timing and counts, prior medication-class exposure indicators, and indexed drug class. For longitudinal modeling, event-aligned records were built from the prior 730 days of HbA1c, core labs, glucose-lowering medications, and body-size records. Each sequence event was represented by a feature token, a numeric value, and days before index, then truncated or padded to a maximum length of 128 for the GRU.</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applied shared QC and preprocessing before model fitting. Out-of-range continuous values were set to missing, invalid outcome HbA1c rows were excluded, and selected continuous predictors were clipped using the 1st and 99th percentiles from the training split only. For static models, numeric variables were median-imputed and standardized, categorical variables were imputed with the most frequent value and one-hot encoded, and all preprocessing was fit on the training data only.</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implementation compares one unsupervised approach and four supervised models. The unsupervised method was K-means clustering while the supervised models were Elastic Net, HGBR, a static CNN, and a sequence GRU. After hyperparameter tuning using Optuna, the two static baseline models were retrained on the combined training and validation sets and evaluated on the held-out test set. The CNN and GRU were trained with validation monitoring and then evaluated on test data. Performance was summarized with MAE, RMSE, and R2.</w:t>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8.38905775076"/>
        <w:gridCol w:w="1422.4924012158056"/>
        <w:gridCol w:w="1621.6413373860182"/>
        <w:gridCol w:w="1422.4924012158056"/>
        <w:gridCol w:w="1422.4924012158056"/>
        <w:gridCol w:w="1422.4924012158056"/>
        <w:tblGridChange w:id="0">
          <w:tblGrid>
            <w:gridCol w:w="2048.38905775076"/>
            <w:gridCol w:w="1422.4924012158056"/>
            <w:gridCol w:w="1621.6413373860182"/>
            <w:gridCol w:w="1422.4924012158056"/>
            <w:gridCol w:w="1422.4924012158056"/>
            <w:gridCol w:w="1422.4924012158056"/>
          </w:tblGrid>
        </w:tblGridChange>
      </w:tblGrid>
      <w:tr>
        <w:trPr>
          <w:cantSplit w:val="0"/>
          <w:trHeight w:val="315" w:hRule="atLeast"/>
          <w:tblHeader w:val="0"/>
        </w:trPr>
        <w:tc>
          <w:tcPr>
            <w:tcBorders>
              <w:top w:color="4a535c" w:space="0" w:sz="6" w:val="single"/>
              <w:left w:color="4a535c" w:space="0" w:sz="6" w:val="single"/>
              <w:bottom w:color="4a535c" w:space="0" w:sz="6" w:val="single"/>
              <w:right w:color="626e7a" w:space="0" w:sz="6" w:val="single"/>
            </w:tcBorders>
            <w:shd w:fill="626e7a" w:val="clear"/>
            <w:tcMar>
              <w:top w:w="40.0" w:type="dxa"/>
              <w:left w:w="120.0" w:type="dxa"/>
              <w:bottom w:w="40.0" w:type="dxa"/>
              <w:right w:w="120.0" w:type="dxa"/>
            </w:tcMar>
            <w:vAlign w:val="center"/>
          </w:tcPr>
          <w:p w:rsidR="00000000" w:rsidDel="00000000" w:rsidP="00000000" w:rsidRDefault="00000000" w:rsidRPr="00000000" w14:paraId="0000001D">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Outcome Setting</w:t>
            </w:r>
            <w:r w:rsidDel="00000000" w:rsidR="00000000" w:rsidRPr="00000000">
              <w:rPr>
                <w:rtl w:val="0"/>
              </w:rPr>
            </w:r>
          </w:p>
        </w:tc>
        <w:tc>
          <w:tcPr>
            <w:tcBorders>
              <w:top w:color="4a535c" w:space="0" w:sz="6" w:val="single"/>
              <w:left w:color="cccccc" w:space="0" w:sz="6" w:val="single"/>
              <w:bottom w:color="4a535c" w:space="0" w:sz="6" w:val="single"/>
              <w:right w:color="626e7a" w:space="0" w:sz="6" w:val="single"/>
            </w:tcBorders>
            <w:shd w:fill="626e7a" w:val="clear"/>
            <w:tcMar>
              <w:top w:w="40.0" w:type="dxa"/>
              <w:left w:w="120.0" w:type="dxa"/>
              <w:bottom w:w="40.0" w:type="dxa"/>
              <w:right w:w="12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Model</w:t>
            </w:r>
            <w:r w:rsidDel="00000000" w:rsidR="00000000" w:rsidRPr="00000000">
              <w:rPr>
                <w:rtl w:val="0"/>
              </w:rPr>
            </w:r>
          </w:p>
        </w:tc>
        <w:tc>
          <w:tcPr>
            <w:tcBorders>
              <w:top w:color="4a535c" w:space="0" w:sz="6" w:val="single"/>
              <w:left w:color="cccccc" w:space="0" w:sz="6" w:val="single"/>
              <w:bottom w:color="4a535c" w:space="0" w:sz="6" w:val="single"/>
              <w:right w:color="626e7a" w:space="0" w:sz="6" w:val="single"/>
            </w:tcBorders>
            <w:shd w:fill="626e7a" w:val="clear"/>
            <w:tcMar>
              <w:top w:w="40.0" w:type="dxa"/>
              <w:left w:w="120.0" w:type="dxa"/>
              <w:bottom w:w="40.0" w:type="dxa"/>
              <w:right w:w="12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N (test)</w:t>
            </w:r>
            <w:r w:rsidDel="00000000" w:rsidR="00000000" w:rsidRPr="00000000">
              <w:rPr>
                <w:rtl w:val="0"/>
              </w:rPr>
            </w:r>
          </w:p>
        </w:tc>
        <w:tc>
          <w:tcPr>
            <w:tcBorders>
              <w:top w:color="4a535c" w:space="0" w:sz="6" w:val="single"/>
              <w:left w:color="cccccc" w:space="0" w:sz="6" w:val="single"/>
              <w:bottom w:color="4a535c" w:space="0" w:sz="6" w:val="single"/>
              <w:right w:color="626e7a" w:space="0" w:sz="6" w:val="single"/>
            </w:tcBorders>
            <w:shd w:fill="626e7a" w:val="clear"/>
            <w:tcMar>
              <w:top w:w="40.0" w:type="dxa"/>
              <w:left w:w="120.0" w:type="dxa"/>
              <w:bottom w:w="40.0" w:type="dxa"/>
              <w:right w:w="12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MAE</w:t>
            </w:r>
            <w:r w:rsidDel="00000000" w:rsidR="00000000" w:rsidRPr="00000000">
              <w:rPr>
                <w:rtl w:val="0"/>
              </w:rPr>
            </w:r>
          </w:p>
        </w:tc>
        <w:tc>
          <w:tcPr>
            <w:tcBorders>
              <w:top w:color="4a535c" w:space="0" w:sz="6" w:val="single"/>
              <w:left w:color="cccccc" w:space="0" w:sz="6" w:val="single"/>
              <w:bottom w:color="4a535c" w:space="0" w:sz="6" w:val="single"/>
              <w:right w:color="626e7a" w:space="0" w:sz="6" w:val="single"/>
            </w:tcBorders>
            <w:shd w:fill="626e7a" w:val="clear"/>
            <w:tcMar>
              <w:top w:w="40.0" w:type="dxa"/>
              <w:left w:w="120.0" w:type="dxa"/>
              <w:bottom w:w="40.0" w:type="dxa"/>
              <w:right w:w="120.0" w:type="dxa"/>
            </w:tcMar>
            <w:vAlign w:val="center"/>
          </w:tcPr>
          <w:p w:rsidR="00000000" w:rsidDel="00000000" w:rsidP="00000000" w:rsidRDefault="00000000" w:rsidRPr="00000000" w14:paraId="00000021">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RMSE</w:t>
            </w:r>
            <w:r w:rsidDel="00000000" w:rsidR="00000000" w:rsidRPr="00000000">
              <w:rPr>
                <w:rtl w:val="0"/>
              </w:rPr>
            </w:r>
          </w:p>
        </w:tc>
        <w:tc>
          <w:tcPr>
            <w:tcBorders>
              <w:top w:color="4a535c" w:space="0" w:sz="6" w:val="single"/>
              <w:left w:color="cccccc" w:space="0" w:sz="6" w:val="single"/>
              <w:bottom w:color="4a535c" w:space="0" w:sz="6" w:val="single"/>
              <w:right w:color="4a535c" w:space="0" w:sz="6" w:val="single"/>
            </w:tcBorders>
            <w:shd w:fill="626e7a" w:val="clear"/>
            <w:tcMar>
              <w:top w:w="40.0" w:type="dxa"/>
              <w:left w:w="120.0" w:type="dxa"/>
              <w:bottom w:w="40.0" w:type="dxa"/>
              <w:right w:w="12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R²</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rPr>
                <w:sz w:val="20"/>
                <w:szCs w:val="20"/>
              </w:rPr>
            </w:pPr>
            <w:r w:rsidDel="00000000" w:rsidR="00000000" w:rsidRPr="00000000">
              <w:rPr>
                <w:rFonts w:ascii="Roboto" w:cs="Roboto" w:eastAsia="Roboto" w:hAnsi="Roboto"/>
                <w:color w:val="434343"/>
                <w:sz w:val="20"/>
                <w:szCs w:val="20"/>
                <w:rtl w:val="0"/>
              </w:rPr>
              <w:t xml:space="preserve">Broad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rPr>
                <w:sz w:val="20"/>
                <w:szCs w:val="20"/>
              </w:rPr>
            </w:pPr>
            <w:r w:rsidDel="00000000" w:rsidR="00000000" w:rsidRPr="00000000">
              <w:rPr>
                <w:rFonts w:ascii="Roboto" w:cs="Roboto" w:eastAsia="Roboto" w:hAnsi="Roboto"/>
                <w:color w:val="434343"/>
                <w:sz w:val="20"/>
                <w:szCs w:val="20"/>
                <w:rtl w:val="0"/>
              </w:rPr>
              <w:t xml:space="preserve">HGBR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jc w:val="right"/>
              <w:rPr>
                <w:sz w:val="20"/>
                <w:szCs w:val="20"/>
              </w:rPr>
            </w:pPr>
            <w:r w:rsidDel="00000000" w:rsidR="00000000" w:rsidRPr="00000000">
              <w:rPr>
                <w:rFonts w:ascii="Roboto" w:cs="Roboto" w:eastAsia="Roboto" w:hAnsi="Roboto"/>
                <w:color w:val="434343"/>
                <w:sz w:val="20"/>
                <w:szCs w:val="20"/>
                <w:rtl w:val="0"/>
              </w:rPr>
              <w:t xml:space="preserve">14,540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6">
            <w:pPr>
              <w:widowControl w:val="0"/>
              <w:jc w:val="right"/>
              <w:rPr>
                <w:sz w:val="20"/>
                <w:szCs w:val="20"/>
              </w:rPr>
            </w:pPr>
            <w:r w:rsidDel="00000000" w:rsidR="00000000" w:rsidRPr="00000000">
              <w:rPr>
                <w:rFonts w:ascii="Roboto" w:cs="Roboto" w:eastAsia="Roboto" w:hAnsi="Roboto"/>
                <w:color w:val="434343"/>
                <w:sz w:val="20"/>
                <w:szCs w:val="20"/>
                <w:rtl w:val="0"/>
              </w:rPr>
              <w:t xml:space="preserve">1.013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widowControl w:val="0"/>
              <w:jc w:val="right"/>
              <w:rPr>
                <w:sz w:val="20"/>
                <w:szCs w:val="20"/>
              </w:rPr>
            </w:pPr>
            <w:r w:rsidDel="00000000" w:rsidR="00000000" w:rsidRPr="00000000">
              <w:rPr>
                <w:rFonts w:ascii="Roboto" w:cs="Roboto" w:eastAsia="Roboto" w:hAnsi="Roboto"/>
                <w:color w:val="434343"/>
                <w:sz w:val="20"/>
                <w:szCs w:val="20"/>
                <w:rtl w:val="0"/>
              </w:rPr>
              <w:t xml:space="preserve">1.385</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8">
            <w:pPr>
              <w:widowControl w:val="0"/>
              <w:jc w:val="right"/>
              <w:rPr>
                <w:sz w:val="20"/>
                <w:szCs w:val="20"/>
              </w:rPr>
            </w:pPr>
            <w:r w:rsidDel="00000000" w:rsidR="00000000" w:rsidRPr="00000000">
              <w:rPr>
                <w:rFonts w:ascii="Roboto" w:cs="Roboto" w:eastAsia="Roboto" w:hAnsi="Roboto"/>
                <w:color w:val="434343"/>
                <w:sz w:val="20"/>
                <w:szCs w:val="20"/>
                <w:rtl w:val="0"/>
              </w:rPr>
              <w:t xml:space="preserve">0.179</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9">
            <w:pPr>
              <w:widowControl w:val="0"/>
              <w:rPr>
                <w:sz w:val="20"/>
                <w:szCs w:val="20"/>
              </w:rPr>
            </w:pPr>
            <w:r w:rsidDel="00000000" w:rsidR="00000000" w:rsidRPr="00000000">
              <w:rPr>
                <w:rFonts w:ascii="Roboto" w:cs="Roboto" w:eastAsia="Roboto" w:hAnsi="Roboto"/>
                <w:color w:val="434343"/>
                <w:sz w:val="20"/>
                <w:szCs w:val="20"/>
                <w:rtl w:val="0"/>
              </w:rPr>
              <w:t xml:space="preserve">Broad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A">
            <w:pPr>
              <w:widowControl w:val="0"/>
              <w:rPr>
                <w:sz w:val="20"/>
                <w:szCs w:val="20"/>
              </w:rPr>
            </w:pPr>
            <w:r w:rsidDel="00000000" w:rsidR="00000000" w:rsidRPr="00000000">
              <w:rPr>
                <w:rFonts w:ascii="Roboto" w:cs="Roboto" w:eastAsia="Roboto" w:hAnsi="Roboto"/>
                <w:color w:val="434343"/>
                <w:sz w:val="20"/>
                <w:szCs w:val="20"/>
                <w:rtl w:val="0"/>
              </w:rPr>
              <w:t xml:space="preserve">Elastic Net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B">
            <w:pPr>
              <w:widowControl w:val="0"/>
              <w:jc w:val="right"/>
              <w:rPr>
                <w:sz w:val="20"/>
                <w:szCs w:val="20"/>
              </w:rPr>
            </w:pPr>
            <w:r w:rsidDel="00000000" w:rsidR="00000000" w:rsidRPr="00000000">
              <w:rPr>
                <w:rFonts w:ascii="Roboto" w:cs="Roboto" w:eastAsia="Roboto" w:hAnsi="Roboto"/>
                <w:color w:val="434343"/>
                <w:sz w:val="20"/>
                <w:szCs w:val="20"/>
                <w:rtl w:val="0"/>
              </w:rPr>
              <w:t xml:space="preserve">14,540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C">
            <w:pPr>
              <w:widowControl w:val="0"/>
              <w:jc w:val="right"/>
              <w:rPr>
                <w:sz w:val="20"/>
                <w:szCs w:val="20"/>
              </w:rPr>
            </w:pPr>
            <w:r w:rsidDel="00000000" w:rsidR="00000000" w:rsidRPr="00000000">
              <w:rPr>
                <w:rFonts w:ascii="Roboto" w:cs="Roboto" w:eastAsia="Roboto" w:hAnsi="Roboto"/>
                <w:color w:val="434343"/>
                <w:sz w:val="20"/>
                <w:szCs w:val="20"/>
                <w:rtl w:val="0"/>
              </w:rPr>
              <w:t xml:space="preserve">1.024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D">
            <w:pPr>
              <w:widowControl w:val="0"/>
              <w:jc w:val="right"/>
              <w:rPr>
                <w:sz w:val="20"/>
                <w:szCs w:val="20"/>
              </w:rPr>
            </w:pPr>
            <w:r w:rsidDel="00000000" w:rsidR="00000000" w:rsidRPr="00000000">
              <w:rPr>
                <w:rFonts w:ascii="Roboto" w:cs="Roboto" w:eastAsia="Roboto" w:hAnsi="Roboto"/>
                <w:color w:val="434343"/>
                <w:sz w:val="20"/>
                <w:szCs w:val="20"/>
                <w:rtl w:val="0"/>
              </w:rPr>
              <w:t xml:space="preserve">1.397</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E">
            <w:pPr>
              <w:widowControl w:val="0"/>
              <w:jc w:val="right"/>
              <w:rPr>
                <w:sz w:val="20"/>
                <w:szCs w:val="20"/>
              </w:rPr>
            </w:pPr>
            <w:r w:rsidDel="00000000" w:rsidR="00000000" w:rsidRPr="00000000">
              <w:rPr>
                <w:rFonts w:ascii="Roboto" w:cs="Roboto" w:eastAsia="Roboto" w:hAnsi="Roboto"/>
                <w:color w:val="434343"/>
                <w:sz w:val="20"/>
                <w:szCs w:val="20"/>
                <w:rtl w:val="0"/>
              </w:rPr>
              <w:t xml:space="preserve">0.164</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20"/>
                <w:szCs w:val="20"/>
              </w:rPr>
            </w:pPr>
            <w:r w:rsidDel="00000000" w:rsidR="00000000" w:rsidRPr="00000000">
              <w:rPr>
                <w:rFonts w:ascii="Roboto" w:cs="Roboto" w:eastAsia="Roboto" w:hAnsi="Roboto"/>
                <w:color w:val="434343"/>
                <w:sz w:val="20"/>
                <w:szCs w:val="20"/>
                <w:rtl w:val="0"/>
              </w:rPr>
              <w:t xml:space="preserve">Broad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rPr>
                <w:sz w:val="20"/>
                <w:szCs w:val="20"/>
              </w:rPr>
            </w:pPr>
            <w:r w:rsidDel="00000000" w:rsidR="00000000" w:rsidRPr="00000000">
              <w:rPr>
                <w:rFonts w:ascii="Roboto" w:cs="Roboto" w:eastAsia="Roboto" w:hAnsi="Roboto"/>
                <w:color w:val="434343"/>
                <w:sz w:val="20"/>
                <w:szCs w:val="20"/>
                <w:rtl w:val="0"/>
              </w:rPr>
              <w:t xml:space="preserve">CNN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jc w:val="right"/>
              <w:rPr>
                <w:sz w:val="20"/>
                <w:szCs w:val="20"/>
              </w:rPr>
            </w:pPr>
            <w:r w:rsidDel="00000000" w:rsidR="00000000" w:rsidRPr="00000000">
              <w:rPr>
                <w:rFonts w:ascii="Roboto" w:cs="Roboto" w:eastAsia="Roboto" w:hAnsi="Roboto"/>
                <w:color w:val="434343"/>
                <w:sz w:val="20"/>
                <w:szCs w:val="20"/>
                <w:rtl w:val="0"/>
              </w:rPr>
              <w:t xml:space="preserve">14,540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jc w:val="right"/>
              <w:rPr>
                <w:sz w:val="20"/>
                <w:szCs w:val="20"/>
              </w:rPr>
            </w:pPr>
            <w:r w:rsidDel="00000000" w:rsidR="00000000" w:rsidRPr="00000000">
              <w:rPr>
                <w:rFonts w:ascii="Roboto" w:cs="Roboto" w:eastAsia="Roboto" w:hAnsi="Roboto"/>
                <w:color w:val="434343"/>
                <w:sz w:val="20"/>
                <w:szCs w:val="20"/>
                <w:rtl w:val="0"/>
              </w:rPr>
              <w:t xml:space="preserve">1.003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widowControl w:val="0"/>
              <w:jc w:val="right"/>
              <w:rPr>
                <w:sz w:val="20"/>
                <w:szCs w:val="20"/>
              </w:rPr>
            </w:pPr>
            <w:r w:rsidDel="00000000" w:rsidR="00000000" w:rsidRPr="00000000">
              <w:rPr>
                <w:rFonts w:ascii="Roboto" w:cs="Roboto" w:eastAsia="Roboto" w:hAnsi="Roboto"/>
                <w:color w:val="434343"/>
                <w:sz w:val="20"/>
                <w:szCs w:val="20"/>
                <w:rtl w:val="0"/>
              </w:rPr>
              <w:t xml:space="preserve">1.403</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jc w:val="right"/>
              <w:rPr>
                <w:sz w:val="20"/>
                <w:szCs w:val="20"/>
              </w:rPr>
            </w:pPr>
            <w:r w:rsidDel="00000000" w:rsidR="00000000" w:rsidRPr="00000000">
              <w:rPr>
                <w:rFonts w:ascii="Roboto" w:cs="Roboto" w:eastAsia="Roboto" w:hAnsi="Roboto"/>
                <w:color w:val="434343"/>
                <w:sz w:val="20"/>
                <w:szCs w:val="20"/>
                <w:rtl w:val="0"/>
              </w:rPr>
              <w:t xml:space="preserve">0.158</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Roboto" w:cs="Roboto" w:eastAsia="Roboto" w:hAnsi="Roboto"/>
                <w:color w:val="434343"/>
                <w:sz w:val="20"/>
                <w:szCs w:val="20"/>
                <w:rtl w:val="0"/>
              </w:rPr>
              <w:t xml:space="preserve">Broad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rPr>
                <w:sz w:val="20"/>
                <w:szCs w:val="20"/>
              </w:rPr>
            </w:pPr>
            <w:r w:rsidDel="00000000" w:rsidR="00000000" w:rsidRPr="00000000">
              <w:rPr>
                <w:rFonts w:ascii="Roboto" w:cs="Roboto" w:eastAsia="Roboto" w:hAnsi="Roboto"/>
                <w:color w:val="434343"/>
                <w:sz w:val="20"/>
                <w:szCs w:val="20"/>
                <w:rtl w:val="0"/>
              </w:rPr>
              <w:t xml:space="preserve">GRU</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jc w:val="right"/>
              <w:rPr>
                <w:sz w:val="20"/>
                <w:szCs w:val="20"/>
              </w:rPr>
            </w:pPr>
            <w:r w:rsidDel="00000000" w:rsidR="00000000" w:rsidRPr="00000000">
              <w:rPr>
                <w:rFonts w:ascii="Roboto" w:cs="Roboto" w:eastAsia="Roboto" w:hAnsi="Roboto"/>
                <w:color w:val="434343"/>
                <w:sz w:val="20"/>
                <w:szCs w:val="20"/>
                <w:rtl w:val="0"/>
              </w:rPr>
              <w:t xml:space="preserve">14,493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jc w:val="right"/>
              <w:rPr>
                <w:sz w:val="20"/>
                <w:szCs w:val="20"/>
              </w:rPr>
            </w:pPr>
            <w:r w:rsidDel="00000000" w:rsidR="00000000" w:rsidRPr="00000000">
              <w:rPr>
                <w:rFonts w:ascii="Roboto" w:cs="Roboto" w:eastAsia="Roboto" w:hAnsi="Roboto"/>
                <w:color w:val="434343"/>
                <w:sz w:val="20"/>
                <w:szCs w:val="20"/>
                <w:rtl w:val="0"/>
              </w:rPr>
              <w:t xml:space="preserve">1.053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jc w:val="right"/>
              <w:rPr>
                <w:sz w:val="20"/>
                <w:szCs w:val="20"/>
              </w:rPr>
            </w:pPr>
            <w:r w:rsidDel="00000000" w:rsidR="00000000" w:rsidRPr="00000000">
              <w:rPr>
                <w:rFonts w:ascii="Roboto" w:cs="Roboto" w:eastAsia="Roboto" w:hAnsi="Roboto"/>
                <w:color w:val="434343"/>
                <w:sz w:val="20"/>
                <w:szCs w:val="20"/>
                <w:rtl w:val="0"/>
              </w:rPr>
              <w:t xml:space="preserve">1.494</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A">
            <w:pPr>
              <w:widowControl w:val="0"/>
              <w:jc w:val="right"/>
              <w:rPr>
                <w:sz w:val="20"/>
                <w:szCs w:val="20"/>
              </w:rPr>
            </w:pPr>
            <w:r w:rsidDel="00000000" w:rsidR="00000000" w:rsidRPr="00000000">
              <w:rPr>
                <w:rFonts w:ascii="Roboto" w:cs="Roboto" w:eastAsia="Roboto" w:hAnsi="Roboto"/>
                <w:color w:val="434343"/>
                <w:sz w:val="20"/>
                <w:szCs w:val="20"/>
                <w:rtl w:val="0"/>
              </w:rPr>
              <w:t xml:space="preserve">0.041</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widowControl w:val="0"/>
              <w:rPr>
                <w:sz w:val="20"/>
                <w:szCs w:val="20"/>
              </w:rPr>
            </w:pPr>
            <w:r w:rsidDel="00000000" w:rsidR="00000000" w:rsidRPr="00000000">
              <w:rPr>
                <w:rFonts w:ascii="Roboto" w:cs="Roboto" w:eastAsia="Roboto" w:hAnsi="Roboto"/>
                <w:color w:val="434343"/>
                <w:sz w:val="20"/>
                <w:szCs w:val="20"/>
                <w:rtl w:val="0"/>
              </w:rPr>
              <w:t xml:space="preserve">Unchanged Therapy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rPr>
                <w:sz w:val="20"/>
                <w:szCs w:val="20"/>
              </w:rPr>
            </w:pPr>
            <w:r w:rsidDel="00000000" w:rsidR="00000000" w:rsidRPr="00000000">
              <w:rPr>
                <w:rFonts w:ascii="Roboto" w:cs="Roboto" w:eastAsia="Roboto" w:hAnsi="Roboto"/>
                <w:color w:val="434343"/>
                <w:sz w:val="20"/>
                <w:szCs w:val="20"/>
                <w:rtl w:val="0"/>
              </w:rPr>
              <w:t xml:space="preserve">HGBR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jc w:val="right"/>
              <w:rPr>
                <w:sz w:val="20"/>
                <w:szCs w:val="20"/>
              </w:rPr>
            </w:pPr>
            <w:r w:rsidDel="00000000" w:rsidR="00000000" w:rsidRPr="00000000">
              <w:rPr>
                <w:rFonts w:ascii="Roboto" w:cs="Roboto" w:eastAsia="Roboto" w:hAnsi="Roboto"/>
                <w:color w:val="434343"/>
                <w:sz w:val="20"/>
                <w:szCs w:val="20"/>
                <w:rtl w:val="0"/>
              </w:rPr>
              <w:t xml:space="preserve">7,632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jc w:val="right"/>
              <w:rPr>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jc w:val="right"/>
              <w:rPr>
                <w:sz w:val="20"/>
                <w:szCs w:val="20"/>
              </w:rPr>
            </w:pPr>
            <w:r w:rsidDel="00000000" w:rsidR="00000000" w:rsidRPr="00000000">
              <w:rPr>
                <w:rFonts w:ascii="Roboto" w:cs="Roboto" w:eastAsia="Roboto" w:hAnsi="Roboto"/>
                <w:color w:val="434343"/>
                <w:sz w:val="20"/>
                <w:szCs w:val="20"/>
                <w:rtl w:val="0"/>
              </w:rPr>
              <w:t xml:space="preserve">1.308</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jc w:val="right"/>
              <w:rPr>
                <w:sz w:val="20"/>
                <w:szCs w:val="20"/>
              </w:rPr>
            </w:pPr>
            <w:r w:rsidDel="00000000" w:rsidR="00000000" w:rsidRPr="00000000">
              <w:rPr>
                <w:rFonts w:ascii="Roboto" w:cs="Roboto" w:eastAsia="Roboto" w:hAnsi="Roboto"/>
                <w:color w:val="434343"/>
                <w:sz w:val="20"/>
                <w:szCs w:val="20"/>
                <w:rtl w:val="0"/>
              </w:rPr>
              <w:t xml:space="preserve">0.193</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widowControl w:val="0"/>
              <w:rPr>
                <w:sz w:val="20"/>
                <w:szCs w:val="20"/>
              </w:rPr>
            </w:pPr>
            <w:r w:rsidDel="00000000" w:rsidR="00000000" w:rsidRPr="00000000">
              <w:rPr>
                <w:rFonts w:ascii="Roboto" w:cs="Roboto" w:eastAsia="Roboto" w:hAnsi="Roboto"/>
                <w:color w:val="434343"/>
                <w:sz w:val="20"/>
                <w:szCs w:val="20"/>
                <w:rtl w:val="0"/>
              </w:rPr>
              <w:t xml:space="preserve">Unchanged Therapy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widowControl w:val="0"/>
              <w:rPr>
                <w:sz w:val="20"/>
                <w:szCs w:val="20"/>
              </w:rPr>
            </w:pPr>
            <w:r w:rsidDel="00000000" w:rsidR="00000000" w:rsidRPr="00000000">
              <w:rPr>
                <w:rFonts w:ascii="Roboto" w:cs="Roboto" w:eastAsia="Roboto" w:hAnsi="Roboto"/>
                <w:color w:val="434343"/>
                <w:sz w:val="20"/>
                <w:szCs w:val="20"/>
                <w:rtl w:val="0"/>
              </w:rPr>
              <w:t xml:space="preserve">Elastic Net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3">
            <w:pPr>
              <w:widowControl w:val="0"/>
              <w:jc w:val="right"/>
              <w:rPr>
                <w:sz w:val="20"/>
                <w:szCs w:val="20"/>
              </w:rPr>
            </w:pPr>
            <w:r w:rsidDel="00000000" w:rsidR="00000000" w:rsidRPr="00000000">
              <w:rPr>
                <w:rFonts w:ascii="Roboto" w:cs="Roboto" w:eastAsia="Roboto" w:hAnsi="Roboto"/>
                <w:color w:val="434343"/>
                <w:sz w:val="20"/>
                <w:szCs w:val="20"/>
                <w:rtl w:val="0"/>
              </w:rPr>
              <w:t xml:space="preserve">7,632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4">
            <w:pPr>
              <w:widowControl w:val="0"/>
              <w:jc w:val="right"/>
              <w:rPr>
                <w:sz w:val="20"/>
                <w:szCs w:val="20"/>
              </w:rPr>
            </w:pPr>
            <w:r w:rsidDel="00000000" w:rsidR="00000000" w:rsidRPr="00000000">
              <w:rPr>
                <w:rFonts w:ascii="Roboto" w:cs="Roboto" w:eastAsia="Roboto" w:hAnsi="Roboto"/>
                <w:color w:val="434343"/>
                <w:sz w:val="20"/>
                <w:szCs w:val="20"/>
                <w:rtl w:val="0"/>
              </w:rPr>
              <w:t xml:space="preserve">0.962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widowControl w:val="0"/>
              <w:jc w:val="right"/>
              <w:rPr>
                <w:sz w:val="20"/>
                <w:szCs w:val="20"/>
              </w:rPr>
            </w:pPr>
            <w:r w:rsidDel="00000000" w:rsidR="00000000" w:rsidRPr="00000000">
              <w:rPr>
                <w:rFonts w:ascii="Roboto" w:cs="Roboto" w:eastAsia="Roboto" w:hAnsi="Roboto"/>
                <w:color w:val="434343"/>
                <w:sz w:val="20"/>
                <w:szCs w:val="20"/>
                <w:rtl w:val="0"/>
              </w:rPr>
              <w:t xml:space="preserve">1.321</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jc w:val="right"/>
              <w:rPr>
                <w:sz w:val="20"/>
                <w:szCs w:val="20"/>
              </w:rPr>
            </w:pPr>
            <w:r w:rsidDel="00000000" w:rsidR="00000000" w:rsidRPr="00000000">
              <w:rPr>
                <w:rFonts w:ascii="Roboto" w:cs="Roboto" w:eastAsia="Roboto" w:hAnsi="Roboto"/>
                <w:color w:val="434343"/>
                <w:sz w:val="20"/>
                <w:szCs w:val="20"/>
                <w:rtl w:val="0"/>
              </w:rPr>
              <w:t xml:space="preserve">0.177</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Unchanged Therapy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CNN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jc w:val="right"/>
              <w:rPr>
                <w:sz w:val="20"/>
                <w:szCs w:val="20"/>
              </w:rPr>
            </w:pPr>
            <w:r w:rsidDel="00000000" w:rsidR="00000000" w:rsidRPr="00000000">
              <w:rPr>
                <w:rFonts w:ascii="Roboto" w:cs="Roboto" w:eastAsia="Roboto" w:hAnsi="Roboto"/>
                <w:color w:val="434343"/>
                <w:sz w:val="20"/>
                <w:szCs w:val="20"/>
                <w:rtl w:val="0"/>
              </w:rPr>
              <w:t xml:space="preserve">7,632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jc w:val="right"/>
              <w:rPr>
                <w:sz w:val="20"/>
                <w:szCs w:val="20"/>
              </w:rPr>
            </w:pPr>
            <w:r w:rsidDel="00000000" w:rsidR="00000000" w:rsidRPr="00000000">
              <w:rPr>
                <w:rFonts w:ascii="Roboto" w:cs="Roboto" w:eastAsia="Roboto" w:hAnsi="Roboto"/>
                <w:color w:val="434343"/>
                <w:sz w:val="20"/>
                <w:szCs w:val="20"/>
                <w:rtl w:val="0"/>
              </w:rPr>
              <w:t xml:space="preserve">0.963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jc w:val="right"/>
              <w:rPr>
                <w:sz w:val="20"/>
                <w:szCs w:val="20"/>
              </w:rPr>
            </w:pPr>
            <w:r w:rsidDel="00000000" w:rsidR="00000000" w:rsidRPr="00000000">
              <w:rPr>
                <w:rFonts w:ascii="Roboto" w:cs="Roboto" w:eastAsia="Roboto" w:hAnsi="Roboto"/>
                <w:color w:val="434343"/>
                <w:sz w:val="20"/>
                <w:szCs w:val="20"/>
                <w:rtl w:val="0"/>
              </w:rPr>
              <w:t xml:space="preserve">1.371</w:t>
            </w:r>
            <w:r w:rsidDel="00000000" w:rsidR="00000000" w:rsidRPr="00000000">
              <w:rPr>
                <w:rtl w:val="0"/>
              </w:rPr>
            </w:r>
          </w:p>
        </w:tc>
        <w:tc>
          <w:tcPr>
            <w:tcBorders>
              <w:top w:color="cccccc" w:space="0" w:sz="6" w:val="single"/>
              <w:left w:color="cccccc" w:space="0" w:sz="6" w:val="single"/>
              <w:bottom w:color="f6f8f9" w:space="0" w:sz="6" w:val="single"/>
              <w:right w:color="4a535c"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jc w:val="right"/>
              <w:rPr>
                <w:sz w:val="20"/>
                <w:szCs w:val="20"/>
              </w:rPr>
            </w:pPr>
            <w:r w:rsidDel="00000000" w:rsidR="00000000" w:rsidRPr="00000000">
              <w:rPr>
                <w:rFonts w:ascii="Roboto" w:cs="Roboto" w:eastAsia="Roboto" w:hAnsi="Roboto"/>
                <w:color w:val="434343"/>
                <w:sz w:val="20"/>
                <w:szCs w:val="20"/>
                <w:rtl w:val="0"/>
              </w:rPr>
              <w:t xml:space="preserve">0.114</w:t>
            </w:r>
            <w:r w:rsidDel="00000000" w:rsidR="00000000" w:rsidRPr="00000000">
              <w:rPr>
                <w:rtl w:val="0"/>
              </w:rPr>
            </w:r>
          </w:p>
        </w:tc>
      </w:tr>
      <w:tr>
        <w:trPr>
          <w:cantSplit w:val="0"/>
          <w:trHeight w:val="315" w:hRule="atLeast"/>
          <w:tblHeader w:val="0"/>
        </w:trPr>
        <w:tc>
          <w:tcPr>
            <w:tcBorders>
              <w:top w:color="cccccc" w:space="0" w:sz="6" w:val="single"/>
              <w:left w:color="4a535c" w:space="0" w:sz="6" w:val="single"/>
              <w:bottom w:color="4a535c"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Unchanged Therapy</w:t>
            </w:r>
            <w:r w:rsidDel="00000000" w:rsidR="00000000" w:rsidRPr="00000000">
              <w:rPr>
                <w:rtl w:val="0"/>
              </w:rPr>
            </w:r>
          </w:p>
        </w:tc>
        <w:tc>
          <w:tcPr>
            <w:tcBorders>
              <w:top w:color="cccccc" w:space="0" w:sz="6" w:val="single"/>
              <w:left w:color="cccccc" w:space="0" w:sz="6" w:val="single"/>
              <w:bottom w:color="4a535c"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GRU</w:t>
            </w:r>
            <w:r w:rsidDel="00000000" w:rsidR="00000000" w:rsidRPr="00000000">
              <w:rPr>
                <w:rtl w:val="0"/>
              </w:rPr>
            </w:r>
          </w:p>
        </w:tc>
        <w:tc>
          <w:tcPr>
            <w:tcBorders>
              <w:top w:color="cccccc" w:space="0" w:sz="6" w:val="single"/>
              <w:left w:color="cccccc" w:space="0" w:sz="6" w:val="single"/>
              <w:bottom w:color="4a535c"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jc w:val="right"/>
              <w:rPr>
                <w:sz w:val="20"/>
                <w:szCs w:val="20"/>
              </w:rPr>
            </w:pPr>
            <w:r w:rsidDel="00000000" w:rsidR="00000000" w:rsidRPr="00000000">
              <w:rPr>
                <w:rFonts w:ascii="Roboto" w:cs="Roboto" w:eastAsia="Roboto" w:hAnsi="Roboto"/>
                <w:color w:val="434343"/>
                <w:sz w:val="20"/>
                <w:szCs w:val="20"/>
                <w:rtl w:val="0"/>
              </w:rPr>
              <w:t xml:space="preserve">7,620</w:t>
            </w:r>
            <w:r w:rsidDel="00000000" w:rsidR="00000000" w:rsidRPr="00000000">
              <w:rPr>
                <w:rtl w:val="0"/>
              </w:rPr>
            </w:r>
          </w:p>
        </w:tc>
        <w:tc>
          <w:tcPr>
            <w:tcBorders>
              <w:top w:color="cccccc" w:space="0" w:sz="6" w:val="single"/>
              <w:left w:color="cccccc" w:space="0" w:sz="6" w:val="single"/>
              <w:bottom w:color="4a535c"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jc w:val="right"/>
              <w:rPr>
                <w:sz w:val="20"/>
                <w:szCs w:val="20"/>
              </w:rPr>
            </w:pPr>
            <w:r w:rsidDel="00000000" w:rsidR="00000000" w:rsidRPr="00000000">
              <w:rPr>
                <w:rFonts w:ascii="Roboto" w:cs="Roboto" w:eastAsia="Roboto" w:hAnsi="Roboto"/>
                <w:color w:val="434343"/>
                <w:sz w:val="20"/>
                <w:szCs w:val="20"/>
                <w:rtl w:val="0"/>
              </w:rPr>
              <w:t xml:space="preserve">0.971</w:t>
            </w:r>
            <w:r w:rsidDel="00000000" w:rsidR="00000000" w:rsidRPr="00000000">
              <w:rPr>
                <w:rtl w:val="0"/>
              </w:rPr>
            </w:r>
          </w:p>
        </w:tc>
        <w:tc>
          <w:tcPr>
            <w:tcBorders>
              <w:top w:color="cccccc" w:space="0" w:sz="6" w:val="single"/>
              <w:left w:color="cccccc" w:space="0" w:sz="6" w:val="single"/>
              <w:bottom w:color="4a535c"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jc w:val="right"/>
              <w:rPr>
                <w:sz w:val="20"/>
                <w:szCs w:val="20"/>
              </w:rPr>
            </w:pPr>
            <w:r w:rsidDel="00000000" w:rsidR="00000000" w:rsidRPr="00000000">
              <w:rPr>
                <w:rFonts w:ascii="Roboto" w:cs="Roboto" w:eastAsia="Roboto" w:hAnsi="Roboto"/>
                <w:color w:val="434343"/>
                <w:sz w:val="20"/>
                <w:szCs w:val="20"/>
                <w:rtl w:val="0"/>
              </w:rPr>
              <w:t xml:space="preserve">1.369</w:t>
            </w:r>
            <w:r w:rsidDel="00000000" w:rsidR="00000000" w:rsidRPr="00000000">
              <w:rPr>
                <w:rtl w:val="0"/>
              </w:rPr>
            </w:r>
          </w:p>
        </w:tc>
        <w:tc>
          <w:tcPr>
            <w:tcBorders>
              <w:top w:color="cccccc" w:space="0" w:sz="6" w:val="single"/>
              <w:left w:color="cccccc" w:space="0" w:sz="6" w:val="single"/>
              <w:bottom w:color="4a535c" w:space="0" w:sz="6" w:val="single"/>
              <w:right w:color="4a535c"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jc w:val="right"/>
              <w:rPr>
                <w:sz w:val="20"/>
                <w:szCs w:val="20"/>
              </w:rPr>
            </w:pPr>
            <w:r w:rsidDel="00000000" w:rsidR="00000000" w:rsidRPr="00000000">
              <w:rPr>
                <w:rFonts w:ascii="Roboto" w:cs="Roboto" w:eastAsia="Roboto" w:hAnsi="Roboto"/>
                <w:color w:val="434343"/>
                <w:sz w:val="20"/>
                <w:szCs w:val="20"/>
                <w:rtl w:val="0"/>
              </w:rPr>
              <w:t xml:space="preserve">0.115</w:t>
            </w:r>
            <w:r w:rsidDel="00000000" w:rsidR="00000000" w:rsidRPr="00000000">
              <w:rPr>
                <w:rtl w:val="0"/>
              </w:rPr>
            </w:r>
          </w:p>
        </w:tc>
      </w:tr>
    </w:tbl>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Model performance on test set across outcome definitions</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anchor allowOverlap="1" behindDoc="0" distB="114300" distT="114300" distL="114300" distR="114300" hidden="0" layoutInCell="1" locked="0" relativeHeight="0" simplePos="0">
            <wp:simplePos x="0" y="0"/>
            <wp:positionH relativeFrom="page">
              <wp:posOffset>781050</wp:posOffset>
            </wp:positionH>
            <wp:positionV relativeFrom="page">
              <wp:posOffset>4988356</wp:posOffset>
            </wp:positionV>
            <wp:extent cx="6815138" cy="161895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15138" cy="1618959"/>
                    </a:xfrm>
                    <a:prstGeom prst="rect"/>
                    <a:ln/>
                  </pic:spPr>
                </pic:pic>
              </a:graphicData>
            </a:graphic>
          </wp:anchor>
        </w:drawing>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Model performance across outcome settings.</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both outcome definitions, the HGBR demonstrated superior performance relative to all other models, achieving the lowest prediction error and highest coefficient of determination. Elastic Net and the static CNN yielded comparable results, whereas the GRU sequence model consistently underperformed, particularly under the broad outcome definition.</w:t>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improved across all supervised models in the unchanged-therapy setting compared to the broad setting. This improvement was observed across all evaluation metrics, indicating that restricting the cohort to events without treatment changes results in a less noisy and more predictable outcome. These findings highlight the sensitivity of predictive performance to outcome definition in observational EHR-based analyses.</w:t>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 clustering revealed limited subgroup structure within the baseline feature space. In the broad outcome setting, K-means clustering produced a silhouette score of 0.0699, which increased marginally to 0.0838 in the unchanged-therapy setting. Despite minor differences in cluster-level mean HbA1c, these low silhouette values indicate poor separation between clusters, suggesting that the baseline feature space does not naturally partition into well-defined patient subgroups using this approach.</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three key patterns emerge. First, tree-based methods outperform both linear and deep learning approaches in this setting. Second, outcome definition has a substantial impact on predictive performance, with cleaner labels yielding improved results. Third, incorporating longitudinal information via sequence models does not improve performance over strong tabular baselines, indicating that increased model complexity alone is insufficient to overcome limitations inherent to real-world EHR data.</w:t>
      </w: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pattern of results is sensible for this kind of EHR prediction task. HGBR likely performed best because the final static feature table contains a heterogeneous mix of clinical variables, prior treatment indicators, and drug class, which tree-based boosting handles well. The slightly weaker Elastic Net results are also reasonable because that model is more constrained by a linear structure.</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better performance in the unchanged-therapy setting also makes sense. That outcome definition was designed to reduce treatment contamination by excluding events where therapy changed before the follow-up HbA1c measurement, so a cleaner target should be easier to predict.</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deep learning results are also informative. The CNN performed similarly to the classical static baselines but did not improve on HGBR, suggesting that much of the predictive signal was already captured by the curated event-level static features. The GRU sequence model performed worse than the strongest static models, likely because sequence models are more sensitive to representation choices and training budget. Here, longitudinal history was reduced to tokens, numeric values, and time deltas and then truncated or padded to 128 events, which may miss information such as medication duration, irregular timing, and longer-range trajectories. The GRU also evaluated only events with at least one usable sequence record, slightly reducing its effective test sample size.</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broadly, the modest predictive performance across all models (with R² values below 0.2) indicates that this is an inherently difficult prediction problem. A substantial portion of variation in follow-up HbA1c is likely driven by unobserved factors, including patient adherence, lifestyle changes, provider behavior, and measurement variability. As a result, even well-specified models trained on large EHR datasets may have limited ability to fully explain treatment response.</w:t>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K-means results provide a useful negative finding. The low silhouette scores suggest that the baseline feature space does not naturally split into strongly separated patient subgroups using this simple clustering approach.</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implementation choices likely improved validity. The patient-level split reduced leakage across multiple events from the same patient, and fitting preprocessing and clipping on the training data only strengthened the evaluation. </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also has important limitations. It is based on observational EHR data, so the models learn associations rather than causal treatment effects. The models predict observed follow-up HbA1c for actual treatment events, but they do not prove that the models can reliably rank alternative therapies for the same patient. The unchanged-therapy label is only an approximation based on medication support files, and outcome noise is likely substantial because follow-up timing varies in real-world care.</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improvements are realistic, including using the full TriNetX patient cohort available, richer sequence modeling, stronger longitudinal feature engineering, more extensive tuning of the deep models, and repeated or external validation. If the long-term goal is individualized treatment selection, the workflow would also need methods that address treatment-effect heterogeneity and confounding more directly.</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demonstrates that within a large real-world EHR cohort, strong tabular machine learning models outperform both static and longitudinal deep learning approaches for predicting 12-month HbA1c following treatment initiation. While longitudinal data theoretically offers richer information, its practical utility is limited by sparsity, irregular sampling, and representation challenges. These findings highlight the importance of benchmarking deep learning models against well-tuned classical approaches and suggest that, in current EHR settings, feature engineering and data quality remain more critical than model complexity. Future work should focus on improved longitudinal representations, causal modeling frameworks, and external validation to move toward clinically actionable treatment selection systems.</w:t>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7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Dennis J, Young K, Cardoso P et al. A five-drug class model using routinely available clinical features to optimise prescribing in type 2 diabetes: a prediction model development and validation study</w:t>
        <w:br w:type="textWrapping"/>
        <w:t xml:space="preserve">The Lancet, 2025; 405, 701-714</w:t>
      </w:r>
    </w:p>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Centers for Disease Control and Prevention. National Diabetes Statistics Report - United States Diabetes Surveillance System </w:t>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CDC,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