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DEMAND LETTER</w:t>
      </w:r>
    </w:p>
    <w:p>
      <w:r>
        <w:t>```</w:t>
        <w:br/>
        <w:t>[October 13, 2023]</w:t>
        <w:br/>
        <w:br/>
        <w:t>**VIA CERTIFIED MAIL**</w:t>
        <w:br/>
        <w:br/>
        <w:t xml:space="preserve">TechCorp  </w:t>
        <w:br/>
        <w:t>[Address on File]</w:t>
        <w:br/>
        <w:br/>
        <w:t>**RE: Demand for Wrongful Termination and Retaliation - John Smith**</w:t>
        <w:br/>
        <w:br/>
        <w:t>Dear Sir or Madam:</w:t>
        <w:br/>
        <w:br/>
        <w:t>I represent John Smith concerning his wrongful termination from TechCorp following his report of a safety violation to the Occupational Safety and Health Administration (OSHA). This letter serves as a formal demand for resolution prior to initiating litigation.</w:t>
        <w:br/>
        <w:br/>
        <w:t>On December 20, 2024, Mr. Smith was terminated from his position at TechCorp in Birmingham, Alabama. This termination occurred shortly after he reported a safety violation to OSHA, an act protected under both federal and Alabama state law. This sequence of events strongly suggests that Mr. Smith's termination was retaliatory in nature, in direct violation of Alabama statutes that safeguard employees from retaliatory discharge for reporting safety violations.</w:t>
        <w:br/>
        <w:br/>
        <w:t>Alabama law, supported by precedent from the Alabama Supreme Court, explicitly protects employees like Mr. Smith from retaliation when they engage in protected activities such as reporting safety concerns. The timing of Mr. Smith's termination, closely following his OSHA report, indicates a clear retaliatory motive, which is unlawful under these protections.</w:t>
        <w:br/>
        <w:br/>
        <w:t>As a result of TechCorp's actions, Mr. Smith has suffered significant economic and non-economic damages. These include lost wages and benefits from the date of his termination to the present, projected future losses until he secures new employment, and compensation for emotional distress and damage to his professional reputation. Additionally, given the egregious nature of TechCorp's conduct, punitive damages may also be applicable.</w:t>
        <w:br/>
        <w:br/>
        <w:t>We hereby demand that TechCorp either reinstates Mr. Smith to his former position with full back pay and benefits or provides a monetary settlement in the amount of $250,000 to compensate for his economic and non-economic damages.</w:t>
        <w:br/>
        <w:br/>
        <w:t>Please be advised that if we do not receive a response to this demand within 14 days from the date of this letter, we will proceed with filing a charge with the Equal Employment Opportunity Commission and, subsequently, a lawsuit in Alabama state court for wrongful termination and retaliation.</w:t>
        <w:br/>
        <w:br/>
        <w:t>Sincerely,</w:t>
        <w:br/>
        <w:br/>
        <w:t xml:space="preserve">_________________________  </w:t>
        <w:br/>
        <w:t xml:space="preserve">John Smith  </w:t>
        <w:br/>
        <w:t>c/o JurisLink Legal Services</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