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4991100</wp:posOffset>
            </wp:positionH>
            <wp:positionV relativeFrom="paragraph">
              <wp:posOffset>0</wp:posOffset>
            </wp:positionV>
            <wp:extent cx="1259213" cy="419738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213" cy="41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              Техническое задание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на позицию: front-end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список туров вида: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id: 1,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country: “Египет”,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price: 50000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id: 2,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country: “Египет”,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price: 60000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id: 3,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country: “Тайланд”,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price: 40000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экране он представляет из себя список строк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Туры: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Тур в %countryName% за %price% рублей (Добавить в корзину)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(Добавить в корзину) - это кнопка, при нажатии которую происходит добавление.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Корзина представляет из себя визуально такой же список, только с кнопкой “удалить из корзины” с заголовком: В корзине N товаров на сумму M рублей.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Нужно спроектировать корзину. В корзину должны добавляться только туры с уникальной сountry, в противном случае должно появиться сообщение, что тур с такой страной уже есть в корзине.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реализации не использовать фреймворки, для view может быть использована jQuery.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