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8"/>
          <w:szCs w:val="28"/>
        </w:rPr>
        <w:t xml:space="preserve">Project Design Phase</w:t>
      </w:r>
    </w:p>
    <w:p>
      <w:pPr>
        <w:spacing w:after="300"/>
        <w:jc w:val="center"/>
      </w:pPr>
      <w:r>
        <w:rPr>
          <w:b/>
          <w:bCs/>
          <w:color w:val="000000"/>
          <w:sz w:val="28"/>
          <w:szCs w:val="28"/>
        </w:rPr>
        <w:t xml:space="preserve">Solution Architecture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05 September 2026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Metro Ticket Generating System in ServiceNow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Solution Architecture:</w:t>
      </w:r>
    </w:p>
    <w:p>
      <w:pPr>
        <w:spacing w:after="250"/>
      </w:pPr>
      <w:r>
        <w:rPr>
          <w:sz w:val="22"/>
          <w:szCs w:val="22"/>
        </w:rP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250"/>
      </w:pPr>
    </w:p>
    <w:p>
      <w:pPr>
        <w:spacing w:after="200"/>
      </w:pPr>
      <w:r>
        <w:rPr>
          <w:b/>
          <w:bCs/>
          <w:sz w:val="24"/>
          <w:szCs w:val="24"/>
        </w:rPr>
        <w:t xml:space="preserve">Solution Architecture Diagram:</w:t>
      </w:r>
    </w:p>
    <w:p>
      <w:pPr>
        <w:spacing w:after="150" w:before="100"/>
        <w:jc w:val="center"/>
      </w:pPr>
      <w:r>
        <w:drawing>
          <wp:inline distT="0" distB="0" distL="0" distR="0">
            <wp:extent cx="56197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Figure 1: Solution architecture and data flow of the Metro Ticket Generating System in ServiceNow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da75022288b9af4cf0fce34bdef7dbca0e31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2026-09-05T06:36:49.110Z</dcterms:created>
  <dcterms:modified xsi:type="dcterms:W3CDTF">2026-09-05T06:36:49.120Z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