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b/>
          <w:color w:val="1F5EAA"/>
          <w:sz w:val="60"/>
        </w:rPr>
        <w:t>清账智能财务系统</w:t>
      </w:r>
    </w:p>
    <w:p>
      <w:pPr>
        <w:jc w:val="center"/>
      </w:pPr>
      <w:r>
        <w:rPr>
          <w:color w:val="505A69"/>
          <w:sz w:val="36"/>
        </w:rPr>
        <w:t>系统操作手册与部署说明</w:t>
      </w:r>
    </w:p>
    <w:p>
      <w:pPr>
        <w:spacing w:before="900"/>
        <w:jc w:val="center"/>
      </w:pPr>
      <w:r>
        <w:rPr>
          <w:b/>
        </w:rPr>
        <w:t>版本：1.0.0</w:t>
        <w:br/>
      </w:r>
      <w:r>
        <w:t>访问地址：http://103.85.25.169/</w:t>
        <w:br/>
      </w:r>
      <w:r>
        <w:t>文档日期：2026-08-20</w:t>
      </w:r>
    </w:p>
    <w:p>
      <w:r>
        <w:br w:type="page"/>
      </w:r>
    </w:p>
    <w:p>
      <w:pPr>
        <w:pStyle w:val="Heading1"/>
      </w:pPr>
      <w:r>
        <w:t>一、系统简介</w:t>
      </w:r>
    </w:p>
    <w:p>
      <w:r>
        <w:t>清账智能财务系统面向企业日常财务管理场景，覆盖总账、出纳、固定资产、应收应付、存货核算、成本管理、预算、费用报销、合同、项目、合并报表、财务报表和税务管理等模块。系统支持桌面端和移动端浏览器访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5EA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5040"/>
            <w:vAlign w:val="center"/>
            <w:shd w:fill="1F5EA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334E68"/>
                <w:sz w:val="20"/>
              </w:rPr>
              <w:t>系统地址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http://103.85.25.169/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334E68"/>
                <w:sz w:val="20"/>
              </w:rPr>
              <w:t>演示账号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admin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334E68"/>
                <w:sz w:val="20"/>
              </w:rPr>
              <w:t>演示密码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123456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334E68"/>
                <w:sz w:val="20"/>
              </w:rPr>
              <w:t>前端技术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Vue 3 + Vite + Element Plus + ECharts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334E68"/>
                <w:sz w:val="20"/>
              </w:rPr>
              <w:t>后端技术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Spring Boot 2.7 + MyBatis-Plus + MySQL</w:t>
            </w:r>
          </w:p>
        </w:tc>
      </w:tr>
    </w:tbl>
    <w:p>
      <w:pPr>
        <w:pStyle w:val="Heading1"/>
      </w:pPr>
      <w:r>
        <w:t>二、登录系统</w:t>
      </w:r>
    </w:p>
    <w:p>
      <w:r>
        <w:t>1. 使用浏览器打开系统地址。</w:t>
      </w:r>
    </w:p>
    <w:p>
      <w:r>
        <w:t>2. 输入用户名和密码，点击“登录”。</w:t>
      </w:r>
    </w:p>
    <w:p>
      <w:r>
        <w:t>3. 勾选“记住我”后，浏览器可保留登录状态。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图 1  登录页面</w:t>
      </w:r>
    </w:p>
    <w:p>
      <w:r>
        <w:t>安全提示：正式上线后请立即修改默认密码，并为不同岗位分配独立账号。</w:t>
      </w:r>
    </w:p>
    <w:p>
      <w:pPr>
        <w:pStyle w:val="Heading1"/>
      </w:pPr>
      <w:r>
        <w:t>三、工作台与导航</w:t>
      </w:r>
    </w:p>
    <w:p>
      <w:r>
        <w:t>登录后进入工作台。顶部显示当前用户、搜索和通知；左侧为业务模块导航；中间区域展示关键财务指标、快捷操作、借贷趋势、业务预警、最近凭证和待办事项。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图 2  桌面端工作台</w:t>
      </w:r>
    </w:p>
    <w:p>
      <w:pPr>
        <w:pStyle w:val="Heading2"/>
      </w:pPr>
      <w:r>
        <w:t>移动端操作</w:t>
      </w:r>
    </w:p>
    <w:p>
      <w:r>
        <w:t>在手机或窄屏浏览器中，左侧菜单默认收起。点击顶部菜单按钮可打开导航，点击遮罩区域或选择菜单后可返回内容区。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3160" cy="52439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obile-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243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图 3  移动端菜单</w:t>
      </w:r>
    </w:p>
    <w:p>
      <w:pPr>
        <w:pStyle w:val="Heading1"/>
      </w:pPr>
      <w:r>
        <w:t>四、凭证录入</w:t>
      </w:r>
    </w:p>
    <w:p>
      <w:r>
        <w:t>操作路径：左侧导航 → 总账 → 凭证录入。</w:t>
      </w:r>
    </w:p>
    <w:p>
      <w:pPr>
        <w:pStyle w:val="ListBullet"/>
        <w:spacing w:after="40"/>
      </w:pPr>
      <w:r>
        <w:t>点击“新增凭证”，确认制单日期、年度、期间和摘要。</w:t>
      </w:r>
    </w:p>
    <w:p>
      <w:pPr>
        <w:pStyle w:val="ListBullet"/>
        <w:spacing w:after="40"/>
      </w:pPr>
      <w:r>
        <w:t>点击“添加分录”，选择科目并录入借方或贷方金额。</w:t>
      </w:r>
    </w:p>
    <w:p>
      <w:pPr>
        <w:pStyle w:val="ListBullet"/>
        <w:spacing w:after="40"/>
      </w:pPr>
      <w:r>
        <w:t>确认借贷金额相等后，点击“保存”。</w:t>
      </w:r>
    </w:p>
    <w:p>
      <w:pPr>
        <w:pStyle w:val="ListBullet"/>
        <w:spacing w:after="40"/>
      </w:pPr>
      <w:r>
        <w:t>保存后可在凭证管理中继续编辑、审核、预览或打印。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vouch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图 4  凭证录入页面</w:t>
      </w:r>
    </w:p>
    <w:p>
      <w:pPr>
        <w:pStyle w:val="Heading1"/>
      </w:pPr>
      <w:r>
        <w:t>五、增值税申报底稿</w:t>
      </w:r>
    </w:p>
    <w:p>
      <w:r>
        <w:t>操作路径：左侧导航 → 税务管理 → 增值税申报。</w:t>
      </w:r>
    </w:p>
    <w:p>
      <w:pPr>
        <w:pStyle w:val="ListBullet"/>
        <w:spacing w:after="40"/>
      </w:pPr>
      <w:r>
        <w:t>选择年度和期间，点击“查询”。</w:t>
      </w:r>
    </w:p>
    <w:p>
      <w:pPr>
        <w:pStyle w:val="ListBullet"/>
        <w:spacing w:after="40"/>
      </w:pPr>
      <w:r>
        <w:t>系统根据凭证分录汇总销项税额、进项税额、上期留抵和应纳税额。</w:t>
      </w:r>
    </w:p>
    <w:p>
      <w:pPr>
        <w:pStyle w:val="ListBullet"/>
        <w:spacing w:after="40"/>
      </w:pPr>
      <w:r>
        <w:t>核对明细表中的计税依据和税额。</w:t>
      </w:r>
    </w:p>
    <w:p>
      <w:pPr>
        <w:pStyle w:val="ListBullet"/>
        <w:spacing w:after="40"/>
      </w:pPr>
      <w:r>
        <w:t>需要留档时点击“导出Excel”。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va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图 5  增值税申报底稿</w:t>
      </w:r>
    </w:p>
    <w:p>
      <w:pPr>
        <w:pStyle w:val="Heading1"/>
      </w:pPr>
      <w:r>
        <w:t>六、常用模块路径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5EA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业务目标</w:t>
            </w:r>
          </w:p>
        </w:tc>
        <w:tc>
          <w:tcPr>
            <w:tcW w:type="dxa" w:w="3360"/>
            <w:vAlign w:val="center"/>
            <w:shd w:fill="1F5EA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菜单路径</w:t>
            </w:r>
          </w:p>
        </w:tc>
        <w:tc>
          <w:tcPr>
            <w:tcW w:type="dxa" w:w="3360"/>
            <w:vAlign w:val="center"/>
            <w:shd w:fill="1F5EA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常用操作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录入和维护凭证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总账 → 凭证录入 / 凭证管理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新增、编辑、审核、打印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查看资金流水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出纳 → 日记账 / 银行对账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登记流水、核对余额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管理客户与收款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应收账款 → 客户档案 / 收款单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维护客户、登记收款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管理供应商与付款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应付账款 → 供应商档案 / 付款单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维护供应商、登记付款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查看财务报表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财务报表 → 资产负债表 / 利润表 / 现金流量表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查询、导出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税务申报准备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税务管理 → 增值税申报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查询、核对、导出</w:t>
            </w:r>
          </w:p>
        </w:tc>
      </w:tr>
    </w:tbl>
    <w:p>
      <w:pPr>
        <w:pStyle w:val="Heading1"/>
      </w:pPr>
      <w:r>
        <w:t>七、发布包与部署说明</w:t>
      </w:r>
    </w:p>
    <w:p>
      <w:r>
        <w:t>仓库 release 目录包含以下交付物：</w:t>
      </w:r>
    </w:p>
    <w:p>
      <w:pPr>
        <w:pStyle w:val="ListBullet"/>
        <w:spacing w:after="40"/>
      </w:pPr>
      <w:r>
        <w:t>finance-app.jar：已在服务器验证运行的后端 Spring Boot 发布包。</w:t>
      </w:r>
    </w:p>
    <w:p>
      <w:pPr>
        <w:pStyle w:val="ListBullet"/>
        <w:spacing w:after="40"/>
      </w:pPr>
      <w:r>
        <w:t>finance-web-dist.zip：前端 Vite 生产构建产物。</w:t>
      </w:r>
    </w:p>
    <w:p>
      <w:pPr>
        <w:pStyle w:val="ListBullet"/>
        <w:spacing w:after="40"/>
      </w:pPr>
      <w:r>
        <w:t>部署脚本和配置参考仓库根目录 deploy.sh、DEPLOY.md。</w:t>
      </w:r>
    </w:p>
    <w:p>
      <w:r>
        <w:t>手动升级前端：</w:t>
      </w:r>
    </w:p>
    <w:p>
      <w:pPr>
        <w:pStyle w:val="NoSpacing"/>
      </w:pPr>
      <w:r>
        <w:rPr>
          <w:rFonts w:ascii="Consolas" w:hAnsi="Consolas"/>
        </w:rPr>
        <w:t>unzip -o finance-web-dist.zip -d /opt/qingzhang/frontend</w:t>
        <w:br/>
        <w:t>find /opt/qingzhang/frontend -type d -exec chmod 755 {} +</w:t>
        <w:br/>
        <w:t>find /opt/qingzhang/frontend -type f -exec chmod 644 {} +</w:t>
        <w:br/>
        <w:t>nginx -t &amp;&amp; systemctl reload nginx</w:t>
      </w:r>
    </w:p>
    <w:p>
      <w:r>
        <w:t>后端升级时替换 /opt/qingzhang/jar/finance-app.jar，并重启 qingzhang-api.service。</w:t>
      </w:r>
    </w:p>
    <w:p>
      <w:r>
        <w:t>数据库初始化和配置项请以 DEPLOY.md 为准；本次前端与 Nginx 修复不需要重新导入现有测试数据。</w:t>
      </w:r>
    </w:p>
    <w:p>
      <w:pPr>
        <w:pStyle w:val="Heading1"/>
      </w:pPr>
      <w:r>
        <w:t>八、验收记录</w:t>
      </w:r>
    </w:p>
    <w:p>
      <w:pPr>
        <w:pStyle w:val="ListBullet"/>
        <w:spacing w:after="40"/>
      </w:pPr>
      <w:r>
        <w:t>前端生产构建成功，Vite 仅保留依赖和 chunk 体积提示。</w:t>
      </w:r>
    </w:p>
    <w:p>
      <w:pPr>
        <w:pStyle w:val="ListBullet"/>
        <w:spacing w:after="40"/>
      </w:pPr>
      <w:r>
        <w:t>线上首页、静态资源和 API 均返回 HTTP 200。</w:t>
      </w:r>
    </w:p>
    <w:p>
      <w:pPr>
        <w:pStyle w:val="ListBullet"/>
        <w:spacing w:after="40"/>
      </w:pPr>
      <w:r>
        <w:t>桌面端和 390×844 移动端浏览器回归无控制台错误、无失败请求。</w:t>
      </w:r>
    </w:p>
    <w:p>
      <w:pPr>
        <w:pStyle w:val="ListBullet"/>
        <w:spacing w:after="40"/>
      </w:pPr>
      <w:r>
        <w:t>路由 74/74、菜单 65/65，页面/API 自动检查失败项为 0。</w:t>
      </w:r>
    </w:p>
    <w:p>
      <w:pPr>
        <w:pStyle w:val="ListBullet"/>
        <w:spacing w:after="40"/>
      </w:pPr>
      <w:r>
        <w:t>提交版本：a2386ff。</w:t>
      </w:r>
    </w:p>
    <w:p>
      <w:pPr>
        <w:pStyle w:val="Heading1"/>
      </w:pPr>
      <w:r>
        <w:t>九、问题反馈</w:t>
      </w:r>
    </w:p>
    <w:p>
      <w:r>
        <w:t>反馈问题时请尽量附上：登录账号、操作路径、发生时间、页面截图、浏览器版本和错误提示，便于快速定位。生产环境请勿在公开渠道发送密码或数据库连接信息。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5EA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056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