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EE90" w14:textId="77777777" w:rsidR="00E46FFB" w:rsidRDefault="00000000">
      <w:pPr>
        <w:pStyle w:val="Heading2"/>
        <w:jc w:val="center"/>
      </w:pPr>
      <w:bookmarkStart w:id="0" w:name="_yxwy7jae7omi" w:colFirst="0" w:colLast="0"/>
      <w:bookmarkEnd w:id="0"/>
      <w:r>
        <w:rPr>
          <w:rFonts w:ascii="Google Sans" w:eastAsia="Google Sans" w:hAnsi="Google Sans" w:cs="Google Sans"/>
          <w:b/>
        </w:rPr>
        <w:t>Parking lot USB exercise</w:t>
      </w:r>
    </w:p>
    <w:p w14:paraId="780DF36F" w14:textId="77777777" w:rsidR="00E46FFB" w:rsidRDefault="00000000">
      <w:r>
        <w:pict w14:anchorId="1E1B6B66">
          <v:rect id="_x0000_i1025" style="width:0;height:1.5pt" o:hralign="center" o:hrstd="t" o:hr="t" fillcolor="#a0a0a0" stroked="f"/>
        </w:pict>
      </w:r>
    </w:p>
    <w:p w14:paraId="4A40E375" w14:textId="77777777" w:rsidR="00E46FFB" w:rsidRDefault="00E46FF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E46FFB" w14:paraId="6C9BCE4D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DC57" w14:textId="77777777" w:rsidR="00E46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Contents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C26D" w14:textId="0EB7C3F9" w:rsidR="00E46FFB" w:rsidRPr="003457BD" w:rsidRDefault="0022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3457BD">
              <w:rPr>
                <w:rFonts w:ascii="Google Sans" w:hAnsi="Google Sans" w:cs="Segoe UI"/>
                <w:color w:val="404040"/>
              </w:rPr>
              <w:t>The USB device contains sensitive information, including Jorge’s personal documents (e.g., financial records or private communications) that could harm his reputation if exposed. Additionally, work files store </w:t>
            </w:r>
            <w:r w:rsidRPr="003457BD">
              <w:rPr>
                <w:rStyle w:val="Strong"/>
                <w:rFonts w:ascii="Google Sans" w:hAnsi="Google Sans" w:cs="Segoe UI"/>
                <w:color w:val="404040"/>
              </w:rPr>
              <w:t>Personally Identifiable Information (PII)</w:t>
            </w:r>
            <w:r w:rsidRPr="003457BD">
              <w:rPr>
                <w:rFonts w:ascii="Google Sans" w:hAnsi="Google Sans" w:cs="Segoe UI"/>
                <w:color w:val="404040"/>
              </w:rPr>
              <w:t> of others (e.g., patient or employee data) and confidential details about the hospital’s internal operations, such as schedules or protocols.</w:t>
            </w:r>
          </w:p>
        </w:tc>
      </w:tr>
      <w:tr w:rsidR="00E46FFB" w14:paraId="7F274810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3FBB" w14:textId="77777777" w:rsidR="00E46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Attacker mindset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7076" w14:textId="13C2A18C" w:rsidR="00E46FFB" w:rsidRPr="003457BD" w:rsidRDefault="00345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3457BD">
              <w:rPr>
                <w:rFonts w:ascii="Google Sans" w:hAnsi="Google Sans" w:cs="Segoe UI"/>
                <w:color w:val="404040"/>
              </w:rPr>
              <w:t>An attacker could exploit this data to launch </w:t>
            </w:r>
            <w:r w:rsidRPr="003457BD">
              <w:rPr>
                <w:rStyle w:val="Strong"/>
                <w:rFonts w:ascii="Google Sans" w:hAnsi="Google Sans" w:cs="Segoe UI"/>
                <w:color w:val="404040"/>
              </w:rPr>
              <w:t>targeted phishing campaigns</w:t>
            </w:r>
            <w:r w:rsidRPr="003457BD">
              <w:rPr>
                <w:rFonts w:ascii="Google Sans" w:hAnsi="Google Sans" w:cs="Segoe UI"/>
                <w:color w:val="404040"/>
              </w:rPr>
              <w:t>—for example, impersonating a coworker using timesheet details to trick Jorge into sharing credentials. The hospital’s operational information might enable </w:t>
            </w:r>
            <w:r w:rsidRPr="003457BD">
              <w:rPr>
                <w:rStyle w:val="Strong"/>
                <w:rFonts w:ascii="Google Sans" w:hAnsi="Google Sans" w:cs="Segoe UI"/>
                <w:color w:val="404040"/>
              </w:rPr>
              <w:t>ransomware attacks</w:t>
            </w:r>
            <w:r w:rsidRPr="003457BD">
              <w:rPr>
                <w:rFonts w:ascii="Google Sans" w:hAnsi="Google Sans" w:cs="Segoe UI"/>
                <w:color w:val="404040"/>
              </w:rPr>
              <w:t> (e.g., disrupting critical workflows) or selling stolen PII on the dark market, harming both Jorge’s credibility and the hospital’s compliance with privacy laws.</w:t>
            </w:r>
          </w:p>
        </w:tc>
      </w:tr>
      <w:tr w:rsidR="00E46FFB" w14:paraId="5F864498" w14:textId="77777777" w:rsidTr="003457BD">
        <w:trPr>
          <w:trHeight w:val="2967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8EEB" w14:textId="77777777" w:rsidR="00E46F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Risk analysis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4E00" w14:textId="3B519ADD" w:rsidR="00E46FFB" w:rsidRPr="003457BD" w:rsidRDefault="00345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3457BD">
              <w:rPr>
                <w:rFonts w:ascii="Google Sans" w:hAnsi="Google Sans" w:cs="Segoe UI"/>
                <w:color w:val="404040"/>
              </w:rPr>
              <w:t>To mitigate USB-based risks, </w:t>
            </w:r>
            <w:r w:rsidRPr="003457BD">
              <w:rPr>
                <w:rStyle w:val="Strong"/>
                <w:rFonts w:ascii="Google Sans" w:hAnsi="Google Sans" w:cs="Segoe UI"/>
                <w:color w:val="404040"/>
              </w:rPr>
              <w:t>technical controls</w:t>
            </w:r>
            <w:r w:rsidRPr="003457BD">
              <w:rPr>
                <w:rFonts w:ascii="Google Sans" w:hAnsi="Google Sans" w:cs="Segoe UI"/>
                <w:color w:val="404040"/>
              </w:rPr>
              <w:t> like encrypting devices, deploying EDR tools, and disabling AutoPlay can block malware execution. </w:t>
            </w:r>
            <w:r w:rsidRPr="003457BD">
              <w:rPr>
                <w:rStyle w:val="Strong"/>
                <w:rFonts w:ascii="Google Sans" w:hAnsi="Google Sans" w:cs="Segoe UI"/>
                <w:color w:val="404040"/>
              </w:rPr>
              <w:t>Operational controls</w:t>
            </w:r>
            <w:r w:rsidRPr="003457BD">
              <w:rPr>
                <w:rFonts w:ascii="Google Sans" w:hAnsi="Google Sans" w:cs="Segoe UI"/>
                <w:color w:val="404040"/>
              </w:rPr>
              <w:t> include enforcing USB usage policies, routine antivirus scans, and automated log monitoring to detect suspicious activity. </w:t>
            </w:r>
            <w:r w:rsidRPr="003457BD">
              <w:rPr>
                <w:rStyle w:val="Strong"/>
                <w:rFonts w:ascii="Google Sans" w:hAnsi="Google Sans" w:cs="Segoe UI"/>
                <w:color w:val="404040"/>
              </w:rPr>
              <w:t>Managerial controls</w:t>
            </w:r>
            <w:r w:rsidRPr="003457BD">
              <w:rPr>
                <w:rFonts w:ascii="Google Sans" w:hAnsi="Google Sans" w:cs="Segoe UI"/>
                <w:color w:val="404040"/>
              </w:rPr>
              <w:t> such as mandatory employee training, incident response plans, and disciplinary measures for policy violations foster a security-aware culture. Together, these layered defenses reduce vulnerabilities by combining technology, processes, and governance to protect against both physical and digital threats.</w:t>
            </w:r>
          </w:p>
        </w:tc>
      </w:tr>
    </w:tbl>
    <w:p w14:paraId="3D0258F4" w14:textId="77777777" w:rsidR="00E46FFB" w:rsidRDefault="00E46FFB"/>
    <w:sectPr w:rsidR="00E46F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B"/>
    <w:rsid w:val="00227B20"/>
    <w:rsid w:val="003457BD"/>
    <w:rsid w:val="00E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E770"/>
  <w15:docId w15:val="{BA72E2CA-24D3-4986-AA1D-DED5078F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227B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Sushant Poudel</cp:lastModifiedBy>
  <cp:revision>3</cp:revision>
  <dcterms:created xsi:type="dcterms:W3CDTF">2025-04-15T12:01:00Z</dcterms:created>
  <dcterms:modified xsi:type="dcterms:W3CDTF">2025-04-15T12:05:00Z</dcterms:modified>
</cp:coreProperties>
</file>