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B223D" w14:textId="77777777" w:rsidR="000454C1" w:rsidRDefault="00000000">
      <w:pPr>
        <w:spacing w:after="80"/>
      </w:pPr>
      <w:r>
        <w:rPr>
          <w:b/>
          <w:color w:val="1F497D"/>
          <w:sz w:val="44"/>
        </w:rPr>
        <w:t>AI Quality Evaluation Framework</w:t>
      </w:r>
    </w:p>
    <w:p w14:paraId="6FBD2E43" w14:textId="77777777" w:rsidR="000454C1" w:rsidRDefault="00000000">
      <w:pPr>
        <w:spacing w:after="480"/>
      </w:pPr>
      <w:r>
        <w:rPr>
          <w:i/>
          <w:color w:val="595959"/>
          <w:sz w:val="24"/>
        </w:rPr>
        <w:t>Project Charter &amp; Charter Specifications | Framework for Generative AI Responses</w:t>
      </w:r>
    </w:p>
    <w:p w14:paraId="47A4B1B5" w14:textId="77777777" w:rsidR="000454C1" w:rsidRDefault="00000000">
      <w:pPr>
        <w:keepNext/>
        <w:spacing w:before="360" w:after="120"/>
      </w:pPr>
      <w:r>
        <w:rPr>
          <w:b/>
          <w:color w:val="1F497D"/>
          <w:sz w:val="28"/>
        </w:rPr>
        <w:t>Project Overview &amp; Problem Statement</w:t>
      </w:r>
    </w:p>
    <w:p w14:paraId="14423FDA" w14:textId="77777777" w:rsidR="000454C1" w:rsidRDefault="00000000">
      <w:pPr>
        <w:spacing w:after="160"/>
      </w:pPr>
      <w:r>
        <w:t>Generative AI systems can produce responses that are inaccurate, incomplete, irrelevant, unsafe, or inconsistent. Without standardized evaluation frameworks, organizations struggle to measure response quality, identify failure patterns, and ensure reviewer consistency.</w:t>
      </w:r>
    </w:p>
    <w:p w14:paraId="4C985288" w14:textId="77777777" w:rsidR="000454C1" w:rsidRDefault="00000000">
      <w:pPr>
        <w:spacing w:after="160"/>
      </w:pPr>
      <w:r>
        <w:t>Many organizations also lack governance processes for annotation, calibration, error classification, and quality reporting. This creates challenges in maintaining trust, safety, and operational efficiency. The project addresses these challenges by designing a comprehensive AI Quality Evaluation Framework that simulates enterprise practices for evaluating and monitoring AI-generated responses.</w:t>
      </w:r>
    </w:p>
    <w:p w14:paraId="0AA2F810" w14:textId="77777777" w:rsidR="000454C1" w:rsidRDefault="00000000">
      <w:pPr>
        <w:keepNext/>
        <w:spacing w:before="360" w:after="120"/>
      </w:pPr>
      <w:r>
        <w:rPr>
          <w:b/>
          <w:color w:val="1F497D"/>
          <w:sz w:val="28"/>
        </w:rPr>
        <w:t>Business Problem Mapping</w:t>
      </w:r>
    </w:p>
    <w:p w14:paraId="29132A52" w14:textId="77777777" w:rsidR="000454C1" w:rsidRDefault="00000000">
      <w:pPr>
        <w:spacing w:after="160"/>
      </w:pPr>
      <w:r>
        <w:t>The matrix below delineates the key operational challenges identified within unmonitored LLM environments alongside their direct business impacts:</w:t>
      </w:r>
    </w:p>
    <w:tbl>
      <w:tblPr>
        <w:tblW w:w="0" w:type="auto"/>
        <w:jc w:val="center"/>
        <w:tblLook w:val="04A0" w:firstRow="1" w:lastRow="0" w:firstColumn="1" w:lastColumn="0" w:noHBand="0" w:noVBand="1"/>
      </w:tblPr>
      <w:tblGrid>
        <w:gridCol w:w="3600"/>
        <w:gridCol w:w="5760"/>
      </w:tblGrid>
      <w:tr w:rsidR="000454C1" w14:paraId="0753DF31" w14:textId="77777777">
        <w:trPr>
          <w:cantSplit/>
          <w:tblHeader/>
          <w:jc w:val="center"/>
        </w:trPr>
        <w:tc>
          <w:tcPr>
            <w:tcW w:w="3600" w:type="dxa"/>
            <w:tcBorders>
              <w:bottom w:val="single" w:sz="4" w:space="0" w:color="D3D3D3"/>
            </w:tcBorders>
            <w:shd w:val="clear" w:color="auto" w:fill="1F497D"/>
            <w:tcMar>
              <w:top w:w="120" w:type="dxa"/>
              <w:left w:w="180" w:type="dxa"/>
              <w:bottom w:w="120" w:type="dxa"/>
              <w:right w:w="180" w:type="dxa"/>
            </w:tcMar>
            <w:vAlign w:val="center"/>
          </w:tcPr>
          <w:p w14:paraId="5F4B6195" w14:textId="77777777" w:rsidR="000454C1" w:rsidRDefault="00000000">
            <w:r>
              <w:rPr>
                <w:b/>
                <w:color w:val="FFFFFF"/>
              </w:rPr>
              <w:t>Challenge / Vulnerability</w:t>
            </w:r>
          </w:p>
        </w:tc>
        <w:tc>
          <w:tcPr>
            <w:tcW w:w="5760" w:type="dxa"/>
            <w:tcBorders>
              <w:bottom w:val="single" w:sz="4" w:space="0" w:color="D3D3D3"/>
            </w:tcBorders>
            <w:shd w:val="clear" w:color="auto" w:fill="1F497D"/>
            <w:tcMar>
              <w:top w:w="120" w:type="dxa"/>
              <w:left w:w="180" w:type="dxa"/>
              <w:bottom w:w="120" w:type="dxa"/>
              <w:right w:w="180" w:type="dxa"/>
            </w:tcMar>
            <w:vAlign w:val="center"/>
          </w:tcPr>
          <w:p w14:paraId="69EB6A24" w14:textId="77777777" w:rsidR="000454C1" w:rsidRDefault="00000000">
            <w:r>
              <w:rPr>
                <w:b/>
                <w:color w:val="FFFFFF"/>
              </w:rPr>
              <w:t>Direct Business Impact</w:t>
            </w:r>
          </w:p>
        </w:tc>
      </w:tr>
      <w:tr w:rsidR="000454C1" w14:paraId="23A72A1C" w14:textId="77777777">
        <w:trPr>
          <w:cantSplit/>
          <w:jc w:val="center"/>
        </w:trPr>
        <w:tc>
          <w:tcPr>
            <w:tcW w:w="3600" w:type="dxa"/>
            <w:tcBorders>
              <w:bottom w:val="single" w:sz="4" w:space="0" w:color="D3D3D3"/>
            </w:tcBorders>
            <w:shd w:val="clear" w:color="auto" w:fill="F2F5F8"/>
            <w:tcMar>
              <w:top w:w="120" w:type="dxa"/>
              <w:left w:w="180" w:type="dxa"/>
              <w:bottom w:w="120" w:type="dxa"/>
              <w:right w:w="180" w:type="dxa"/>
            </w:tcMar>
            <w:vAlign w:val="center"/>
          </w:tcPr>
          <w:p w14:paraId="37A614CC" w14:textId="77777777" w:rsidR="000454C1" w:rsidRDefault="00000000">
            <w:r>
              <w:t>Hallucinations</w:t>
            </w:r>
          </w:p>
        </w:tc>
        <w:tc>
          <w:tcPr>
            <w:tcW w:w="5760" w:type="dxa"/>
            <w:tcBorders>
              <w:bottom w:val="single" w:sz="4" w:space="0" w:color="D3D3D3"/>
            </w:tcBorders>
            <w:shd w:val="clear" w:color="auto" w:fill="F2F5F8"/>
            <w:tcMar>
              <w:top w:w="120" w:type="dxa"/>
              <w:left w:w="180" w:type="dxa"/>
              <w:bottom w:w="120" w:type="dxa"/>
              <w:right w:w="180" w:type="dxa"/>
            </w:tcMar>
            <w:vAlign w:val="center"/>
          </w:tcPr>
          <w:p w14:paraId="7978A036" w14:textId="77777777" w:rsidR="000454C1" w:rsidRDefault="00000000">
            <w:r>
              <w:t>Loss of user and client trust, reputational damage.</w:t>
            </w:r>
          </w:p>
        </w:tc>
      </w:tr>
      <w:tr w:rsidR="000454C1" w14:paraId="2A960D99" w14:textId="77777777">
        <w:trPr>
          <w:cantSplit/>
          <w:jc w:val="center"/>
        </w:trPr>
        <w:tc>
          <w:tcPr>
            <w:tcW w:w="3600" w:type="dxa"/>
            <w:tcBorders>
              <w:bottom w:val="single" w:sz="4" w:space="0" w:color="D3D3D3"/>
            </w:tcBorders>
            <w:shd w:val="clear" w:color="auto" w:fill="FFFFFF"/>
            <w:tcMar>
              <w:top w:w="120" w:type="dxa"/>
              <w:left w:w="180" w:type="dxa"/>
              <w:bottom w:w="120" w:type="dxa"/>
              <w:right w:w="180" w:type="dxa"/>
            </w:tcMar>
            <w:vAlign w:val="center"/>
          </w:tcPr>
          <w:p w14:paraId="5F073CA0" w14:textId="77777777" w:rsidR="000454C1" w:rsidRDefault="00000000">
            <w:r>
              <w:t>Missing information</w:t>
            </w:r>
          </w:p>
        </w:tc>
        <w:tc>
          <w:tcPr>
            <w:tcW w:w="5760" w:type="dxa"/>
            <w:tcBorders>
              <w:bottom w:val="single" w:sz="4" w:space="0" w:color="D3D3D3"/>
            </w:tcBorders>
            <w:shd w:val="clear" w:color="auto" w:fill="FFFFFF"/>
            <w:tcMar>
              <w:top w:w="120" w:type="dxa"/>
              <w:left w:w="180" w:type="dxa"/>
              <w:bottom w:w="120" w:type="dxa"/>
              <w:right w:w="180" w:type="dxa"/>
            </w:tcMar>
            <w:vAlign w:val="center"/>
          </w:tcPr>
          <w:p w14:paraId="33ADB8C4" w14:textId="77777777" w:rsidR="000454C1" w:rsidRDefault="00000000">
            <w:r>
              <w:t>Poor user experience, degraded product utility, and drop-offs.</w:t>
            </w:r>
          </w:p>
        </w:tc>
      </w:tr>
      <w:tr w:rsidR="000454C1" w14:paraId="60C6BF7C" w14:textId="77777777">
        <w:trPr>
          <w:cantSplit/>
          <w:jc w:val="center"/>
        </w:trPr>
        <w:tc>
          <w:tcPr>
            <w:tcW w:w="3600" w:type="dxa"/>
            <w:tcBorders>
              <w:bottom w:val="single" w:sz="4" w:space="0" w:color="D3D3D3"/>
            </w:tcBorders>
            <w:shd w:val="clear" w:color="auto" w:fill="F2F5F8"/>
            <w:tcMar>
              <w:top w:w="120" w:type="dxa"/>
              <w:left w:w="180" w:type="dxa"/>
              <w:bottom w:w="120" w:type="dxa"/>
              <w:right w:w="180" w:type="dxa"/>
            </w:tcMar>
            <w:vAlign w:val="center"/>
          </w:tcPr>
          <w:p w14:paraId="59946A9E" w14:textId="77777777" w:rsidR="000454C1" w:rsidRDefault="00000000">
            <w:r>
              <w:t>Safety failures</w:t>
            </w:r>
          </w:p>
        </w:tc>
        <w:tc>
          <w:tcPr>
            <w:tcW w:w="5760" w:type="dxa"/>
            <w:tcBorders>
              <w:bottom w:val="single" w:sz="4" w:space="0" w:color="D3D3D3"/>
            </w:tcBorders>
            <w:shd w:val="clear" w:color="auto" w:fill="F2F5F8"/>
            <w:tcMar>
              <w:top w:w="120" w:type="dxa"/>
              <w:left w:w="180" w:type="dxa"/>
              <w:bottom w:w="120" w:type="dxa"/>
              <w:right w:w="180" w:type="dxa"/>
            </w:tcMar>
            <w:vAlign w:val="center"/>
          </w:tcPr>
          <w:p w14:paraId="2DCB068B" w14:textId="77777777" w:rsidR="000454C1" w:rsidRDefault="00000000">
            <w:r>
              <w:t>Severe compliance risks, legal liabilities, and regulatory penalties.</w:t>
            </w:r>
          </w:p>
        </w:tc>
      </w:tr>
      <w:tr w:rsidR="000454C1" w14:paraId="43501B37" w14:textId="77777777">
        <w:trPr>
          <w:cantSplit/>
          <w:jc w:val="center"/>
        </w:trPr>
        <w:tc>
          <w:tcPr>
            <w:tcW w:w="3600" w:type="dxa"/>
            <w:tcBorders>
              <w:bottom w:val="single" w:sz="4" w:space="0" w:color="D3D3D3"/>
            </w:tcBorders>
            <w:shd w:val="clear" w:color="auto" w:fill="FFFFFF"/>
            <w:tcMar>
              <w:top w:w="120" w:type="dxa"/>
              <w:left w:w="180" w:type="dxa"/>
              <w:bottom w:w="120" w:type="dxa"/>
              <w:right w:w="180" w:type="dxa"/>
            </w:tcMar>
            <w:vAlign w:val="center"/>
          </w:tcPr>
          <w:p w14:paraId="43ACF2B4" w14:textId="77777777" w:rsidR="000454C1" w:rsidRDefault="00000000">
            <w:r>
              <w:t>Reviewer inconsistency</w:t>
            </w:r>
          </w:p>
        </w:tc>
        <w:tc>
          <w:tcPr>
            <w:tcW w:w="5760" w:type="dxa"/>
            <w:tcBorders>
              <w:bottom w:val="single" w:sz="4" w:space="0" w:color="D3D3D3"/>
            </w:tcBorders>
            <w:shd w:val="clear" w:color="auto" w:fill="FFFFFF"/>
            <w:tcMar>
              <w:top w:w="120" w:type="dxa"/>
              <w:left w:w="180" w:type="dxa"/>
              <w:bottom w:w="120" w:type="dxa"/>
              <w:right w:w="180" w:type="dxa"/>
            </w:tcMar>
            <w:vAlign w:val="center"/>
          </w:tcPr>
          <w:p w14:paraId="5CE7CA7E" w14:textId="77777777" w:rsidR="000454C1" w:rsidRDefault="00000000">
            <w:r>
              <w:t>Unreliable and highly subjective quality evaluations.</w:t>
            </w:r>
          </w:p>
        </w:tc>
      </w:tr>
      <w:tr w:rsidR="000454C1" w14:paraId="18BD7141" w14:textId="77777777">
        <w:trPr>
          <w:cantSplit/>
          <w:jc w:val="center"/>
        </w:trPr>
        <w:tc>
          <w:tcPr>
            <w:tcW w:w="3600" w:type="dxa"/>
            <w:tcBorders>
              <w:bottom w:val="single" w:sz="4" w:space="0" w:color="D3D3D3"/>
            </w:tcBorders>
            <w:shd w:val="clear" w:color="auto" w:fill="F2F5F8"/>
            <w:tcMar>
              <w:top w:w="120" w:type="dxa"/>
              <w:left w:w="180" w:type="dxa"/>
              <w:bottom w:w="120" w:type="dxa"/>
              <w:right w:w="180" w:type="dxa"/>
            </w:tcMar>
            <w:vAlign w:val="center"/>
          </w:tcPr>
          <w:p w14:paraId="7330E5D8" w14:textId="77777777" w:rsidR="000454C1" w:rsidRDefault="00000000">
            <w:r>
              <w:t>Lack of metrics</w:t>
            </w:r>
          </w:p>
        </w:tc>
        <w:tc>
          <w:tcPr>
            <w:tcW w:w="5760" w:type="dxa"/>
            <w:tcBorders>
              <w:bottom w:val="single" w:sz="4" w:space="0" w:color="D3D3D3"/>
            </w:tcBorders>
            <w:shd w:val="clear" w:color="auto" w:fill="F2F5F8"/>
            <w:tcMar>
              <w:top w:w="120" w:type="dxa"/>
              <w:left w:w="180" w:type="dxa"/>
              <w:bottom w:w="120" w:type="dxa"/>
              <w:right w:w="180" w:type="dxa"/>
            </w:tcMar>
            <w:vAlign w:val="center"/>
          </w:tcPr>
          <w:p w14:paraId="35EE79A5" w14:textId="77777777" w:rsidR="000454C1" w:rsidRDefault="00000000">
            <w:r>
              <w:t>Blind spots in process management leading to poor executive decision making.</w:t>
            </w:r>
          </w:p>
        </w:tc>
      </w:tr>
    </w:tbl>
    <w:p w14:paraId="36AE9AF0" w14:textId="77777777" w:rsidR="000454C1" w:rsidRDefault="00000000">
      <w:pPr>
        <w:keepNext/>
        <w:spacing w:before="360" w:after="120"/>
      </w:pPr>
      <w:r>
        <w:rPr>
          <w:b/>
          <w:color w:val="1F497D"/>
          <w:sz w:val="28"/>
        </w:rPr>
        <w:t>Project Objectives</w:t>
      </w:r>
    </w:p>
    <w:p w14:paraId="637AB83C" w14:textId="77777777" w:rsidR="000454C1" w:rsidRDefault="00000000">
      <w:pPr>
        <w:spacing w:after="160"/>
      </w:pPr>
      <w:r>
        <w:t>To establish operational control and systematic quality assessment, this initiative targets five primary objectives:</w:t>
      </w:r>
    </w:p>
    <w:p w14:paraId="75FAC7D6" w14:textId="77777777" w:rsidR="000454C1" w:rsidRDefault="00000000">
      <w:pPr>
        <w:pStyle w:val="ListBullet"/>
        <w:spacing w:after="60"/>
      </w:pPr>
      <w:r>
        <w:lastRenderedPageBreak/>
        <w:t>Standardize AI response evaluation to eliminate subjectivity.</w:t>
      </w:r>
    </w:p>
    <w:p w14:paraId="30D1481E" w14:textId="77777777" w:rsidR="000454C1" w:rsidRDefault="00000000">
      <w:pPr>
        <w:pStyle w:val="ListBullet"/>
        <w:spacing w:after="60"/>
      </w:pPr>
      <w:r>
        <w:t>Improve reviewer consistency to secure reliable quality baselines.</w:t>
      </w:r>
    </w:p>
    <w:p w14:paraId="67C8659C" w14:textId="77777777" w:rsidR="000454C1" w:rsidRDefault="00000000">
      <w:pPr>
        <w:pStyle w:val="ListBullet"/>
        <w:spacing w:after="60"/>
      </w:pPr>
      <w:r>
        <w:t>Define actionable quality metrics across core validation dimensions.</w:t>
      </w:r>
    </w:p>
    <w:p w14:paraId="0DEF1327" w14:textId="77777777" w:rsidR="000454C1" w:rsidRDefault="00000000">
      <w:pPr>
        <w:pStyle w:val="ListBullet"/>
        <w:spacing w:after="60"/>
      </w:pPr>
      <w:r>
        <w:t>Create formal governance processes including annotation and calibration routines.</w:t>
      </w:r>
    </w:p>
    <w:p w14:paraId="27BE6DDA" w14:textId="77777777" w:rsidR="000454C1" w:rsidRDefault="00000000">
      <w:pPr>
        <w:pStyle w:val="ListBullet"/>
        <w:spacing w:after="60"/>
      </w:pPr>
      <w:r>
        <w:t>Enable seamless executive reporting via high-impact dashboards.</w:t>
      </w:r>
    </w:p>
    <w:p w14:paraId="4F88FDE4" w14:textId="77777777" w:rsidR="000454C1" w:rsidRDefault="00000000">
      <w:pPr>
        <w:keepNext/>
        <w:spacing w:before="360" w:after="120"/>
      </w:pPr>
      <w:r>
        <w:rPr>
          <w:b/>
          <w:color w:val="1F497D"/>
          <w:sz w:val="28"/>
        </w:rPr>
        <w:t>Expected Operational Outcomes</w:t>
      </w:r>
    </w:p>
    <w:p w14:paraId="5580E86C" w14:textId="77777777" w:rsidR="000454C1" w:rsidRDefault="00000000">
      <w:pPr>
        <w:spacing w:after="160"/>
      </w:pPr>
      <w:r>
        <w:t>The framework will deliver concrete, actionable assets designed to transition raw operational reviews into clear strategic insights:</w:t>
      </w:r>
    </w:p>
    <w:p w14:paraId="4D6153D8" w14:textId="77777777" w:rsidR="000454C1" w:rsidRDefault="00000000">
      <w:pPr>
        <w:pStyle w:val="ListBullet"/>
        <w:spacing w:after="60"/>
      </w:pPr>
      <w:r>
        <w:t>Evaluation Framework: Main technical core for response validation.</w:t>
      </w:r>
    </w:p>
    <w:p w14:paraId="29DA72CA" w14:textId="77777777" w:rsidR="000454C1" w:rsidRDefault="00000000">
      <w:pPr>
        <w:pStyle w:val="ListBullet"/>
        <w:spacing w:after="60"/>
      </w:pPr>
      <w:r>
        <w:t>Annotation Guidelines: Standard operating procedures for evaluation teams.</w:t>
      </w:r>
    </w:p>
    <w:p w14:paraId="3C7289BF" w14:textId="77777777" w:rsidR="000454C1" w:rsidRDefault="00000000">
      <w:pPr>
        <w:pStyle w:val="ListBullet"/>
        <w:spacing w:after="60"/>
      </w:pPr>
      <w:r>
        <w:t>RLHF Simulation: Alignment workflows utilizing human feedback loops.</w:t>
      </w:r>
    </w:p>
    <w:p w14:paraId="111B407A" w14:textId="77777777" w:rsidR="000454C1" w:rsidRDefault="00000000">
      <w:pPr>
        <w:pStyle w:val="ListBullet"/>
        <w:spacing w:after="60"/>
      </w:pPr>
      <w:r>
        <w:t>Metrics Framework: Fixed statistical KPIs to ensure data-driven control.</w:t>
      </w:r>
    </w:p>
    <w:p w14:paraId="5D8544DC" w14:textId="77777777" w:rsidR="000454C1" w:rsidRDefault="00000000">
      <w:pPr>
        <w:pStyle w:val="ListBullet"/>
        <w:spacing w:after="60"/>
      </w:pPr>
      <w:r>
        <w:t>Executive Dashboard: A visual reporting tier summarizing system health.</w:t>
      </w:r>
    </w:p>
    <w:p w14:paraId="5CAFA322" w14:textId="77777777" w:rsidR="000454C1" w:rsidRDefault="00000000">
      <w:pPr>
        <w:keepNext/>
        <w:spacing w:before="360" w:after="120"/>
      </w:pPr>
      <w:r>
        <w:rPr>
          <w:b/>
          <w:color w:val="1F497D"/>
          <w:sz w:val="28"/>
        </w:rPr>
        <w:t>Strategic Justification</w:t>
      </w:r>
    </w:p>
    <w:p w14:paraId="591228D1" w14:textId="77777777" w:rsidR="000454C1" w:rsidRDefault="00000000">
      <w:pPr>
        <w:spacing w:after="160"/>
      </w:pPr>
      <w:r>
        <w:t>Why This Project Matters: As organizations increasingly adopt Generative AI, establishing standardized evaluation and governance processes becomes essential to maintain response quality, improve user trust, and support responsible AI deployment.</w:t>
      </w:r>
    </w:p>
    <w:p w14:paraId="28B4AF1F" w14:textId="77777777" w:rsidR="000454C1" w:rsidRDefault="00000000">
      <w:pPr>
        <w:keepNext/>
        <w:spacing w:before="360" w:after="120"/>
      </w:pPr>
      <w:r>
        <w:rPr>
          <w:b/>
          <w:color w:val="1F497D"/>
          <w:sz w:val="28"/>
        </w:rPr>
        <w:t>Project Success Measures &amp; Targets</w:t>
      </w:r>
    </w:p>
    <w:p w14:paraId="36AEFFE5" w14:textId="77777777" w:rsidR="000454C1" w:rsidRDefault="00000000">
      <w:pPr>
        <w:spacing w:after="160"/>
      </w:pPr>
      <w:r>
        <w:t>The project's delivery success will be evaluated strictly against the following targeted metrics:</w:t>
      </w:r>
    </w:p>
    <w:tbl>
      <w:tblPr>
        <w:tblW w:w="0" w:type="auto"/>
        <w:jc w:val="center"/>
        <w:tblLook w:val="04A0" w:firstRow="1" w:lastRow="0" w:firstColumn="1" w:lastColumn="0" w:noHBand="0" w:noVBand="1"/>
      </w:tblPr>
      <w:tblGrid>
        <w:gridCol w:w="5040"/>
        <w:gridCol w:w="4320"/>
      </w:tblGrid>
      <w:tr w:rsidR="000454C1" w14:paraId="2FBAC4FD" w14:textId="77777777">
        <w:trPr>
          <w:cantSplit/>
          <w:tblHeader/>
          <w:jc w:val="center"/>
        </w:trPr>
        <w:tc>
          <w:tcPr>
            <w:tcW w:w="5040" w:type="dxa"/>
            <w:tcBorders>
              <w:bottom w:val="single" w:sz="4" w:space="0" w:color="D3D3D3"/>
            </w:tcBorders>
            <w:shd w:val="clear" w:color="auto" w:fill="1F497D"/>
            <w:tcMar>
              <w:top w:w="120" w:type="dxa"/>
              <w:left w:w="180" w:type="dxa"/>
              <w:bottom w:w="120" w:type="dxa"/>
              <w:right w:w="180" w:type="dxa"/>
            </w:tcMar>
            <w:vAlign w:val="center"/>
          </w:tcPr>
          <w:p w14:paraId="729BC08A" w14:textId="77777777" w:rsidR="000454C1" w:rsidRDefault="00000000">
            <w:r>
              <w:rPr>
                <w:b/>
                <w:color w:val="FFFFFF"/>
              </w:rPr>
              <w:t>Success Measure</w:t>
            </w:r>
          </w:p>
        </w:tc>
        <w:tc>
          <w:tcPr>
            <w:tcW w:w="4320" w:type="dxa"/>
            <w:tcBorders>
              <w:bottom w:val="single" w:sz="4" w:space="0" w:color="D3D3D3"/>
            </w:tcBorders>
            <w:shd w:val="clear" w:color="auto" w:fill="1F497D"/>
            <w:tcMar>
              <w:top w:w="120" w:type="dxa"/>
              <w:left w:w="180" w:type="dxa"/>
              <w:bottom w:w="120" w:type="dxa"/>
              <w:right w:w="180" w:type="dxa"/>
            </w:tcMar>
            <w:vAlign w:val="center"/>
          </w:tcPr>
          <w:p w14:paraId="5C3671DB" w14:textId="77777777" w:rsidR="000454C1" w:rsidRDefault="00000000">
            <w:r>
              <w:rPr>
                <w:b/>
                <w:color w:val="FFFFFF"/>
              </w:rPr>
              <w:t>Target Criteria</w:t>
            </w:r>
          </w:p>
        </w:tc>
      </w:tr>
      <w:tr w:rsidR="000454C1" w14:paraId="130927A9" w14:textId="77777777">
        <w:trPr>
          <w:cantSplit/>
          <w:jc w:val="center"/>
        </w:trPr>
        <w:tc>
          <w:tcPr>
            <w:tcW w:w="5040" w:type="dxa"/>
            <w:tcBorders>
              <w:bottom w:val="single" w:sz="4" w:space="0" w:color="D3D3D3"/>
            </w:tcBorders>
            <w:shd w:val="clear" w:color="auto" w:fill="F2F5F8"/>
            <w:tcMar>
              <w:top w:w="120" w:type="dxa"/>
              <w:left w:w="180" w:type="dxa"/>
              <w:bottom w:w="120" w:type="dxa"/>
              <w:right w:w="180" w:type="dxa"/>
            </w:tcMar>
            <w:vAlign w:val="center"/>
          </w:tcPr>
          <w:p w14:paraId="2B23DD00" w14:textId="77777777" w:rsidR="000454C1" w:rsidRDefault="00000000">
            <w:r>
              <w:t>Standardized evaluation framework</w:t>
            </w:r>
          </w:p>
        </w:tc>
        <w:tc>
          <w:tcPr>
            <w:tcW w:w="4320" w:type="dxa"/>
            <w:tcBorders>
              <w:bottom w:val="single" w:sz="4" w:space="0" w:color="D3D3D3"/>
            </w:tcBorders>
            <w:shd w:val="clear" w:color="auto" w:fill="F2F5F8"/>
            <w:tcMar>
              <w:top w:w="120" w:type="dxa"/>
              <w:left w:w="180" w:type="dxa"/>
              <w:bottom w:w="120" w:type="dxa"/>
              <w:right w:w="180" w:type="dxa"/>
            </w:tcMar>
            <w:vAlign w:val="center"/>
          </w:tcPr>
          <w:p w14:paraId="19E22098" w14:textId="77777777" w:rsidR="000454C1" w:rsidRDefault="00000000">
            <w:r>
              <w:t>Completed &amp; Deployed</w:t>
            </w:r>
          </w:p>
        </w:tc>
      </w:tr>
      <w:tr w:rsidR="000454C1" w14:paraId="657E0427" w14:textId="77777777">
        <w:trPr>
          <w:cantSplit/>
          <w:jc w:val="center"/>
        </w:trPr>
        <w:tc>
          <w:tcPr>
            <w:tcW w:w="5040" w:type="dxa"/>
            <w:tcBorders>
              <w:bottom w:val="single" w:sz="4" w:space="0" w:color="D3D3D3"/>
            </w:tcBorders>
            <w:shd w:val="clear" w:color="auto" w:fill="FFFFFF"/>
            <w:tcMar>
              <w:top w:w="120" w:type="dxa"/>
              <w:left w:w="180" w:type="dxa"/>
              <w:bottom w:w="120" w:type="dxa"/>
              <w:right w:w="180" w:type="dxa"/>
            </w:tcMar>
            <w:vAlign w:val="center"/>
          </w:tcPr>
          <w:p w14:paraId="614339F6" w14:textId="77777777" w:rsidR="000454C1" w:rsidRDefault="00000000">
            <w:r>
              <w:t>Reviewer consistency</w:t>
            </w:r>
          </w:p>
        </w:tc>
        <w:tc>
          <w:tcPr>
            <w:tcW w:w="4320" w:type="dxa"/>
            <w:tcBorders>
              <w:bottom w:val="single" w:sz="4" w:space="0" w:color="D3D3D3"/>
            </w:tcBorders>
            <w:shd w:val="clear" w:color="auto" w:fill="FFFFFF"/>
            <w:tcMar>
              <w:top w:w="120" w:type="dxa"/>
              <w:left w:w="180" w:type="dxa"/>
              <w:bottom w:w="120" w:type="dxa"/>
              <w:right w:w="180" w:type="dxa"/>
            </w:tcMar>
            <w:vAlign w:val="center"/>
          </w:tcPr>
          <w:p w14:paraId="6B137BB7" w14:textId="77777777" w:rsidR="000454C1" w:rsidRDefault="00000000">
            <w:r>
              <w:t>≥ 85% Agreement (Inter-rater reliability)</w:t>
            </w:r>
          </w:p>
        </w:tc>
      </w:tr>
      <w:tr w:rsidR="000454C1" w14:paraId="3F2D883E" w14:textId="77777777">
        <w:trPr>
          <w:cantSplit/>
          <w:jc w:val="center"/>
        </w:trPr>
        <w:tc>
          <w:tcPr>
            <w:tcW w:w="5040" w:type="dxa"/>
            <w:tcBorders>
              <w:bottom w:val="single" w:sz="4" w:space="0" w:color="D3D3D3"/>
            </w:tcBorders>
            <w:shd w:val="clear" w:color="auto" w:fill="F2F5F8"/>
            <w:tcMar>
              <w:top w:w="120" w:type="dxa"/>
              <w:left w:w="180" w:type="dxa"/>
              <w:bottom w:w="120" w:type="dxa"/>
              <w:right w:w="180" w:type="dxa"/>
            </w:tcMar>
            <w:vAlign w:val="center"/>
          </w:tcPr>
          <w:p w14:paraId="2E7242EE" w14:textId="77777777" w:rsidR="000454C1" w:rsidRDefault="00000000">
            <w:r>
              <w:t>Quality metrics implemented</w:t>
            </w:r>
          </w:p>
        </w:tc>
        <w:tc>
          <w:tcPr>
            <w:tcW w:w="4320" w:type="dxa"/>
            <w:tcBorders>
              <w:bottom w:val="single" w:sz="4" w:space="0" w:color="D3D3D3"/>
            </w:tcBorders>
            <w:shd w:val="clear" w:color="auto" w:fill="F2F5F8"/>
            <w:tcMar>
              <w:top w:w="120" w:type="dxa"/>
              <w:left w:w="180" w:type="dxa"/>
              <w:bottom w:w="120" w:type="dxa"/>
              <w:right w:w="180" w:type="dxa"/>
            </w:tcMar>
            <w:vAlign w:val="center"/>
          </w:tcPr>
          <w:p w14:paraId="707E7A7A" w14:textId="77777777" w:rsidR="000454C1" w:rsidRDefault="00000000">
            <w:r>
              <w:t>Yes, fully integrated in data pipeline</w:t>
            </w:r>
          </w:p>
        </w:tc>
      </w:tr>
      <w:tr w:rsidR="000454C1" w14:paraId="20C5E8A3" w14:textId="77777777">
        <w:trPr>
          <w:cantSplit/>
          <w:jc w:val="center"/>
        </w:trPr>
        <w:tc>
          <w:tcPr>
            <w:tcW w:w="5040" w:type="dxa"/>
            <w:tcBorders>
              <w:bottom w:val="single" w:sz="4" w:space="0" w:color="D3D3D3"/>
            </w:tcBorders>
            <w:shd w:val="clear" w:color="auto" w:fill="FFFFFF"/>
            <w:tcMar>
              <w:top w:w="120" w:type="dxa"/>
              <w:left w:w="180" w:type="dxa"/>
              <w:bottom w:w="120" w:type="dxa"/>
              <w:right w:w="180" w:type="dxa"/>
            </w:tcMar>
            <w:vAlign w:val="center"/>
          </w:tcPr>
          <w:p w14:paraId="50D077FB" w14:textId="77777777" w:rsidR="000454C1" w:rsidRDefault="00000000">
            <w:r>
              <w:t>Executive dashboard developed</w:t>
            </w:r>
          </w:p>
        </w:tc>
        <w:tc>
          <w:tcPr>
            <w:tcW w:w="4320" w:type="dxa"/>
            <w:tcBorders>
              <w:bottom w:val="single" w:sz="4" w:space="0" w:color="D3D3D3"/>
            </w:tcBorders>
            <w:shd w:val="clear" w:color="auto" w:fill="FFFFFF"/>
            <w:tcMar>
              <w:top w:w="120" w:type="dxa"/>
              <w:left w:w="180" w:type="dxa"/>
              <w:bottom w:w="120" w:type="dxa"/>
              <w:right w:w="180" w:type="dxa"/>
            </w:tcMar>
            <w:vAlign w:val="center"/>
          </w:tcPr>
          <w:p w14:paraId="6897C0A2" w14:textId="77777777" w:rsidR="000454C1" w:rsidRDefault="00000000">
            <w:r>
              <w:t>Yes, ready for executive-level reporting</w:t>
            </w:r>
          </w:p>
        </w:tc>
      </w:tr>
    </w:tbl>
    <w:p w14:paraId="637A6A43" w14:textId="77777777" w:rsidR="00FC5C15" w:rsidRDefault="00FC5C15"/>
    <w:sectPr w:rsidR="00FC5C1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688738">
    <w:abstractNumId w:val="8"/>
  </w:num>
  <w:num w:numId="2" w16cid:durableId="1309213752">
    <w:abstractNumId w:val="6"/>
  </w:num>
  <w:num w:numId="3" w16cid:durableId="2059815262">
    <w:abstractNumId w:val="5"/>
  </w:num>
  <w:num w:numId="4" w16cid:durableId="1436366325">
    <w:abstractNumId w:val="4"/>
  </w:num>
  <w:num w:numId="5" w16cid:durableId="1857383069">
    <w:abstractNumId w:val="7"/>
  </w:num>
  <w:num w:numId="6" w16cid:durableId="1746798315">
    <w:abstractNumId w:val="3"/>
  </w:num>
  <w:num w:numId="7" w16cid:durableId="1192231204">
    <w:abstractNumId w:val="2"/>
  </w:num>
  <w:num w:numId="8" w16cid:durableId="600993304">
    <w:abstractNumId w:val="1"/>
  </w:num>
  <w:num w:numId="9" w16cid:durableId="2068019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4C1"/>
    <w:rsid w:val="0006063C"/>
    <w:rsid w:val="0015074B"/>
    <w:rsid w:val="00240FCB"/>
    <w:rsid w:val="0029639D"/>
    <w:rsid w:val="00326F90"/>
    <w:rsid w:val="00AA1D8D"/>
    <w:rsid w:val="00B47730"/>
    <w:rsid w:val="00BE4868"/>
    <w:rsid w:val="00CB0664"/>
    <w:rsid w:val="00FC5C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4A907"/>
  <w14:defaultImageDpi w14:val="300"/>
  <w15:docId w15:val="{777B9088-11F3-48A2-9043-E4419051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poly.royc@gmail.com</cp:lastModifiedBy>
  <cp:revision>2</cp:revision>
  <dcterms:created xsi:type="dcterms:W3CDTF">2026-06-30T14:51:00Z</dcterms:created>
  <dcterms:modified xsi:type="dcterms:W3CDTF">2026-06-30T14:51:00Z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80fbf49f-4813-407a-b278-ab5979cd4620</vt:lpwstr>
  </property>
</Properties>
</file>