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43844" w14:textId="77777777" w:rsidR="00F934CE" w:rsidRDefault="00000000" w:rsidP="000A4930">
      <w:pPr>
        <w:pStyle w:val="Heading1"/>
      </w:pPr>
      <w:r>
        <w:t xml:space="preserve">RLHF Reviewer Calibration Report (Portfolio Simulation)</w:t>
      </w:r>
    </w:p>
    <w:p w14:paraId="378C4506" w14:textId="77777777" w:rsidR="000A4930" w:rsidRDefault="000A4930">
      <w:pPr>
        <w:pStyle w:val="Heading2"/>
        <w:rPr>
          <w:kern w:val="2"/>
          <w:lang w:val="en-IN" w:eastAsia="en-IN"/>
          <w14:ligatures w14:val="standardContextual"/>
        </w:rPr>
      </w:pPr>
      <w:r>
        <w:t>Executive Summary</w:t>
      </w:r>
    </w:p>
    <w:p w14:paraId="4B446317" w14:textId="77777777" w:rsidR="000A4930" w:rsidRDefault="000A4930">
      <w:pPr>
        <w:rPr>
          <w:kern w:val="2"/>
          <w:lang w:val="en-IN" w:eastAsia="en-IN"/>
          <w14:ligatures w14:val="standardContextual"/>
        </w:rPr>
      </w:pPr>
      <w:r>
        <w:t>This RLHF Reviewer Calibration Report summarizes a simulated reviewer alignment exercise conducted as part of the AI Quality Evaluation Framework portfolio project. The purpose of reviewer calibration is to improve consistency in human evaluation decisions, reduce interpretation variance, and strengthen the reliability of quality signals used in AI response assessment.</w:t>
      </w:r>
    </w:p>
    <w:p w14:paraId="7F1F7FC4" w14:textId="77777777" w:rsidR="000117F2" w:rsidRDefault="00000000" w:rsidP="0048297E">
      <w:r>
        <w:t xml:space="preserve">The calibration exercise was designed to connect reviewer decision-making to the broader AI Quality Evaluation Framework by reinforcing consistent application of evaluation criteria across accuracy, completeness, relevance, clarity, and safety.</w:t>
      </w:r>
    </w:p>
    <w:p w14:paraId="6DFD7F90" w14:textId="77777777" w:rsidR="000A4930" w:rsidRDefault="000A4930">
      <w:pPr>
        <w:rPr>
          <w:kern w:val="2"/>
          <w:lang w:val="en-IN" w:eastAsia="en-IN"/>
          <w14:ligatures w14:val="standardContextual"/>
        </w:rPr>
      </w:pPr>
      <w:r>
        <w:t xml:space="preserve">Twenty-five representative responses were selected from the completed 100-response AI Response Evaluation Dataset. Three simulated reviewers independently evaluated each response, after which reviewer decisions were compared to measure initial consistency, identify disagreement patterns, and improve reviewer alignment through structured calibration discussion.</w:t>
      </w:r>
    </w:p>
    <w:p w14:paraId="3F78B34E" w14:textId="77777777" w:rsidR="000A4930" w:rsidRDefault="000A4930">
      <w:pPr>
        <w:rPr>
          <w:kern w:val="2"/>
          <w:lang w:val="en-IN" w:eastAsia="en-IN"/>
          <w14:ligatures w14:val="standardContextual"/>
        </w:rPr>
      </w:pPr>
      <w:r>
        <w:t>The objective was to measure reviewer consistency, establish consensus decisions, and document improvements that support continuous quality governance while clearly maintaining the project as a portfolio simulation rather than a representation of a real production environment.</w:t>
      </w:r>
    </w:p>
    <w:p w14:paraId="2CE111CD" w14:textId="77777777" w:rsidR="00647185" w:rsidRDefault="00647185">
      <w:pPr>
        <w:rPr>
          <w:kern w:val="2"/>
          <w:lang w:val="en-IN" w:eastAsia="en-IN"/>
          <w14:ligatures w14:val="standardContextual"/>
        </w:rPr>
      </w:pPr>
      <w:r>
        <w:t>Supporting reviewer decisions, calibration metrics, and consensus outcomes are documented in the accompanying Reviewer Calibration Dataset workbook, which provides the evidence base for this simulated calibration exercise.</w:t>
      </w:r>
    </w:p>
    <w:p w14:paraId="2538B2BF" w14:textId="77777777" w:rsidR="00F934CE" w:rsidRDefault="00000000" w:rsidP="00E062A8">
      <w:pPr>
        <w:pStyle w:val="Heading2"/>
      </w:pPr>
      <w:r>
        <w:t>Objective</w:t>
      </w:r>
    </w:p>
    <w:p w14:paraId="50C7FEF4" w14:textId="77777777" w:rsidR="00F934CE" w:rsidRDefault="00E35EB1" w:rsidP="000844DC">
      <w:r>
        <w:t>The objective of this simulated calibration exercise is to measure reviewer consistency during RLHF-style AI response evaluations, identify disagreement patterns, establish consensus outcomes, and strengthen reviewer guidance within the AI Quality Evaluation Framework.</w:t>
      </w:r>
    </w:p>
    <w:p w14:paraId="4070510B" w14:textId="77777777" w:rsidR="00F934CE" w:rsidRDefault="000117F2" w:rsidP="000117F2">
      <w:pPr>
        <w:pStyle w:val="Heading2"/>
      </w:pPr>
      <w:r>
        <w:t>Calibration Scope</w:t>
      </w:r>
    </w:p>
    <w:tbl>
      <w:tblPr>
        <w:tblStyle w:val="GridTable4-Accent1"/>
        <w:tblW w:w="5000" w:type="pct"/>
        <w:tblLook w:val="04A0" w:firstRow="1" w:lastRow="0" w:firstColumn="1" w:lastColumn="0" w:noHBand="0" w:noVBand="1"/>
      </w:tblPr>
      <w:tblGrid>
        <w:gridCol w:w="2654"/>
        <w:gridCol w:w="6202"/>
      </w:tblGrid>
      <w:tr w:rsidR="000117F2" w14:paraId="5E7F8C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hideMark/>
          </w:tcPr>
          <w:p w14:paraId="0E7A2EE6" w14:textId="77777777" w:rsidR="000117F2" w:rsidRDefault="000117F2">
            <w:pPr>
              <w:rPr>
                <w:color w:val="FFFFFF"/>
                <w:kern w:val="2"/>
                <w:lang w:val="en-IN" w:eastAsia="en-IN"/>
                <w14:ligatures w14:val="standardContextual"/>
              </w:rPr>
            </w:pPr>
            <w:r>
              <w:rPr>
                <w:b w:val="0"/>
                <w:bCs w:val="0"/>
                <w:color w:val="FFFFFF"/>
              </w:rPr>
              <w:t>Scope Area</w:t>
            </w:r>
          </w:p>
        </w:tc>
        <w:tc>
          <w:tcPr>
            <w:tcW w:w="0" w:type="auto"/>
            <w:shd w:val="clear" w:color="auto" w:fill="1F4E79"/>
            <w:hideMark/>
          </w:tcPr>
          <w:p w14:paraId="0065DA97" w14:textId="77777777" w:rsidR="000117F2" w:rsidRDefault="000117F2">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Details</w:t>
            </w:r>
          </w:p>
        </w:tc>
      </w:tr>
      <w:tr w:rsidR="000117F2" w14:paraId="1E2ACB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hideMark/>
          </w:tcPr>
          <w:p w14:paraId="5E45918F" w14:textId="77777777" w:rsidR="000117F2" w:rsidRDefault="000117F2">
            <w:r>
              <w:t>Dataset Source</w:t>
            </w:r>
          </w:p>
        </w:tc>
        <w:tc>
          <w:tcPr>
            <w:tcW w:w="0" w:type="auto"/>
            <w:shd w:val="clear" w:color="auto" w:fill="D9EAF7"/>
            <w:hideMark/>
          </w:tcPr>
          <w:p w14:paraId="2DEDFDB5" w14:textId="77777777" w:rsidR="000117F2" w:rsidRDefault="000117F2">
            <w:pPr>
              <w:cnfStyle w:val="000000100000" w:firstRow="0" w:lastRow="0" w:firstColumn="0" w:lastColumn="0" w:oddVBand="0" w:evenVBand="0" w:oddHBand="1" w:evenHBand="0" w:firstRowFirstColumn="0" w:firstRowLastColumn="0" w:lastRowFirstColumn="0" w:lastRowLastColumn="0"/>
            </w:pPr>
            <w:r>
              <w:t>AI Response Evaluation Dataset (100 Responses)</w:t>
            </w:r>
          </w:p>
        </w:tc>
      </w:tr>
      <w:tr w:rsidR="000117F2" w14:paraId="601A8A9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AD41A76" w14:textId="77777777" w:rsidR="000117F2" w:rsidRDefault="000117F2">
            <w:r>
              <w:t>Calibration Sample</w:t>
            </w:r>
          </w:p>
        </w:tc>
        <w:tc>
          <w:tcPr>
            <w:tcW w:w="0" w:type="auto"/>
            <w:hideMark/>
          </w:tcPr>
          <w:p w14:paraId="66081BAC" w14:textId="77777777" w:rsidR="000117F2" w:rsidRDefault="000117F2">
            <w:pPr>
              <w:cnfStyle w:val="000000000000" w:firstRow="0" w:lastRow="0" w:firstColumn="0" w:lastColumn="0" w:oddVBand="0" w:evenVBand="0" w:oddHBand="0" w:evenHBand="0" w:firstRowFirstColumn="0" w:firstRowLastColumn="0" w:lastRowFirstColumn="0" w:lastRowLastColumn="0"/>
            </w:pPr>
            <w:r>
              <w:t>25 Representative Responses</w:t>
            </w:r>
          </w:p>
        </w:tc>
      </w:tr>
      <w:tr w:rsidR="000117F2" w14:paraId="33954A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hideMark/>
          </w:tcPr>
          <w:p w14:paraId="7543E5BF" w14:textId="77777777" w:rsidR="000117F2" w:rsidRDefault="000117F2">
            <w:r>
              <w:t>Reviewers</w:t>
            </w:r>
          </w:p>
        </w:tc>
        <w:tc>
          <w:tcPr>
            <w:tcW w:w="0" w:type="auto"/>
            <w:shd w:val="clear" w:color="auto" w:fill="D9EAF7"/>
            <w:hideMark/>
          </w:tcPr>
          <w:p w14:paraId="48D1CC3E" w14:textId="77777777" w:rsidR="000117F2" w:rsidRDefault="000117F2">
            <w:pPr>
              <w:cnfStyle w:val="000000100000" w:firstRow="0" w:lastRow="0" w:firstColumn="0" w:lastColumn="0" w:oddVBand="0" w:evenVBand="0" w:oddHBand="1" w:evenHBand="0" w:firstRowFirstColumn="0" w:firstRowLastColumn="0" w:lastRowFirstColumn="0" w:lastRowLastColumn="0"/>
            </w:pPr>
            <w:r>
              <w:t>Reviewer A</w:t>
              <w:br/>
              <w:t>Reviewer B</w:t>
              <w:br/>
              <w:t>Reviewer C</w:t>
            </w:r>
          </w:p>
        </w:tc>
      </w:tr>
      <w:tr w:rsidR="000117F2" w14:paraId="07C7DFC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148B0A6" w14:textId="77777777" w:rsidR="000117F2" w:rsidRDefault="000117F2">
            <w:r>
              <w:t>Project Type</w:t>
            </w:r>
          </w:p>
        </w:tc>
        <w:tc>
          <w:tcPr>
            <w:tcW w:w="0" w:type="auto"/>
            <w:hideMark/>
          </w:tcPr>
          <w:p w14:paraId="5CAD84AE" w14:textId="77777777" w:rsidR="000117F2" w:rsidRDefault="000117F2">
            <w:pPr>
              <w:cnfStyle w:val="000000000000" w:firstRow="0" w:lastRow="0" w:firstColumn="0" w:lastColumn="0" w:oddVBand="0" w:evenVBand="0" w:oddHBand="0" w:evenHBand="0" w:firstRowFirstColumn="0" w:firstRowLastColumn="0" w:lastRowFirstColumn="0" w:lastRowLastColumn="0"/>
            </w:pPr>
            <w:r>
              <w:t>Portfolio Simulation</w:t>
            </w:r>
          </w:p>
        </w:tc>
      </w:tr>
    </w:tbl>
    <w:p w14:paraId="1E787717" w14:textId="77777777" w:rsidR="00F934CE" w:rsidRDefault="00000000">
      <w:pPr>
        <w:pStyle w:val="Heading2"/>
      </w:pPr>
      <w:r>
        <w:lastRenderedPageBreak/>
        <w:t>Results</w:t>
      </w:r>
    </w:p>
    <w:tbl>
      <w:tblPr>
        <w:tblStyle w:val="GridTable4-Accent1"/>
        <w:tblW w:w="5000" w:type="pct"/>
        <w:tblLook w:val="04A0" w:firstRow="1" w:lastRow="0" w:firstColumn="1" w:lastColumn="0" w:noHBand="0" w:noVBand="1"/>
      </w:tblPr>
      <w:tblGrid>
        <w:gridCol w:w="4777"/>
        <w:gridCol w:w="4079"/>
      </w:tblGrid>
      <w:tr w:rsidR="000117F2" w14:paraId="434FEBC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hideMark/>
          </w:tcPr>
          <w:p w14:paraId="6202529F" w14:textId="77777777" w:rsidR="000117F2" w:rsidRDefault="000117F2">
            <w:pPr>
              <w:rPr>
                <w:color w:val="FFFFFF"/>
                <w:kern w:val="2"/>
                <w:lang w:val="en-IN" w:eastAsia="en-IN"/>
                <w14:ligatures w14:val="standardContextual"/>
              </w:rPr>
            </w:pPr>
            <w:r>
              <w:rPr>
                <w:b w:val="0"/>
                <w:bCs w:val="0"/>
                <w:color w:val="FFFFFF"/>
              </w:rPr>
              <w:t>Metric</w:t>
            </w:r>
          </w:p>
        </w:tc>
        <w:tc>
          <w:tcPr>
            <w:tcW w:w="0" w:type="auto"/>
            <w:shd w:val="clear" w:color="auto" w:fill="1F4E79"/>
            <w:hideMark/>
          </w:tcPr>
          <w:p w14:paraId="0E2883AB" w14:textId="77777777" w:rsidR="000117F2" w:rsidRDefault="000117F2">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Verified Value</w:t>
            </w:r>
          </w:p>
        </w:tc>
      </w:tr>
      <w:tr w:rsidR="000117F2" w14:paraId="52E45B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hideMark/>
          </w:tcPr>
          <w:p w14:paraId="6C15BF2F" w14:textId="77777777" w:rsidR="000117F2" w:rsidRDefault="000117F2">
            <w:r>
              <w:t>Total Dataset Size</w:t>
            </w:r>
          </w:p>
        </w:tc>
        <w:tc>
          <w:tcPr>
            <w:tcW w:w="0" w:type="auto"/>
            <w:shd w:val="clear" w:color="auto" w:fill="D9EAF7"/>
            <w:hideMark/>
          </w:tcPr>
          <w:p w14:paraId="19545242" w14:textId="77777777" w:rsidR="000117F2" w:rsidRDefault="000117F2">
            <w:pPr>
              <w:cnfStyle w:val="000000100000" w:firstRow="0" w:lastRow="0" w:firstColumn="0" w:lastColumn="0" w:oddVBand="0" w:evenVBand="0" w:oddHBand="1" w:evenHBand="0" w:firstRowFirstColumn="0" w:firstRowLastColumn="0" w:lastRowFirstColumn="0" w:lastRowLastColumn="0"/>
            </w:pPr>
            <w:r>
              <w:t>100 Responses</w:t>
            </w:r>
          </w:p>
        </w:tc>
      </w:tr>
      <w:tr w:rsidR="000117F2" w14:paraId="2F5293D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DA6BA63" w14:textId="77777777" w:rsidR="000117F2" w:rsidRDefault="000117F2">
            <w:r>
              <w:t>Calibration Sample</w:t>
            </w:r>
          </w:p>
        </w:tc>
        <w:tc>
          <w:tcPr>
            <w:tcW w:w="0" w:type="auto"/>
            <w:hideMark/>
          </w:tcPr>
          <w:p w14:paraId="2049190C" w14:textId="77777777" w:rsidR="000117F2" w:rsidRDefault="000117F2">
            <w:pPr>
              <w:cnfStyle w:val="000000000000" w:firstRow="0" w:lastRow="0" w:firstColumn="0" w:lastColumn="0" w:oddVBand="0" w:evenVBand="0" w:oddHBand="0" w:evenHBand="0" w:firstRowFirstColumn="0" w:firstRowLastColumn="0" w:lastRowFirstColumn="0" w:lastRowLastColumn="0"/>
            </w:pPr>
            <w:r>
              <w:t>25 Responses</w:t>
            </w:r>
          </w:p>
        </w:tc>
      </w:tr>
      <w:tr w:rsidR="000117F2" w14:paraId="509341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hideMark/>
          </w:tcPr>
          <w:p w14:paraId="0DFF4919" w14:textId="77777777" w:rsidR="000117F2" w:rsidRDefault="000117F2">
            <w:r>
              <w:t>Simulated Reviewers</w:t>
            </w:r>
          </w:p>
        </w:tc>
        <w:tc>
          <w:tcPr>
            <w:tcW w:w="0" w:type="auto"/>
            <w:shd w:val="clear" w:color="auto" w:fill="D9EAF7"/>
            <w:hideMark/>
          </w:tcPr>
          <w:p w14:paraId="15A40652" w14:textId="77777777" w:rsidR="000117F2" w:rsidRDefault="000117F2">
            <w:pPr>
              <w:cnfStyle w:val="000000100000" w:firstRow="0" w:lastRow="0" w:firstColumn="0" w:lastColumn="0" w:oddVBand="0" w:evenVBand="0" w:oddHBand="1" w:evenHBand="0" w:firstRowFirstColumn="0" w:firstRowLastColumn="0" w:lastRowFirstColumn="0" w:lastRowLastColumn="0"/>
            </w:pPr>
            <w:r>
              <w:t>3</w:t>
            </w:r>
          </w:p>
        </w:tc>
      </w:tr>
      <w:tr w:rsidR="000117F2" w14:paraId="7EF1AF2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C36FB9D" w14:textId="77777777" w:rsidR="000117F2" w:rsidRDefault="000117F2">
            <w:r>
              <w:t>Initial Reviewer Agreements</w:t>
            </w:r>
          </w:p>
        </w:tc>
        <w:tc>
          <w:tcPr>
            <w:tcW w:w="0" w:type="auto"/>
            <w:hideMark/>
          </w:tcPr>
          <w:p w14:paraId="245F8157" w14:textId="77777777" w:rsidR="000117F2" w:rsidRDefault="000117F2">
            <w:pPr>
              <w:cnfStyle w:val="000000000000" w:firstRow="0" w:lastRow="0" w:firstColumn="0" w:lastColumn="0" w:oddVBand="0" w:evenVBand="0" w:oddHBand="0" w:evenHBand="0" w:firstRowFirstColumn="0" w:firstRowLastColumn="0" w:lastRowFirstColumn="0" w:lastRowLastColumn="0"/>
            </w:pPr>
            <w:r>
              <w:t>22</w:t>
            </w:r>
          </w:p>
        </w:tc>
      </w:tr>
      <w:tr w:rsidR="000117F2" w14:paraId="2B5B8E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hideMark/>
          </w:tcPr>
          <w:p w14:paraId="18D8A4F7" w14:textId="77777777" w:rsidR="000117F2" w:rsidRDefault="000117F2">
            <w:r>
              <w:t>Initial Reviewer Disagreements</w:t>
            </w:r>
          </w:p>
        </w:tc>
        <w:tc>
          <w:tcPr>
            <w:tcW w:w="0" w:type="auto"/>
            <w:shd w:val="clear" w:color="auto" w:fill="D9EAF7"/>
            <w:hideMark/>
          </w:tcPr>
          <w:p w14:paraId="4A3D43B7" w14:textId="77777777" w:rsidR="000117F2" w:rsidRDefault="000117F2">
            <w:pPr>
              <w:cnfStyle w:val="000000100000" w:firstRow="0" w:lastRow="0" w:firstColumn="0" w:lastColumn="0" w:oddVBand="0" w:evenVBand="0" w:oddHBand="1" w:evenHBand="0" w:firstRowFirstColumn="0" w:firstRowLastColumn="0" w:lastRowFirstColumn="0" w:lastRowLastColumn="0"/>
            </w:pPr>
            <w:r>
              <w:t>3</w:t>
            </w:r>
          </w:p>
        </w:tc>
      </w:tr>
      <w:tr w:rsidR="000117F2" w14:paraId="47ECE71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2845D6B" w14:textId="77777777" w:rsidR="000117F2" w:rsidRDefault="000117F2">
            <w:r>
              <w:t>Initial Agreement Rate</w:t>
            </w:r>
          </w:p>
        </w:tc>
        <w:tc>
          <w:tcPr>
            <w:tcW w:w="0" w:type="auto"/>
            <w:hideMark/>
          </w:tcPr>
          <w:p w14:paraId="5B00C75B" w14:textId="77777777" w:rsidR="000117F2" w:rsidRDefault="000117F2">
            <w:pPr>
              <w:cnfStyle w:val="000000000000" w:firstRow="0" w:lastRow="0" w:firstColumn="0" w:lastColumn="0" w:oddVBand="0" w:evenVBand="0" w:oddHBand="0" w:evenHBand="0" w:firstRowFirstColumn="0" w:firstRowLastColumn="0" w:lastRowFirstColumn="0" w:lastRowLastColumn="0"/>
            </w:pPr>
            <w:r>
              <w:t>88.0%</w:t>
            </w:r>
          </w:p>
        </w:tc>
      </w:tr>
      <w:tr w:rsidR="000117F2" w14:paraId="208D27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hideMark/>
          </w:tcPr>
          <w:p w14:paraId="66695E6D" w14:textId="77777777" w:rsidR="000117F2" w:rsidRDefault="000117F2">
            <w:r>
              <w:t>Consensus After Calibration</w:t>
            </w:r>
          </w:p>
        </w:tc>
        <w:tc>
          <w:tcPr>
            <w:tcW w:w="0" w:type="auto"/>
            <w:shd w:val="clear" w:color="auto" w:fill="D9EAF7"/>
            <w:hideMark/>
          </w:tcPr>
          <w:p w14:paraId="735860F9" w14:textId="77777777" w:rsidR="000117F2" w:rsidRDefault="000117F2">
            <w:pPr>
              <w:cnfStyle w:val="000000100000" w:firstRow="0" w:lastRow="0" w:firstColumn="0" w:lastColumn="0" w:oddVBand="0" w:evenVBand="0" w:oddHBand="1" w:evenHBand="0" w:firstRowFirstColumn="0" w:firstRowLastColumn="0" w:lastRowFirstColumn="0" w:lastRowLastColumn="0"/>
            </w:pPr>
            <w:r>
              <w:t>25 of 25 Responses (100%)</w:t>
            </w:r>
          </w:p>
        </w:tc>
      </w:tr>
      <w:tr w:rsidR="000117F2" w14:paraId="3893ADF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22F04F9" w14:textId="77777777" w:rsidR="000117F2" w:rsidRDefault="000117F2">
            <w:r>
              <w:t>Safety Escalations</w:t>
            </w:r>
          </w:p>
        </w:tc>
        <w:tc>
          <w:tcPr>
            <w:tcW w:w="0" w:type="auto"/>
            <w:hideMark/>
          </w:tcPr>
          <w:p w14:paraId="40DEA604" w14:textId="77777777" w:rsidR="000117F2" w:rsidRDefault="000117F2">
            <w:pPr>
              <w:cnfStyle w:val="000000000000" w:firstRow="0" w:lastRow="0" w:firstColumn="0" w:lastColumn="0" w:oddVBand="0" w:evenVBand="0" w:oddHBand="0" w:evenHBand="0" w:firstRowFirstColumn="0" w:firstRowLastColumn="0" w:lastRowFirstColumn="0" w:lastRowLastColumn="0"/>
            </w:pPr>
            <w:r>
              <w:t>1</w:t>
            </w:r>
          </w:p>
        </w:tc>
      </w:tr>
    </w:tbl>
    <w:p w14:paraId="080B1254" w14:textId="77777777" w:rsidR="000117F2" w:rsidRDefault="000117F2">
      <w:pPr>
        <w:pStyle w:val="Heading2"/>
        <w:rPr>
          <w:kern w:val="2"/>
          <w:lang w:val="en-IN" w:eastAsia="en-IN"/>
          <w14:ligatures w14:val="standardContextual"/>
        </w:rPr>
      </w:pPr>
      <w:r>
        <w:t>Calibration Methodology</w:t>
      </w:r>
    </w:p>
    <w:p w14:paraId="5FACD607" w14:textId="77777777" w:rsidR="000117F2" w:rsidRPr="000117F2" w:rsidRDefault="000117F2" w:rsidP="000117F2">
      <w:pPr>
        <w:pStyle w:val="ListParagraph"/>
        <w:numPr>
          <w:ilvl w:val="0"/>
          <w:numId w:val="10"/>
        </w:numPr>
        <w:rPr>
          <w:rFonts w:asciiTheme="minorHAnsi" w:hAnsiTheme="minorHAnsi" w:cstheme="minorBidi"/>
        </w:rPr>
      </w:pPr>
      <w:r>
        <w:rPr>
          <w:rFonts w:asciiTheme="minorHAnsi" w:hAnsiTheme="minorHAnsi" w:cstheme="minorBidi"/>
        </w:rPr>
        <w:t>Twenty-five representative responses were selected from the completed 100-response evaluation dataset.</w:t>
      </w:r>
    </w:p>
    <w:p w14:paraId="049BAA28" w14:textId="77777777" w:rsidR="000117F2" w:rsidRDefault="000117F2" w:rsidP="000117F2">
      <w:pPr>
        <w:pStyle w:val="ListParagraph"/>
        <w:numPr>
          <w:ilvl w:val="0"/>
          <w:numId w:val="10"/>
        </w:numPr>
        <w:rPr>
          <w:rFonts w:asciiTheme="minorHAnsi" w:hAnsiTheme="minorHAnsi" w:cstheme="minorBidi"/>
        </w:rPr>
      </w:pPr>
      <w:r>
        <w:rPr>
          <w:rFonts w:asciiTheme="minorHAnsi" w:hAnsiTheme="minorHAnsi" w:cstheme="minorBidi"/>
        </w:rPr>
        <w:t>Three simulated reviewers independently evaluated each response.</w:t>
      </w:r>
    </w:p>
    <w:p w14:paraId="62DB6B50" w14:textId="77777777" w:rsidR="000117F2" w:rsidRDefault="000117F2" w:rsidP="000117F2">
      <w:pPr>
        <w:pStyle w:val="ListParagraph"/>
        <w:numPr>
          <w:ilvl w:val="0"/>
          <w:numId w:val="10"/>
        </w:numPr>
        <w:rPr>
          <w:rFonts w:asciiTheme="minorHAnsi" w:hAnsiTheme="minorHAnsi" w:cstheme="minorBidi"/>
        </w:rPr>
      </w:pPr>
      <w:r>
        <w:rPr>
          <w:rFonts w:asciiTheme="minorHAnsi" w:hAnsiTheme="minorHAnsi" w:cstheme="minorBidi"/>
        </w:rPr>
        <w:t xml:space="preserve">Reviewer decisions were compared.</w:t>
      </w:r>
    </w:p>
    <w:p w14:paraId="16B0D167" w14:textId="77777777" w:rsidR="000117F2" w:rsidRDefault="000117F2" w:rsidP="000117F2">
      <w:pPr>
        <w:pStyle w:val="ListParagraph"/>
        <w:numPr>
          <w:ilvl w:val="0"/>
          <w:numId w:val="10"/>
        </w:numPr>
        <w:rPr>
          <w:rFonts w:asciiTheme="minorHAnsi" w:hAnsiTheme="minorHAnsi" w:cstheme="minorBidi"/>
        </w:rPr>
      </w:pPr>
      <w:r>
        <w:rPr>
          <w:rFonts w:asciiTheme="minorHAnsi" w:hAnsiTheme="minorHAnsi" w:cstheme="minorBidi"/>
        </w:rPr>
        <w:t>Disagreement cases were discussed.</w:t>
      </w:r>
    </w:p>
    <w:p w14:paraId="185E2121" w14:textId="77777777" w:rsidR="000117F2" w:rsidRDefault="000117F2" w:rsidP="000117F2">
      <w:pPr>
        <w:pStyle w:val="ListParagraph"/>
        <w:numPr>
          <w:ilvl w:val="0"/>
          <w:numId w:val="10"/>
        </w:numPr>
        <w:rPr>
          <w:rFonts w:asciiTheme="minorHAnsi" w:hAnsiTheme="minorHAnsi" w:cstheme="minorBidi"/>
        </w:rPr>
      </w:pPr>
      <w:r>
        <w:rPr>
          <w:rFonts w:asciiTheme="minorHAnsi" w:hAnsiTheme="minorHAnsi" w:cstheme="minorBidi"/>
        </w:rPr>
        <w:t>Consensus decisions were established.</w:t>
      </w:r>
    </w:p>
    <w:p w14:paraId="6E29B81E" w14:textId="77777777" w:rsidR="000117F2" w:rsidRDefault="000117F2" w:rsidP="000117F2">
      <w:pPr>
        <w:pStyle w:val="ListParagraph"/>
        <w:numPr>
          <w:ilvl w:val="0"/>
          <w:numId w:val="10"/>
        </w:numPr>
        <w:rPr>
          <w:rFonts w:asciiTheme="minorHAnsi" w:hAnsiTheme="minorHAnsi" w:cstheme="minorBidi"/>
        </w:rPr>
      </w:pPr>
      <w:r>
        <w:rPr>
          <w:rFonts w:asciiTheme="minorHAnsi" w:hAnsiTheme="minorHAnsi" w:cstheme="minorBidi"/>
        </w:rPr>
        <w:t>Reviewer guidance was updated where appropriate.</w:t>
      </w:r>
    </w:p>
    <w:p w14:paraId="51893B87" w14:textId="77777777" w:rsidR="000117F2" w:rsidRDefault="000117F2" w:rsidP="000117F2">
      <w:pPr>
        <w:pStyle w:val="ListParagraph"/>
        <w:numPr>
          <w:ilvl w:val="0"/>
          <w:numId w:val="10"/>
        </w:numPr>
        <w:rPr>
          <w:rFonts w:asciiTheme="minorHAnsi" w:hAnsiTheme="minorHAnsi" w:cstheme="minorBidi"/>
        </w:rPr>
      </w:pPr>
      <w:r>
        <w:rPr>
          <w:rFonts w:asciiTheme="minorHAnsi" w:hAnsiTheme="minorHAnsi" w:cstheme="minorBidi"/>
        </w:rPr>
        <w:t>Findings were documented for continuous improvement.</w:t>
      </w:r>
    </w:p>
    <w:p w14:paraId="7F84C8AC" w14:textId="77777777" w:rsidR="00F934CE" w:rsidRDefault="00000000">
      <w:pPr>
        <w:pStyle w:val="Heading2"/>
      </w:pPr>
      <w:r>
        <w:t>Findings</w:t>
      </w:r>
    </w:p>
    <w:p w14:paraId="1BB3A313" w14:textId="77777777" w:rsidR="000117F2" w:rsidRPr="000117F2" w:rsidRDefault="000117F2" w:rsidP="000117F2">
      <w:pPr>
        <w:pStyle w:val="ListParagraph"/>
        <w:numPr>
          <w:ilvl w:val="0"/>
          <w:numId w:val="11"/>
        </w:numPr>
        <w:rPr>
          <w:rFonts w:asciiTheme="minorHAnsi" w:hAnsiTheme="minorHAnsi" w:cstheme="minorBidi"/>
        </w:rPr>
      </w:pPr>
      <w:r>
        <w:rPr>
          <w:rFonts w:asciiTheme="minorHAnsi" w:hAnsiTheme="minorHAnsi" w:cstheme="minorBidi"/>
        </w:rPr>
        <w:t>Reviewer agreement was highest on objective factual responses where correctness, grounding, and instruction adherence were easier to evaluate consistently.</w:t>
      </w:r>
    </w:p>
    <w:p w14:paraId="5583CD31" w14:textId="77777777" w:rsidR="000117F2" w:rsidRPr="000117F2" w:rsidRDefault="000117F2" w:rsidP="000117F2">
      <w:pPr>
        <w:pStyle w:val="ListParagraph"/>
        <w:numPr>
          <w:ilvl w:val="0"/>
          <w:numId w:val="11"/>
        </w:numPr>
        <w:rPr>
          <w:rFonts w:asciiTheme="minorHAnsi" w:hAnsiTheme="minorHAnsi" w:cstheme="minorBidi"/>
        </w:rPr>
      </w:pPr>
      <w:r>
        <w:rPr>
          <w:rFonts w:asciiTheme="minorHAnsi" w:hAnsiTheme="minorHAnsi" w:cstheme="minorBidi"/>
        </w:rPr>
        <w:t>Most disagreements occurred on subjective writing tasks, particularly where reviewers interpreted tone, completeness, or stylistic quality differently.</w:t>
      </w:r>
    </w:p>
    <w:p w14:paraId="3C63C0F8" w14:textId="77777777" w:rsidR="000117F2" w:rsidRPr="000117F2" w:rsidRDefault="000117F2" w:rsidP="000117F2">
      <w:pPr>
        <w:pStyle w:val="ListParagraph"/>
        <w:numPr>
          <w:ilvl w:val="0"/>
          <w:numId w:val="11"/>
        </w:numPr>
        <w:rPr>
          <w:rFonts w:asciiTheme="minorHAnsi" w:hAnsiTheme="minorHAnsi" w:cstheme="minorBidi"/>
        </w:rPr>
      </w:pPr>
      <w:r>
        <w:rPr>
          <w:rFonts w:asciiTheme="minorHAnsi" w:hAnsiTheme="minorHAnsi" w:cstheme="minorBidi"/>
        </w:rPr>
        <w:t>One safety-related response required escalation because reviewers applied policy interpretation thresholds differently during the initial review.</w:t>
      </w:r>
    </w:p>
    <w:p w14:paraId="59EEC0B6" w14:textId="77777777" w:rsidR="000117F2" w:rsidRPr="000117F2" w:rsidRDefault="000117F2" w:rsidP="000117F2">
      <w:pPr>
        <w:pStyle w:val="ListParagraph"/>
        <w:numPr>
          <w:ilvl w:val="0"/>
          <w:numId w:val="11"/>
        </w:numPr>
        <w:rPr>
          <w:rFonts w:asciiTheme="minorHAnsi" w:hAnsiTheme="minorHAnsi" w:cstheme="minorBidi"/>
        </w:rPr>
      </w:pPr>
      <w:r>
        <w:rPr>
          <w:rFonts w:asciiTheme="minorHAnsi" w:hAnsiTheme="minorHAnsi" w:cstheme="minorBidi"/>
        </w:rPr>
        <w:t>Calibration discussions improved reviewer consistency by clarifying decision criteria and aligning reviewers on how to handle ambiguous cases.</w:t>
      </w:r>
    </w:p>
    <w:p w14:paraId="3763DF0F" w14:textId="77777777" w:rsidR="000117F2" w:rsidRPr="000117F2" w:rsidRDefault="000117F2" w:rsidP="000117F2">
      <w:pPr>
        <w:pStyle w:val="ListParagraph"/>
        <w:numPr>
          <w:ilvl w:val="0"/>
          <w:numId w:val="11"/>
        </w:numPr>
        <w:rPr>
          <w:rFonts w:asciiTheme="minorHAnsi" w:hAnsiTheme="minorHAnsi" w:cstheme="minorBidi"/>
        </w:rPr>
      </w:pPr>
      <w:r>
        <w:rPr>
          <w:rFonts w:asciiTheme="minorHAnsi" w:hAnsiTheme="minorHAnsi" w:cstheme="minorBidi"/>
        </w:rPr>
        <w:t>Consensus was achieved across all 25 reviewed responses after calibration discussion and alignment.</w:t>
      </w:r>
    </w:p>
    <w:p w14:paraId="017ACE78" w14:textId="77777777" w:rsidR="000117F2" w:rsidRDefault="000117F2">
      <w:pPr>
        <w:pStyle w:val="Heading2"/>
        <w:rPr>
          <w:kern w:val="2"/>
          <w:lang w:val="en-IN" w:eastAsia="en-IN"/>
          <w14:ligatures w14:val="standardContextual"/>
        </w:rPr>
      </w:pPr>
      <w:r>
        <w:t>Root Cause Analysis</w:t>
      </w:r>
    </w:p>
    <w:tbl>
      <w:tblPr>
        <w:tblStyle w:val="GridTable4-Accent1"/>
        <w:tblW w:w="5000" w:type="pct"/>
        <w:tblLook w:val="04A0" w:firstRow="1" w:lastRow="0" w:firstColumn="1" w:lastColumn="0" w:noHBand="0" w:noVBand="1"/>
      </w:tblPr>
      <w:tblGrid>
        <w:gridCol w:w="2209"/>
        <w:gridCol w:w="1896"/>
        <w:gridCol w:w="4751"/>
      </w:tblGrid>
      <w:tr w:rsidR="000117F2" w14:paraId="73F0944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hideMark/>
          </w:tcPr>
          <w:p w14:paraId="7D00901D" w14:textId="77777777" w:rsidR="000117F2" w:rsidRDefault="000117F2">
            <w:pPr>
              <w:rPr>
                <w:color w:val="FFFFFF"/>
                <w:kern w:val="2"/>
                <w:lang w:val="en-IN" w:eastAsia="en-IN"/>
                <w14:ligatures w14:val="standardContextual"/>
              </w:rPr>
            </w:pPr>
            <w:r>
              <w:rPr>
                <w:b w:val="0"/>
                <w:bCs w:val="0"/>
                <w:color w:val="FFFFFF"/>
              </w:rPr>
              <w:t>Observation</w:t>
            </w:r>
          </w:p>
        </w:tc>
        <w:tc>
          <w:tcPr>
            <w:tcW w:w="0" w:type="auto"/>
            <w:shd w:val="clear" w:color="auto" w:fill="1F4E79"/>
            <w:hideMark/>
          </w:tcPr>
          <w:p w14:paraId="19A5B0C2" w14:textId="77777777" w:rsidR="000117F2" w:rsidRDefault="000117F2">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Root Cause</w:t>
            </w:r>
          </w:p>
        </w:tc>
        <w:tc>
          <w:tcPr>
            <w:tcW w:w="0" w:type="auto"/>
            <w:shd w:val="clear" w:color="auto" w:fill="1F4E79"/>
            <w:hideMark/>
          </w:tcPr>
          <w:p w14:paraId="047ABEA6" w14:textId="77777777" w:rsidR="000117F2" w:rsidRDefault="000117F2">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Improvement</w:t>
            </w:r>
          </w:p>
        </w:tc>
      </w:tr>
      <w:tr w:rsidR="000117F2" w14:paraId="7D0D32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hideMark/>
          </w:tcPr>
          <w:p w14:paraId="6F7688C4" w14:textId="77777777" w:rsidR="000117F2" w:rsidRDefault="000117F2">
            <w:r>
              <w:t>Creative writing disagreements</w:t>
            </w:r>
          </w:p>
        </w:tc>
        <w:tc>
          <w:tcPr>
            <w:tcW w:w="0" w:type="auto"/>
            <w:shd w:val="clear" w:color="auto" w:fill="D9EAF7"/>
            <w:hideMark/>
          </w:tcPr>
          <w:p w14:paraId="3169C0F6" w14:textId="77777777" w:rsidR="000117F2" w:rsidRDefault="000117F2">
            <w:pPr>
              <w:cnfStyle w:val="000000100000" w:firstRow="0" w:lastRow="0" w:firstColumn="0" w:lastColumn="0" w:oddVBand="0" w:evenVBand="0" w:oddHBand="1" w:evenHBand="0" w:firstRowFirstColumn="0" w:firstRowLastColumn="0" w:lastRowFirstColumn="0" w:lastRowLastColumn="0"/>
            </w:pPr>
            <w:r>
              <w:t>Subjective interpretation</w:t>
            </w:r>
          </w:p>
        </w:tc>
        <w:tc>
          <w:tcPr>
            <w:tcW w:w="0" w:type="auto"/>
            <w:shd w:val="clear" w:color="auto" w:fill="D9EAF7"/>
            <w:hideMark/>
          </w:tcPr>
          <w:p w14:paraId="411C7DA6" w14:textId="22914048" w:rsidR="000117F2" w:rsidRDefault="00000000" w:rsidP="00E83D5F">
            <w:pPr>
              <w:cnfStyle w:val="000000100000" w:firstRow="0" w:lastRow="0" w:firstColumn="0" w:lastColumn="0" w:oddVBand="0" w:evenVBand="0" w:oddHBand="1" w:evenHBand="0" w:firstRowFirstColumn="0" w:firstRowLastColumn="0" w:lastRowFirstColumn="0" w:lastRowLastColumn="0"/>
            </w:pPr>
            <w:r>
              <w:t xml:space="preserve">Add additional calibration examples for </w:t>
            </w:r>
            <w:r>
              <w:rPr>
                <w:color w:val="000000"/>
              </w:rPr>
              <w:t xml:space="preserve">clarity, </w:t>
            </w:r>
            <w:r>
              <w:t>completeness</w:t>
            </w:r>
            <w:r>
              <w:rPr>
                <w:color w:val="000000"/>
              </w:rPr>
              <w:t>, relevance, and instruction following</w:t>
            </w:r>
            <w:r>
              <w:t>.</w:t>
            </w:r>
          </w:p>
        </w:tc>
      </w:tr>
      <w:tr w:rsidR="000117F2" w14:paraId="47EB00C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E62D915" w14:textId="77777777" w:rsidR="000117F2" w:rsidRDefault="000117F2">
            <w:r>
              <w:t>Safety disagreement</w:t>
            </w:r>
          </w:p>
        </w:tc>
        <w:tc>
          <w:tcPr>
            <w:tcW w:w="0" w:type="auto"/>
            <w:hideMark/>
          </w:tcPr>
          <w:p w14:paraId="312EE926" w14:textId="77777777" w:rsidR="000117F2" w:rsidRDefault="000117F2">
            <w:pPr>
              <w:cnfStyle w:val="000000000000" w:firstRow="0" w:lastRow="0" w:firstColumn="0" w:lastColumn="0" w:oddVBand="0" w:evenVBand="0" w:oddHBand="0" w:evenHBand="0" w:firstRowFirstColumn="0" w:firstRowLastColumn="0" w:lastRowFirstColumn="0" w:lastRowLastColumn="0"/>
            </w:pPr>
            <w:r>
              <w:t>Policy interpretation</w:t>
            </w:r>
          </w:p>
        </w:tc>
        <w:tc>
          <w:tcPr>
            <w:tcW w:w="0" w:type="auto"/>
            <w:hideMark/>
          </w:tcPr>
          <w:p w14:paraId="6FB32DA5" w14:textId="77777777" w:rsidR="000117F2" w:rsidRDefault="000117F2">
            <w:pPr>
              <w:cnfStyle w:val="000000000000" w:firstRow="0" w:lastRow="0" w:firstColumn="0" w:lastColumn="0" w:oddVBand="0" w:evenVBand="0" w:oddHBand="0" w:evenHBand="0" w:firstRowFirstColumn="0" w:firstRowLastColumn="0" w:lastRowFirstColumn="0" w:lastRowLastColumn="0"/>
            </w:pPr>
            <w:r>
              <w:t>Improve safety guidance and escalation thresholds.</w:t>
            </w:r>
          </w:p>
        </w:tc>
      </w:tr>
      <w:tr w:rsidR="000117F2" w14:paraId="09BD55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hideMark/>
          </w:tcPr>
          <w:p w14:paraId="1D8A03F3" w14:textId="77777777" w:rsidR="000117F2" w:rsidRDefault="000117F2">
            <w:r>
              <w:t>Reasoning differences</w:t>
            </w:r>
          </w:p>
        </w:tc>
        <w:tc>
          <w:tcPr>
            <w:tcW w:w="0" w:type="auto"/>
            <w:shd w:val="clear" w:color="auto" w:fill="D9EAF7"/>
            <w:hideMark/>
          </w:tcPr>
          <w:p w14:paraId="52C64E74" w14:textId="77777777" w:rsidR="000117F2" w:rsidRDefault="000117F2">
            <w:pPr>
              <w:cnfStyle w:val="000000100000" w:firstRow="0" w:lastRow="0" w:firstColumn="0" w:lastColumn="0" w:oddVBand="0" w:evenVBand="0" w:oddHBand="1" w:evenHBand="0" w:firstRowFirstColumn="0" w:firstRowLastColumn="0" w:lastRowFirstColumn="0" w:lastRowLastColumn="0"/>
            </w:pPr>
            <w:r>
              <w:t>Scoring inconsistency</w:t>
            </w:r>
          </w:p>
        </w:tc>
        <w:tc>
          <w:tcPr>
            <w:tcW w:w="0" w:type="auto"/>
            <w:shd w:val="clear" w:color="auto" w:fill="D9EAF7"/>
            <w:hideMark/>
          </w:tcPr>
          <w:p w14:paraId="1CBC956E" w14:textId="77777777" w:rsidR="000117F2" w:rsidRDefault="000117F2">
            <w:pPr>
              <w:cnfStyle w:val="000000100000" w:firstRow="0" w:lastRow="0" w:firstColumn="0" w:lastColumn="0" w:oddVBand="0" w:evenVBand="0" w:oddHBand="1" w:evenHBand="0" w:firstRowFirstColumn="0" w:firstRowLastColumn="0" w:lastRowFirstColumn="0" w:lastRowLastColumn="0"/>
            </w:pPr>
            <w:r>
              <w:t>Update reviewer guidance with clearer scoring anchors.</w:t>
            </w:r>
          </w:p>
        </w:tc>
      </w:tr>
    </w:tbl>
    <w:p w14:paraId="15906A09" w14:textId="77777777" w:rsidR="00F934CE" w:rsidRDefault="00000000">
      <w:pPr>
        <w:pStyle w:val="Heading2"/>
      </w:pPr>
      <w:r>
        <w:lastRenderedPageBreak/>
        <w:t>Recommendations</w:t>
      </w:r>
    </w:p>
    <w:p w14:paraId="4CD33FB8" w14:textId="77777777" w:rsidR="000117F2" w:rsidRPr="000117F2" w:rsidRDefault="000117F2" w:rsidP="000117F2">
      <w:pPr>
        <w:pStyle w:val="ListParagraph"/>
        <w:numPr>
          <w:ilvl w:val="0"/>
          <w:numId w:val="12"/>
        </w:numPr>
        <w:rPr>
          <w:rFonts w:asciiTheme="minorHAnsi" w:hAnsiTheme="minorHAnsi" w:cstheme="minorBidi"/>
        </w:rPr>
      </w:pPr>
      <w:r>
        <w:rPr>
          <w:rFonts w:asciiTheme="minorHAnsi" w:hAnsiTheme="minorHAnsi" w:cstheme="minorBidi"/>
        </w:rPr>
        <w:t>Conduct weekly reviewer calibration sessions to reinforce consistent application of evaluation criteria.</w:t>
      </w:r>
    </w:p>
    <w:p w14:paraId="59BFF650" w14:textId="77777777" w:rsidR="000117F2" w:rsidRPr="00371690" w:rsidRDefault="00000000" w:rsidP="00371690">
      <w:pPr>
        <w:pStyle w:val="ListParagraph"/>
        <w:numPr>
          <w:ilvl w:val="0"/>
          <w:numId w:val="12"/>
        </w:numPr>
        <w:rPr>
          <w:rFonts w:asciiTheme="minorHAnsi" w:hAnsiTheme="minorHAnsi" w:cstheme="minorBidi"/>
        </w:rPr>
      </w:pPr>
      <w:r>
        <w:rPr>
          <w:rFonts w:asciiTheme="minorHAnsi" w:hAnsiTheme="minorHAnsi" w:cstheme="minorBidi"/>
        </w:rPr>
        <w:t xml:space="preserve">Expand calibration examples, especially for </w:t>
      </w:r>
      <w:r>
        <w:rPr>
          <w:rFonts w:ascii="Cambria" w:hAnsi="Cambria"/>
        </w:rPr>
        <w:t>clarity, completeness</w:t>
      </w:r>
      <w:r>
        <w:rPr>
          <w:rFonts w:asciiTheme="minorHAnsi" w:hAnsiTheme="minorHAnsi" w:cstheme="minorBidi"/>
        </w:rPr>
        <w:t>, reasoning</w:t>
      </w:r>
      <w:r>
        <w:rPr>
          <w:rFonts w:ascii="Cambria" w:hAnsi="Cambria"/>
        </w:rPr>
        <w:t xml:space="preserve"> quality</w:t>
      </w:r>
      <w:r>
        <w:rPr>
          <w:rFonts w:asciiTheme="minorHAnsi" w:hAnsiTheme="minorHAnsi" w:cstheme="minorBidi"/>
        </w:rPr>
        <w:t>, and safety-sensitive prompts.</w:t>
      </w:r>
    </w:p>
    <w:p w14:paraId="1E99EBD6" w14:textId="77777777" w:rsidR="000117F2" w:rsidRPr="0090312E" w:rsidRDefault="00000000" w:rsidP="0090312E">
      <w:pPr>
        <w:pStyle w:val="ListParagraph"/>
        <w:numPr>
          <w:ilvl w:val="0"/>
          <w:numId w:val="12"/>
        </w:numPr>
        <w:rPr>
          <w:rFonts w:asciiTheme="minorHAnsi" w:hAnsiTheme="minorHAnsi" w:cstheme="minorBidi"/>
        </w:rPr>
      </w:pPr>
      <w:r>
        <w:rPr>
          <w:rFonts w:asciiTheme="minorHAnsi" w:hAnsiTheme="minorHAnsi" w:cstheme="minorBidi"/>
        </w:rPr>
        <w:t>Improve guidance for subjective prompts by adding clearer scoring anchors and representative examples</w:t>
      </w:r>
      <w:r>
        <w:rPr>
          <w:rFonts w:ascii="Cambria" w:hAnsi="Cambria"/>
        </w:rPr>
        <w:t xml:space="preserve"> for clarity, completeness, and relevance</w:t>
      </w:r>
      <w:r>
        <w:rPr>
          <w:rFonts w:asciiTheme="minorHAnsi" w:hAnsiTheme="minorHAnsi" w:cstheme="minorBidi"/>
        </w:rPr>
        <w:t>.</w:t>
      </w:r>
    </w:p>
    <w:p w14:paraId="4109185A" w14:textId="77777777" w:rsidR="000117F2" w:rsidRPr="000117F2" w:rsidRDefault="000117F2" w:rsidP="000117F2">
      <w:pPr>
        <w:pStyle w:val="ListParagraph"/>
        <w:numPr>
          <w:ilvl w:val="0"/>
          <w:numId w:val="12"/>
        </w:numPr>
        <w:rPr>
          <w:rFonts w:asciiTheme="minorHAnsi" w:hAnsiTheme="minorHAnsi" w:cstheme="minorBidi"/>
        </w:rPr>
      </w:pPr>
      <w:r>
        <w:rPr>
          <w:rFonts w:asciiTheme="minorHAnsi" w:hAnsiTheme="minorHAnsi" w:cstheme="minorBidi"/>
        </w:rPr>
        <w:t>Standardize tie-breaking rules for cases where reviewers apply different scoring thresholds.</w:t>
      </w:r>
    </w:p>
    <w:p w14:paraId="14F7FD3B" w14:textId="77777777" w:rsidR="000117F2" w:rsidRPr="000117F2" w:rsidRDefault="000117F2" w:rsidP="000117F2">
      <w:pPr>
        <w:pStyle w:val="ListParagraph"/>
        <w:numPr>
          <w:ilvl w:val="0"/>
          <w:numId w:val="12"/>
        </w:numPr>
        <w:rPr>
          <w:rFonts w:asciiTheme="minorHAnsi" w:hAnsiTheme="minorHAnsi" w:cstheme="minorBidi"/>
        </w:rPr>
      </w:pPr>
      <w:r>
        <w:rPr>
          <w:rFonts w:asciiTheme="minorHAnsi" w:hAnsiTheme="minorHAnsi" w:cstheme="minorBidi"/>
        </w:rPr>
        <w:t>Increase safety-focused calibration to improve escalation consistency.</w:t>
      </w:r>
    </w:p>
    <w:p w14:paraId="08BA6D52" w14:textId="77777777" w:rsidR="000117F2" w:rsidRPr="000117F2" w:rsidRDefault="000117F2" w:rsidP="000117F2">
      <w:pPr>
        <w:pStyle w:val="ListParagraph"/>
        <w:numPr>
          <w:ilvl w:val="0"/>
          <w:numId w:val="12"/>
        </w:numPr>
        <w:rPr>
          <w:rFonts w:asciiTheme="minorHAnsi" w:hAnsiTheme="minorHAnsi" w:cstheme="minorBidi"/>
        </w:rPr>
      </w:pPr>
      <w:r>
        <w:rPr>
          <w:rFonts w:asciiTheme="minorHAnsi" w:hAnsiTheme="minorHAnsi" w:cstheme="minorBidi"/>
        </w:rPr>
        <w:t>Periodically review reviewer agreement metrics to identify drift and recurring disagreement patterns.</w:t>
      </w:r>
    </w:p>
    <w:p w14:paraId="73008EB2" w14:textId="77777777" w:rsidR="000117F2" w:rsidRPr="000117F2" w:rsidRDefault="000117F2" w:rsidP="000117F2">
      <w:pPr>
        <w:pStyle w:val="ListParagraph"/>
        <w:numPr>
          <w:ilvl w:val="0"/>
          <w:numId w:val="12"/>
        </w:numPr>
        <w:rPr>
          <w:rFonts w:asciiTheme="minorHAnsi" w:hAnsiTheme="minorHAnsi" w:cstheme="minorBidi"/>
        </w:rPr>
      </w:pPr>
      <w:r>
        <w:rPr>
          <w:rFonts w:asciiTheme="minorHAnsi" w:hAnsiTheme="minorHAnsi" w:cstheme="minorBidi"/>
        </w:rPr>
        <w:t>Update annotation guidelines based on calibration findings and documented consensus decisions.</w:t>
      </w:r>
    </w:p>
    <w:p w14:paraId="72D07C12" w14:textId="77777777" w:rsidR="000117F2" w:rsidRDefault="000117F2">
      <w:pPr>
        <w:pStyle w:val="Heading2"/>
        <w:rPr>
          <w:kern w:val="2"/>
          <w:lang w:val="en-IN" w:eastAsia="en-IN"/>
          <w14:ligatures w14:val="standardContextual"/>
        </w:rPr>
      </w:pPr>
      <w:r>
        <w:t>Action Plan</w:t>
      </w:r>
    </w:p>
    <w:tbl>
      <w:tblPr>
        <w:tblStyle w:val="GridTable4-Accent1"/>
        <w:tblW w:w="5000" w:type="pct"/>
        <w:tblLook w:val="04A0" w:firstRow="1" w:lastRow="0" w:firstColumn="1" w:lastColumn="0" w:noHBand="0" w:noVBand="1"/>
      </w:tblPr>
      <w:tblGrid>
        <w:gridCol w:w="4181"/>
        <w:gridCol w:w="2854"/>
        <w:gridCol w:w="1821"/>
      </w:tblGrid>
      <w:tr w:rsidR="000117F2" w14:paraId="2E44D8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hideMark/>
          </w:tcPr>
          <w:p w14:paraId="5813C8DB" w14:textId="77777777" w:rsidR="000117F2" w:rsidRDefault="000117F2">
            <w:pPr>
              <w:rPr>
                <w:color w:val="FFFFFF"/>
                <w:kern w:val="2"/>
                <w:lang w:val="en-IN" w:eastAsia="en-IN"/>
                <w14:ligatures w14:val="standardContextual"/>
              </w:rPr>
            </w:pPr>
            <w:r>
              <w:rPr>
                <w:b w:val="0"/>
                <w:bCs w:val="0"/>
                <w:color w:val="FFFFFF"/>
              </w:rPr>
              <w:t>Action</w:t>
            </w:r>
          </w:p>
        </w:tc>
        <w:tc>
          <w:tcPr>
            <w:tcW w:w="0" w:type="auto"/>
            <w:shd w:val="clear" w:color="auto" w:fill="1F4E79"/>
            <w:hideMark/>
          </w:tcPr>
          <w:p w14:paraId="0A0D574C" w14:textId="77777777" w:rsidR="000117F2" w:rsidRDefault="000117F2">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Owner</w:t>
            </w:r>
          </w:p>
        </w:tc>
        <w:tc>
          <w:tcPr>
            <w:tcW w:w="0" w:type="auto"/>
            <w:shd w:val="clear" w:color="auto" w:fill="1F4E79"/>
            <w:hideMark/>
          </w:tcPr>
          <w:p w14:paraId="3CDABB01" w14:textId="77777777" w:rsidR="000117F2" w:rsidRDefault="000117F2">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Timeline</w:t>
            </w:r>
          </w:p>
        </w:tc>
      </w:tr>
      <w:tr w:rsidR="000117F2" w14:paraId="171815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hideMark/>
          </w:tcPr>
          <w:p w14:paraId="2229D723" w14:textId="77777777" w:rsidR="000117F2" w:rsidRDefault="000117F2">
            <w:r>
              <w:t>Weekly Reviewer Calibration</w:t>
            </w:r>
          </w:p>
        </w:tc>
        <w:tc>
          <w:tcPr>
            <w:tcW w:w="0" w:type="auto"/>
            <w:shd w:val="clear" w:color="auto" w:fill="D9EAF7"/>
            <w:hideMark/>
          </w:tcPr>
          <w:p w14:paraId="3A2F2E29" w14:textId="77777777" w:rsidR="000117F2" w:rsidRDefault="000117F2">
            <w:pPr>
              <w:cnfStyle w:val="000000100000" w:firstRow="0" w:lastRow="0" w:firstColumn="0" w:lastColumn="0" w:oddVBand="0" w:evenVBand="0" w:oddHBand="1" w:evenHBand="0" w:firstRowFirstColumn="0" w:firstRowLastColumn="0" w:lastRowFirstColumn="0" w:lastRowLastColumn="0"/>
            </w:pPr>
            <w:r>
              <w:t>Quality Lead</w:t>
            </w:r>
          </w:p>
        </w:tc>
        <w:tc>
          <w:tcPr>
            <w:tcW w:w="0" w:type="auto"/>
            <w:shd w:val="clear" w:color="auto" w:fill="D9EAF7"/>
            <w:hideMark/>
          </w:tcPr>
          <w:p w14:paraId="3F0AA992" w14:textId="77777777" w:rsidR="000117F2" w:rsidRDefault="000117F2">
            <w:pPr>
              <w:cnfStyle w:val="000000100000" w:firstRow="0" w:lastRow="0" w:firstColumn="0" w:lastColumn="0" w:oddVBand="0" w:evenVBand="0" w:oddHBand="1" w:evenHBand="0" w:firstRowFirstColumn="0" w:firstRowLastColumn="0" w:lastRowFirstColumn="0" w:lastRowLastColumn="0"/>
            </w:pPr>
            <w:r>
              <w:t>Weekly</w:t>
            </w:r>
          </w:p>
        </w:tc>
      </w:tr>
      <w:tr w:rsidR="000117F2" w14:paraId="074265F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F39EC7" w14:textId="77777777" w:rsidR="000117F2" w:rsidRDefault="000117F2">
            <w:r>
              <w:t>Update Reviewer Guide</w:t>
            </w:r>
          </w:p>
        </w:tc>
        <w:tc>
          <w:tcPr>
            <w:tcW w:w="0" w:type="auto"/>
            <w:hideMark/>
          </w:tcPr>
          <w:p w14:paraId="4A1EF50F" w14:textId="77777777" w:rsidR="000117F2" w:rsidRDefault="000117F2">
            <w:pPr>
              <w:cnfStyle w:val="000000000000" w:firstRow="0" w:lastRow="0" w:firstColumn="0" w:lastColumn="0" w:oddVBand="0" w:evenVBand="0" w:oddHBand="0" w:evenHBand="0" w:firstRowFirstColumn="0" w:firstRowLastColumn="0" w:lastRowFirstColumn="0" w:lastRowLastColumn="0"/>
            </w:pPr>
            <w:r>
              <w:t>Senior Reviewer</w:t>
            </w:r>
          </w:p>
        </w:tc>
        <w:tc>
          <w:tcPr>
            <w:tcW w:w="0" w:type="auto"/>
            <w:hideMark/>
          </w:tcPr>
          <w:p w14:paraId="20AC2634" w14:textId="77777777" w:rsidR="000117F2" w:rsidRDefault="000117F2">
            <w:pPr>
              <w:cnfStyle w:val="000000000000" w:firstRow="0" w:lastRow="0" w:firstColumn="0" w:lastColumn="0" w:oddVBand="0" w:evenVBand="0" w:oddHBand="0" w:evenHBand="0" w:firstRowFirstColumn="0" w:firstRowLastColumn="0" w:lastRowFirstColumn="0" w:lastRowLastColumn="0"/>
            </w:pPr>
            <w:r>
              <w:t>Two Weeks</w:t>
            </w:r>
          </w:p>
        </w:tc>
      </w:tr>
      <w:tr w:rsidR="000117F2" w14:paraId="1FCE31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AF7"/>
            <w:hideMark/>
          </w:tcPr>
          <w:p w14:paraId="194F9798" w14:textId="77777777" w:rsidR="000117F2" w:rsidRDefault="000117F2">
            <w:r>
              <w:t>Expand Calibration Dataset</w:t>
            </w:r>
          </w:p>
        </w:tc>
        <w:tc>
          <w:tcPr>
            <w:tcW w:w="0" w:type="auto"/>
            <w:shd w:val="clear" w:color="auto" w:fill="D9EAF7"/>
            <w:hideMark/>
          </w:tcPr>
          <w:p w14:paraId="1D775F4A" w14:textId="77777777" w:rsidR="000117F2" w:rsidRDefault="000117F2">
            <w:pPr>
              <w:cnfStyle w:val="000000100000" w:firstRow="0" w:lastRow="0" w:firstColumn="0" w:lastColumn="0" w:oddVBand="0" w:evenVBand="0" w:oddHBand="1" w:evenHBand="0" w:firstRowFirstColumn="0" w:firstRowLastColumn="0" w:lastRowFirstColumn="0" w:lastRowLastColumn="0"/>
            </w:pPr>
            <w:r>
              <w:t>Annotation Team</w:t>
            </w:r>
          </w:p>
        </w:tc>
        <w:tc>
          <w:tcPr>
            <w:tcW w:w="0" w:type="auto"/>
            <w:shd w:val="clear" w:color="auto" w:fill="D9EAF7"/>
            <w:hideMark/>
          </w:tcPr>
          <w:p w14:paraId="078F4EC9" w14:textId="77777777" w:rsidR="000117F2" w:rsidRDefault="000117F2">
            <w:pPr>
              <w:cnfStyle w:val="000000100000" w:firstRow="0" w:lastRow="0" w:firstColumn="0" w:lastColumn="0" w:oddVBand="0" w:evenVBand="0" w:oddHBand="1" w:evenHBand="0" w:firstRowFirstColumn="0" w:firstRowLastColumn="0" w:lastRowFirstColumn="0" w:lastRowLastColumn="0"/>
            </w:pPr>
            <w:r>
              <w:t>Monthly</w:t>
            </w:r>
          </w:p>
        </w:tc>
      </w:tr>
      <w:tr w:rsidR="000117F2" w14:paraId="69F51A6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4531208" w14:textId="77777777" w:rsidR="000117F2" w:rsidRDefault="000117F2">
            <w:r>
              <w:t>Review Safety Guidance</w:t>
            </w:r>
          </w:p>
        </w:tc>
        <w:tc>
          <w:tcPr>
            <w:tcW w:w="0" w:type="auto"/>
            <w:hideMark/>
          </w:tcPr>
          <w:p w14:paraId="41E79240" w14:textId="77777777" w:rsidR="000117F2" w:rsidRDefault="000117F2">
            <w:pPr>
              <w:cnfStyle w:val="000000000000" w:firstRow="0" w:lastRow="0" w:firstColumn="0" w:lastColumn="0" w:oddVBand="0" w:evenVBand="0" w:oddHBand="0" w:evenHBand="0" w:firstRowFirstColumn="0" w:firstRowLastColumn="0" w:lastRowFirstColumn="0" w:lastRowLastColumn="0"/>
            </w:pPr>
            <w:r>
              <w:t>Trust &amp; Safety Lead</w:t>
            </w:r>
          </w:p>
        </w:tc>
        <w:tc>
          <w:tcPr>
            <w:tcW w:w="0" w:type="auto"/>
            <w:hideMark/>
          </w:tcPr>
          <w:p w14:paraId="6BE276D1" w14:textId="77777777" w:rsidR="000117F2" w:rsidRDefault="000117F2">
            <w:pPr>
              <w:cnfStyle w:val="000000000000" w:firstRow="0" w:lastRow="0" w:firstColumn="0" w:lastColumn="0" w:oddVBand="0" w:evenVBand="0" w:oddHBand="0" w:evenHBand="0" w:firstRowFirstColumn="0" w:firstRowLastColumn="0" w:lastRowFirstColumn="0" w:lastRowLastColumn="0"/>
            </w:pPr>
            <w:r>
              <w:t>Monthly</w:t>
            </w:r>
          </w:p>
        </w:tc>
      </w:tr>
    </w:tbl>
    <w:p w14:paraId="0092FEB9" w14:textId="77777777" w:rsidR="000117F2" w:rsidRDefault="000117F2">
      <w:pPr>
        <w:pStyle w:val="Heading2"/>
        <w:rPr>
          <w:kern w:val="2"/>
          <w:lang w:val="en-IN" w:eastAsia="en-IN"/>
          <w14:ligatures w14:val="standardContextual"/>
        </w:rPr>
      </w:pPr>
      <w:r>
        <w:t>Lessons Learned</w:t>
      </w:r>
    </w:p>
    <w:p w14:paraId="21FA19EE" w14:textId="77777777" w:rsidR="000117F2" w:rsidRPr="000117F2" w:rsidRDefault="000117F2" w:rsidP="000117F2">
      <w:pPr>
        <w:pStyle w:val="ListParagraph"/>
        <w:numPr>
          <w:ilvl w:val="0"/>
          <w:numId w:val="13"/>
        </w:numPr>
        <w:rPr>
          <w:rFonts w:asciiTheme="minorHAnsi" w:hAnsiTheme="minorHAnsi" w:cstheme="minorBidi"/>
        </w:rPr>
      </w:pPr>
      <w:r>
        <w:rPr>
          <w:rFonts w:asciiTheme="minorHAnsi" w:hAnsiTheme="minorHAnsi" w:cstheme="minorBidi"/>
        </w:rPr>
        <w:t>Calibration improves reviewer consistency by creating a shared interpretation of evaluation standards.</w:t>
      </w:r>
    </w:p>
    <w:p w14:paraId="12C193C2" w14:textId="77777777" w:rsidR="000117F2" w:rsidRDefault="000117F2" w:rsidP="000117F2">
      <w:pPr>
        <w:pStyle w:val="ListParagraph"/>
        <w:numPr>
          <w:ilvl w:val="0"/>
          <w:numId w:val="13"/>
        </w:numPr>
        <w:rPr>
          <w:rFonts w:asciiTheme="minorHAnsi" w:hAnsiTheme="minorHAnsi" w:cstheme="minorBidi"/>
        </w:rPr>
      </w:pPr>
      <w:r>
        <w:rPr>
          <w:rFonts w:asciiTheme="minorHAnsi" w:hAnsiTheme="minorHAnsi" w:cstheme="minorBidi"/>
        </w:rPr>
        <w:t>Objective prompts achieve higher agreement because success criteria are more directly measurable.</w:t>
      </w:r>
    </w:p>
    <w:p w14:paraId="274E3A37" w14:textId="77777777" w:rsidR="000117F2" w:rsidRDefault="000117F2" w:rsidP="000117F2">
      <w:pPr>
        <w:pStyle w:val="ListParagraph"/>
        <w:numPr>
          <w:ilvl w:val="0"/>
          <w:numId w:val="13"/>
        </w:numPr>
        <w:rPr>
          <w:rFonts w:asciiTheme="minorHAnsi" w:hAnsiTheme="minorHAnsi" w:cstheme="minorBidi"/>
        </w:rPr>
      </w:pPr>
      <w:r>
        <w:rPr>
          <w:rFonts w:asciiTheme="minorHAnsi" w:hAnsiTheme="minorHAnsi" w:cstheme="minorBidi"/>
        </w:rPr>
        <w:t>Safety scenarios benefit from clear escalation guidance and practical examples.</w:t>
      </w:r>
    </w:p>
    <w:p w14:paraId="7F1C276B" w14:textId="77777777" w:rsidR="000117F2" w:rsidRDefault="000117F2" w:rsidP="000117F2">
      <w:pPr>
        <w:pStyle w:val="ListParagraph"/>
        <w:numPr>
          <w:ilvl w:val="0"/>
          <w:numId w:val="13"/>
        </w:numPr>
        <w:rPr>
          <w:rFonts w:asciiTheme="minorHAnsi" w:hAnsiTheme="minorHAnsi" w:cstheme="minorBidi"/>
        </w:rPr>
      </w:pPr>
      <w:r>
        <w:rPr>
          <w:rFonts w:asciiTheme="minorHAnsi" w:hAnsiTheme="minorHAnsi" w:cstheme="minorBidi"/>
        </w:rPr>
        <w:t>Reviewer discussions improve scoring consistency by resolving differences in judgment and interpretation.</w:t>
      </w:r>
    </w:p>
    <w:p w14:paraId="76213319" w14:textId="77777777" w:rsidR="000117F2" w:rsidRDefault="000117F2" w:rsidP="000117F2">
      <w:pPr>
        <w:pStyle w:val="ListParagraph"/>
        <w:numPr>
          <w:ilvl w:val="0"/>
          <w:numId w:val="13"/>
        </w:numPr>
        <w:rPr>
          <w:rFonts w:asciiTheme="minorHAnsi" w:hAnsiTheme="minorHAnsi" w:cstheme="minorBidi"/>
        </w:rPr>
      </w:pPr>
      <w:r>
        <w:rPr>
          <w:rFonts w:asciiTheme="minorHAnsi" w:hAnsiTheme="minorHAnsi" w:cstheme="minorBidi"/>
        </w:rPr>
        <w:t>Updated guidelines reduce future disagreements by documenting consensus decisions and recurring edge cases.</w:t>
      </w:r>
    </w:p>
    <w:p w14:paraId="2103B6B2" w14:textId="77777777" w:rsidR="000117F2" w:rsidRDefault="000117F2">
      <w:pPr>
        <w:pStyle w:val="Heading2"/>
        <w:rPr>
          <w:kern w:val="2"/>
          <w:lang w:val="en-IN" w:eastAsia="en-IN"/>
          <w14:ligatures w14:val="standardContextual"/>
        </w:rPr>
      </w:pPr>
      <w:r>
        <w:t>Conclusion</w:t>
      </w:r>
    </w:p>
    <w:p w14:paraId="6ABB8C97" w14:textId="77777777" w:rsidR="000117F2" w:rsidRDefault="000117F2">
      <w:pPr>
        <w:rPr>
          <w:kern w:val="2"/>
          <w:lang w:val="en-IN" w:eastAsia="en-IN"/>
          <w14:ligatures w14:val="standardContextual"/>
        </w:rPr>
      </w:pPr>
      <w:r>
        <w:t>The simulated reviewer calibration exercise demonstrated strong initial consistency, with 22 agreements across the 25-response calibration sample and an initial agreement rate of 88.0%. After structured discussion, consensus was achieved on all 25 responses, including one safety-related escalation that highlighted the value of clear policy interpretation and escalation guidance.</w:t>
      </w:r>
    </w:p>
    <w:p w14:paraId="44ABDC85" w14:textId="77777777" w:rsidR="000117F2" w:rsidRDefault="000117F2">
      <w:pPr>
        <w:rPr>
          <w:kern w:val="2"/>
          <w:lang w:val="en-IN" w:eastAsia="en-IN"/>
          <w14:ligatures w14:val="standardContextual"/>
        </w:rPr>
      </w:pPr>
      <w:r>
        <w:t xml:space="preserve">Overall, the results show that reviewer calibration supports consistent human evaluation, reduces scoring variance, and strengthens continuous improvement within an AI Quality governance model. The findings reinforce the importance of recurring calibration, updated </w:t>
        <w:lastRenderedPageBreak/>
        <w:t>reviewer guidance, and ongoing monitoring of agreement metrics in RLHF-style evaluation workflows.</w:t>
      </w:r>
    </w:p>
    <w:p w14:paraId="7BE975A4" w14:textId="77777777" w:rsidR="000117F2" w:rsidRDefault="000117F2">
      <w:pPr>
        <w:pStyle w:val="Heading2"/>
        <w:rPr>
          <w:kern w:val="2"/>
          <w:lang w:val="en-IN" w:eastAsia="en-IN"/>
          <w14:ligatures w14:val="standardContextual"/>
        </w:rPr>
      </w:pPr>
      <w:r>
        <w:t>Portfolio Note</w:t>
      </w:r>
    </w:p>
    <w:p w14:paraId="2F2C1EF2" w14:textId="77777777" w:rsidR="000117F2" w:rsidRDefault="000117F2">
      <w:pPr>
        <w:rPr>
          <w:kern w:val="2"/>
          <w:lang w:val="en-IN" w:eastAsia="en-IN"/>
          <w14:ligatures w14:val="standardContextual"/>
        </w:rPr>
      </w:pPr>
      <w:r>
        <w:t>This report summarizes a simulated reviewer calibration exercise created as part of the AI Quality Evaluation Framework portfolio project.</w:t>
      </w:r>
    </w:p>
    <w:p w14:paraId="74D32209" w14:textId="77777777" w:rsidR="000117F2" w:rsidRDefault="000117F2">
      <w:pPr>
        <w:rPr>
          <w:kern w:val="2"/>
          <w:lang w:val="en-IN" w:eastAsia="en-IN"/>
          <w14:ligatures w14:val="standardContextual"/>
        </w:rPr>
      </w:pPr>
      <w:r>
        <w:t>The reviewers, calibration metrics, governance activities, and findings are simulated for educational and portfolio demonstration purposes while reflecting common enterprise AI Quality and RLHF practices.</w:t>
      </w:r>
    </w:p>
    <w:p w14:paraId="50818E22" w14:textId="77777777" w:rsidR="000117F2" w:rsidRDefault="000117F2"/>
    <w:sectPr w:rsidR="000117F2" w:rsidSect="0090312E">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77AB" w14:textId="77777777" w:rsidR="00A90F5B" w:rsidRDefault="00A90F5B" w:rsidP="00445340">
      <w:pPr>
        <w:spacing w:after="0" w:line="240" w:lineRule="auto"/>
      </w:pPr>
      <w:r>
        <w:separator/>
      </w:r>
    </w:p>
  </w:endnote>
  <w:endnote w:type="continuationSeparator" w:id="0">
    <w:p w14:paraId="3E433E8D" w14:textId="77777777" w:rsidR="00A90F5B" w:rsidRDefault="00A90F5B" w:rsidP="00445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743E" w14:textId="77777777" w:rsidR="00445340" w:rsidRDefault="004453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3A53" w14:textId="100F398F" w:rsidR="00445340" w:rsidRDefault="0090312E" w:rsidP="00445340">
    <w:pPr>
      <w:pStyle w:val="Footer"/>
      <w:jc w:val="center"/>
    </w:pPr>
    <w:r>
      <w:t xml:space="preserve">Portfolio Simulation | Version 1.0 | Prepared By: Poulami Roy Chowdhury | Date: 11 July 2026 | Document Version: 1.0 | Page </w:t>
    </w:r>
    <w:r>
      <w:fldChar w:fldCharType="begin"/>
    </w:r>
    <w:r>
      <w:instrText xml:space="preserve"> PAGE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B306" w14:textId="77777777" w:rsidR="00445340" w:rsidRDefault="00445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EEB1" w14:textId="77777777" w:rsidR="00A90F5B" w:rsidRDefault="00A90F5B" w:rsidP="00445340">
      <w:pPr>
        <w:spacing w:after="0" w:line="240" w:lineRule="auto"/>
      </w:pPr>
      <w:r>
        <w:separator/>
      </w:r>
    </w:p>
  </w:footnote>
  <w:footnote w:type="continuationSeparator" w:id="0">
    <w:p w14:paraId="7F16966D" w14:textId="77777777" w:rsidR="00A90F5B" w:rsidRDefault="00A90F5B" w:rsidP="00445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1F7E" w14:textId="77777777" w:rsidR="00445340" w:rsidRDefault="004453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510F" w14:textId="1CCAC830" w:rsidR="00445340" w:rsidRDefault="0090312E" w:rsidP="00445340">
    <w:pPr>
      <w:pStyle w:val="Header"/>
      <w:jc w:val="center"/>
    </w:pPr>
    <w:r>
      <w:t>RLHF Reviewer Calibration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F524" w14:textId="77777777" w:rsidR="00445340" w:rsidRDefault="004453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A35FEF"/>
    <w:multiLevelType w:val="multilevel"/>
    <w:tmpl w:val="2808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81870"/>
    <w:multiLevelType w:val="multilevel"/>
    <w:tmpl w:val="898E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808D8"/>
    <w:multiLevelType w:val="multilevel"/>
    <w:tmpl w:val="0712B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C1EA1"/>
    <w:multiLevelType w:val="multilevel"/>
    <w:tmpl w:val="9E12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E32BD"/>
    <w:multiLevelType w:val="multilevel"/>
    <w:tmpl w:val="81E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C5C28"/>
    <w:multiLevelType w:val="multilevel"/>
    <w:tmpl w:val="5D9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208931">
    <w:abstractNumId w:val="8"/>
  </w:num>
  <w:num w:numId="2" w16cid:durableId="31803889">
    <w:abstractNumId w:val="6"/>
  </w:num>
  <w:num w:numId="3" w16cid:durableId="2116173733">
    <w:abstractNumId w:val="5"/>
  </w:num>
  <w:num w:numId="4" w16cid:durableId="74475596">
    <w:abstractNumId w:val="4"/>
  </w:num>
  <w:num w:numId="5" w16cid:durableId="246816186">
    <w:abstractNumId w:val="7"/>
  </w:num>
  <w:num w:numId="6" w16cid:durableId="147478764">
    <w:abstractNumId w:val="3"/>
  </w:num>
  <w:num w:numId="7" w16cid:durableId="734354311">
    <w:abstractNumId w:val="2"/>
  </w:num>
  <w:num w:numId="8" w16cid:durableId="116149690">
    <w:abstractNumId w:val="1"/>
  </w:num>
  <w:num w:numId="9" w16cid:durableId="510729529">
    <w:abstractNumId w:val="0"/>
  </w:num>
  <w:num w:numId="10" w16cid:durableId="1206521192">
    <w:abstractNumId w:val="11"/>
  </w:num>
  <w:num w:numId="11" w16cid:durableId="786318512">
    <w:abstractNumId w:val="12"/>
  </w:num>
  <w:num w:numId="12" w16cid:durableId="1435174453">
    <w:abstractNumId w:val="10"/>
  </w:num>
  <w:num w:numId="13" w16cid:durableId="1342927983">
    <w:abstractNumId w:val="14"/>
  </w:num>
  <w:num w:numId="14" w16cid:durableId="2009211267">
    <w:abstractNumId w:val="9"/>
  </w:num>
  <w:num w:numId="15" w16cid:durableId="1305654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F2"/>
    <w:rsid w:val="00034616"/>
    <w:rsid w:val="0006063C"/>
    <w:rsid w:val="000A4930"/>
    <w:rsid w:val="0015074B"/>
    <w:rsid w:val="0029639D"/>
    <w:rsid w:val="00326F90"/>
    <w:rsid w:val="00371690"/>
    <w:rsid w:val="00445340"/>
    <w:rsid w:val="004E4120"/>
    <w:rsid w:val="00647185"/>
    <w:rsid w:val="0090312E"/>
    <w:rsid w:val="00A90F5B"/>
    <w:rsid w:val="00AA1D8D"/>
    <w:rsid w:val="00B47730"/>
    <w:rsid w:val="00CB0664"/>
    <w:rsid w:val="00CD5B69"/>
    <w:rsid w:val="00E02F0A"/>
    <w:rsid w:val="00E062A8"/>
    <w:rsid w:val="00E35EB1"/>
    <w:rsid w:val="00E83D5F"/>
    <w:rsid w:val="00F934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97450"/>
  <w14:defaultImageDpi w14:val="300"/>
  <w15:docId w15:val="{9496C33E-B931-4943-9D8E-2F74C22E3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76" w:lineRule="atLeast"/>
    </w:pPr>
    <w:rPr>
      <w:rFonts w:ascii="Calibri" w:hAnsi="Calibri" w:cs="Calibri"/>
    </w:rPr>
  </w:style>
  <w:style w:type="paragraph" w:styleId="Heading1">
    <w:name w:val="heading 1"/>
    <w:basedOn w:val="Normal"/>
    <w:next w:val="Normal"/>
    <w:link w:val="Heading1Char"/>
    <w:uiPriority w:val="9"/>
    <w:qFormat/>
    <w:rsid w:val="00FC693F"/>
    <w:pPr>
      <w:keepNext/>
      <w:keepLines/>
      <w:spacing w:before="480" w:line="360" w:lineRule="atLeast"/>
      <w:outlineLvl w:val="0"/>
    </w:pPr>
    <w:rPr>
      <w:rFonts w:eastAsiaTheme="majorEastAsia"/>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20" w:line="300" w:lineRule="atLeast"/>
      <w:outlineLvl w:val="1"/>
    </w:pPr>
    <w:rPr>
      <w:rFonts w:eastAsiaTheme="majorEastAsia"/>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Theme="majorEastAsia" w:hAnsi="Calibri" w:cs="Calibri"/>
      <w:b/>
      <w:bCs/>
      <w:color w:val="17365D"/>
      <w:sz w:val="32"/>
      <w:szCs w:val="28"/>
    </w:rPr>
  </w:style>
  <w:style w:type="character" w:customStyle="1" w:styleId="Heading2Char">
    <w:name w:val="Heading 2 Char"/>
    <w:basedOn w:val="DefaultParagraphFont"/>
    <w:link w:val="Heading2"/>
    <w:uiPriority w:val="9"/>
    <w:rsid w:val="00FC693F"/>
    <w:rPr>
      <w:rFonts w:ascii="Calibri" w:eastAsiaTheme="majorEastAsia" w:hAnsi="Calibri" w:cs="Calibr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117F2"/>
    <w:pPr>
      <w:spacing w:before="100" w:beforeAutospacing="1" w:after="100" w:afterAutospacing="1" w:line="240" w:lineRule="auto"/>
    </w:pPr>
    <w:rPr>
      <w:rFonts w:ascii="Times New Roman" w:hAnsi="Times New Roman" w:cs="Times New Roman"/>
      <w:kern w:val="2"/>
      <w:sz w:val="24"/>
      <w:szCs w:val="24"/>
      <w:lang w:val="en-IN" w:eastAsia="en-IN"/>
      <w14:ligatures w14:val="standardContextual"/>
    </w:rPr>
  </w:style>
  <w:style w:type="table" w:styleId="GridTable4-Accent1">
    <w:name w:val="Grid Table 4 Accent 1"/>
    <w:basedOn w:val="TableNormal"/>
    <w:uiPriority w:val="49"/>
    <w:rsid w:val="000117F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794</Words>
  <Characters>5729</Characters>
  <Application>Microsoft Office Word</Application>
  <DocSecurity>0</DocSecurity>
  <Lines>163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Poulami Roy Chowdhury</cp:lastModifiedBy>
  <cp:revision>3</cp:revision>
  <dcterms:created xsi:type="dcterms:W3CDTF">2013-12-23T23:15:00Z</dcterms:created>
  <dcterms:modified xsi:type="dcterms:W3CDTF">2026-07-10T23:19:00Z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d695cbfc-9ce5-4fc9-821e-cf98674d87fa</vt:lpwstr>
  </property>
</Properties>
</file>