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B4F72"/>
          <w:sz w:val="64"/>
          <w:szCs w:val="64"/>
        </w:rPr>
        <w:t xml:space="preserve">LévisBiblio</w:t>
      </w:r>
    </w:p>
    <w:p>
      <w:pPr>
        <w:spacing w:before="120"/>
        <w:jc w:val="center"/>
      </w:pPr>
      <w:r>
        <w:rPr>
          <w:color w:val="555555"/>
          <w:sz w:val="30"/>
          <w:szCs w:val="30"/>
        </w:rPr>
        <w:t xml:space="preserve">Documentation fonctionnelle — v4.0</w:t>
      </w:r>
    </w:p>
    <w:p>
      <w:pPr>
        <w:spacing w:after="480" w:before="80"/>
        <w:jc w:val="center"/>
      </w:pPr>
      <w:r>
        <w:rPr>
          <w:i/>
          <w:iCs/>
          <w:color w:val="888888"/>
          <w:sz w:val="21"/>
          <w:szCs w:val="21"/>
        </w:rPr>
        <w:t xml:space="preserve">Projet citoyen open source  ·  Sans but lucratif  ·  Octobre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AF8" w:color="auto" w:val="clear"/>
            <w:tcMar>
              <w:top w:type="dxa" w:w="120"/>
              <w:left w:type="dxa" w:w="100"/>
              <w:bottom w:type="dxa" w:w="120"/>
              <w:right w:type="dxa" w:w="100"/>
            </w:tcMar>
          </w:tcPr>
          <w:p>
            <w:pPr>
              <w:jc w:val="center"/>
            </w:pPr>
            <w:r>
              <w:rPr>
                <w:b/>
                <w:bCs/>
                <w:color w:val="1B4F72"/>
                <w:sz w:val="20"/>
                <w:szCs w:val="20"/>
              </w:rPr>
              <w:t xml:space="preserve">Next.js 16 · React 19 · Mobile d’abord</w:t>
            </w:r>
          </w:p>
        </w:tc>
        <w:tc>
          <w:tcPr>
            <w:tcW w:type="dxa" w:w="3120"/>
            <w:tcBorders>
              <w:top w:val="none" w:color="FFFFFF" w:sz="0"/>
              <w:left w:val="none" w:color="FFFFFF" w:sz="0"/>
              <w:bottom w:val="none" w:color="FFFFFF" w:sz="0"/>
              <w:right w:val="none" w:color="FFFFFF" w:sz="0"/>
            </w:tcBorders>
            <w:shd w:fill="D5F5E3" w:color="auto" w:val="clear"/>
            <w:tcMar>
              <w:top w:type="dxa" w:w="120"/>
              <w:left w:type="dxa" w:w="100"/>
              <w:bottom w:type="dxa" w:w="120"/>
              <w:right w:type="dxa" w:w="100"/>
            </w:tcMar>
          </w:tcPr>
          <w:p>
            <w:pPr>
              <w:jc w:val="center"/>
            </w:pPr>
            <w:r>
              <w:rPr>
                <w:b/>
                <w:bCs/>
                <w:color w:val="1E8449"/>
                <w:sz w:val="20"/>
                <w:szCs w:val="20"/>
              </w:rPr>
              <w:t xml:space="preserve">Open source · Licence MIT</w:t>
            </w:r>
          </w:p>
        </w:tc>
        <w:tc>
          <w:tcPr>
            <w:tcW w:type="dxa" w:w="3120"/>
            <w:tcBorders>
              <w:top w:val="none" w:color="FFFFFF" w:sz="0"/>
              <w:left w:val="none" w:color="FFFFFF" w:sz="0"/>
              <w:bottom w:val="none" w:color="FFFFFF" w:sz="0"/>
              <w:right w:val="none" w:color="FFFFFF" w:sz="0"/>
            </w:tcBorders>
            <w:shd w:fill="FDEBD0" w:color="auto" w:val="clear"/>
            <w:tcMar>
              <w:top w:type="dxa" w:w="120"/>
              <w:left w:type="dxa" w:w="100"/>
              <w:bottom w:type="dxa" w:w="120"/>
              <w:right w:type="dxa" w:w="100"/>
            </w:tcMar>
          </w:tcPr>
          <w:p>
            <w:pPr>
              <w:jc w:val="center"/>
            </w:pPr>
            <w:r>
              <w:rPr>
                <w:b/>
                <w:bCs/>
                <w:color w:val="D35400"/>
                <w:sz w:val="20"/>
                <w:szCs w:val="20"/>
              </w:rPr>
              <w:t xml:space="preserve">Zéro BD · Aucune donnée personnelle stockée</w:t>
            </w:r>
          </w:p>
        </w:tc>
      </w:tr>
    </w:tbl>
    <w:p>
      <w:pPr>
        <w:spacing w:after="120"/>
      </w:pPr>
    </w:p>
    <w:p>
      <w:pPr>
        <w:pStyle w:val="Heading1"/>
        <w:keepNext/>
        <w:keepLines/>
        <w:spacing w:after="160" w:before="360"/>
      </w:pPr>
      <w:r>
        <w:rPr>
          <w:rFonts w:ascii="Arial" w:cs="Arial" w:eastAsia="Arial" w:hAnsi="Arial"/>
          <w:b/>
          <w:bCs/>
          <w:color w:val="1B4F72"/>
          <w:sz w:val="32"/>
          <w:szCs w:val="32"/>
        </w:rPr>
        <w:t xml:space="preserve">1. Vision et objectifs</w:t>
      </w:r>
    </w:p>
    <w:p>
      <w:pPr>
        <w:spacing w:after="120" w:line="276"/>
      </w:pPr>
      <w:r>
        <w:rPr>
          <w:color w:val="222222"/>
          <w:sz w:val="21"/>
          <w:szCs w:val="21"/>
        </w:rPr>
        <w:t xml:space="preserve">LévisBiblio est une application web pensée d’abord pour le téléphone. Elle offre aux citoyens de Lévis une façon simple et rapide de gérer leur dossier de bibliothèque et, à terme, de chercher dans tout le catalogue — imprimé et numérique — en un seul endroit.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F9E79F" w:sz="4"/>
              <w:left w:val="single" w:color="F9E79F" w:sz="4"/>
              <w:bottom w:val="single" w:color="F9E79F" w:sz="4"/>
              <w:right w:val="none" w:color="FFFFFF" w:sz="0"/>
            </w:tcBorders>
            <w:shd w:fill="FEF9E7" w:color="auto" w:val="clear"/>
            <w:tcMar>
              <w:top w:type="dxa" w:w="100"/>
              <w:left w:type="dxa" w:w="120"/>
              <w:bottom w:type="dxa" w:w="100"/>
              <w:right w:type="dxa" w:w="0"/>
            </w:tcMar>
          </w:tcPr>
          <w:p>
            <w:r>
              <w:rPr>
                <w:rFonts w:ascii="Segoe UI Emoji" w:cs="Segoe UI Emoji" w:eastAsia="Segoe UI Emoji" w:hAnsi="Segoe UI Emoji"/>
                <w:sz w:val="22"/>
                <w:szCs w:val="22"/>
              </w:rPr>
              <w:t xml:space="preserve">💡</w:t>
            </w:r>
          </w:p>
        </w:tc>
        <w:tc>
          <w:tcPr>
            <w:tcW w:type="dxa" w:w="8800"/>
            <w:tcBorders>
              <w:top w:val="single" w:color="F9E79F" w:sz="4"/>
              <w:left w:val="none" w:color="FFFFFF" w:sz="0"/>
              <w:bottom w:val="single" w:color="F9E79F" w:sz="4"/>
              <w:right w:val="single" w:color="F9E79F" w:sz="4"/>
            </w:tcBorders>
            <w:shd w:fill="FEF9E7" w:color="auto" w:val="clear"/>
            <w:tcMar>
              <w:top w:type="dxa" w:w="100"/>
              <w:left w:type="dxa" w:w="80"/>
              <w:bottom w:type="dxa" w:w="100"/>
              <w:right w:type="dxa" w:w="160"/>
            </w:tcMar>
          </w:tcPr>
          <w:p>
            <w:pPr>
              <w:spacing w:after="40" w:line="276"/>
            </w:pPr>
            <w:r>
              <w:rPr>
                <w:i/>
                <w:iCs/>
                <w:color w:val="2C3E50"/>
                <w:sz w:val="21"/>
                <w:szCs w:val="21"/>
              </w:rPr>
              <w:t xml:space="preserve">Positionnement : LévisBiblio ne remplace pas les outils de la Ville. C’est une interface moderne posée par-dessus l’infrastructure existante (SirsiDynix, PrêtNumérique), qui en facilite l’usage sans en modifier le fonctionnement.</w:t>
            </w:r>
          </w:p>
        </w:tc>
      </w:tr>
    </w:tbl>
    <w:p>
      <w:pPr>
        <w:spacing w:after="120"/>
      </w:pPr>
    </w:p>
    <w:p>
      <w:pPr>
        <w:pStyle w:val="Heading2"/>
        <w:keepNext/>
        <w:keepLines/>
        <w:spacing w:after="120" w:before="240"/>
      </w:pPr>
      <w:r>
        <w:rPr>
          <w:rFonts w:ascii="Arial" w:cs="Arial" w:eastAsia="Arial" w:hAnsi="Arial"/>
          <w:b/>
          <w:bCs/>
          <w:color w:val="1B4F72"/>
          <w:sz w:val="26"/>
          <w:szCs w:val="26"/>
        </w:rPr>
        <w:t xml:space="preserve">1.1 Voir grand : la vision à long terme</w:t>
      </w:r>
    </w:p>
    <w:p>
      <w:pPr>
        <w:pStyle w:val="ListParagraph"/>
        <w:numPr>
          <w:ilvl w:val="0"/>
          <w:numId w:val="2"/>
        </w:numPr>
        <w:spacing w:after="60" w:line="276"/>
      </w:pPr>
      <w:r>
        <w:rPr>
          <w:b/>
          <w:bCs/>
          <w:color w:val="222222"/>
          <w:sz w:val="21"/>
          <w:szCs w:val="21"/>
        </w:rPr>
        <w:t xml:space="preserve">Un seul catalogue :</w:t>
      </w:r>
      <w:r>
        <w:rPr>
          <w:color w:val="222222"/>
          <w:sz w:val="21"/>
          <w:szCs w:val="21"/>
        </w:rPr>
        <w:t xml:space="preserve"> livres imprimés et numériques réunis dans une même recherche, ce qu’aucune interface n’offre aujourd’hui.</w:t>
      </w:r>
    </w:p>
    <w:p>
      <w:pPr>
        <w:pStyle w:val="ListParagraph"/>
        <w:numPr>
          <w:ilvl w:val="0"/>
          <w:numId w:val="2"/>
        </w:numPr>
        <w:spacing w:after="60" w:line="276"/>
      </w:pPr>
      <w:r>
        <w:rPr>
          <w:b/>
          <w:bCs/>
          <w:color w:val="222222"/>
          <w:sz w:val="21"/>
          <w:szCs w:val="21"/>
        </w:rPr>
        <w:t xml:space="preserve">Une œuvre, une fiche :</w:t>
      </w:r>
      <w:r>
        <w:rPr>
          <w:color w:val="222222"/>
          <w:sz w:val="21"/>
          <w:szCs w:val="21"/>
        </w:rPr>
        <w:t xml:space="preserve"> regrouper les éditions multiples d’un même livre au lieu de les afficher séparément.</w:t>
      </w:r>
    </w:p>
    <w:p>
      <w:pPr>
        <w:pStyle w:val="ListParagraph"/>
        <w:numPr>
          <w:ilvl w:val="0"/>
          <w:numId w:val="2"/>
        </w:numPr>
        <w:spacing w:after="60" w:line="276"/>
      </w:pPr>
      <w:r>
        <w:rPr>
          <w:b/>
          <w:bCs/>
          <w:color w:val="222222"/>
          <w:sz w:val="21"/>
          <w:szCs w:val="21"/>
        </w:rPr>
        <w:t xml:space="preserve">Vue par série :</w:t>
      </w:r>
      <w:r>
        <w:rPr>
          <w:color w:val="222222"/>
          <w:sz w:val="21"/>
          <w:szCs w:val="21"/>
        </w:rPr>
        <w:t xml:space="preserve"> voir tous les tomes d’une série et leur disponibilité d’un coup d’œil.</w:t>
      </w:r>
    </w:p>
    <w:p>
      <w:pPr>
        <w:pStyle w:val="ListParagraph"/>
        <w:numPr>
          <w:ilvl w:val="0"/>
          <w:numId w:val="2"/>
        </w:numPr>
        <w:spacing w:after="60" w:line="276"/>
      </w:pPr>
      <w:r>
        <w:rPr>
          <w:b/>
          <w:bCs/>
          <w:color w:val="222222"/>
          <w:sz w:val="21"/>
          <w:szCs w:val="21"/>
        </w:rPr>
        <w:t xml:space="preserve">Disponibilité claire :</w:t>
      </w:r>
      <w:r>
        <w:rPr>
          <w:color w:val="222222"/>
          <w:sz w:val="21"/>
          <w:szCs w:val="21"/>
        </w:rPr>
        <w:t xml:space="preserve"> par succursale, pour l’imprimé, et en file d’attente, pour le numérique.</w:t>
      </w:r>
    </w:p>
    <w:p>
      <w:pPr>
        <w:pStyle w:val="ListParagraph"/>
        <w:numPr>
          <w:ilvl w:val="0"/>
          <w:numId w:val="2"/>
        </w:numPr>
        <w:spacing w:after="60" w:line="276"/>
      </w:pPr>
      <w:r>
        <w:rPr>
          <w:b/>
          <w:bCs/>
          <w:color w:val="222222"/>
          <w:sz w:val="21"/>
          <w:szCs w:val="21"/>
        </w:rPr>
        <w:t xml:space="preserve">Plus tard :</w:t>
      </w:r>
      <w:r>
        <w:rPr>
          <w:color w:val="222222"/>
          <w:sz w:val="21"/>
          <w:szCs w:val="21"/>
        </w:rPr>
        <w:t xml:space="preserve"> autres médias (films, musique, jeux), avis de disponibilité, utilisation hors ligne.</w:t>
      </w:r>
    </w:p>
    <w:p>
      <w:pPr>
        <w:pStyle w:val="Heading2"/>
        <w:keepNext/>
        <w:keepLines/>
        <w:spacing w:after="120" w:before="240"/>
      </w:pPr>
      <w:r>
        <w:rPr>
          <w:rFonts w:ascii="Arial" w:cs="Arial" w:eastAsia="Arial" w:hAnsi="Arial"/>
          <w:b/>
          <w:bCs/>
          <w:color w:val="1B4F72"/>
          <w:sz w:val="26"/>
          <w:szCs w:val="26"/>
        </w:rPr>
        <w:t xml:space="preserve">1.2 À court terme : quatre objectifs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Objectif</w:t>
            </w:r>
          </w:p>
        </w:tc>
        <w:tc>
          <w:tcPr>
            <w:tcW w:type="dxa" w:w="656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Ce que ça veut dire</w:t>
            </w:r>
          </w:p>
        </w:tc>
      </w:tr>
      <w:tr>
        <w:tc>
          <w:tcPr>
            <w:tcW w:type="dxa" w:w="28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Simplifier la vie des usagers</w:t>
            </w:r>
          </w:p>
        </w:tc>
        <w:tc>
          <w:tcPr>
            <w:tcW w:type="dxa" w:w="65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Emprunts, réservations, renouvellements et succursales accessibles en quelques touchers sur téléphone, avec des dates et des statuts clairs.</w:t>
            </w:r>
          </w:p>
        </w:tc>
      </w:tr>
      <w:tr>
        <w:tc>
          <w:tcPr>
            <w:tcW w:type="dxa" w:w="28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Rapidité</w:t>
            </w:r>
          </w:p>
        </w:tc>
        <w:tc>
          <w:tcPr>
            <w:tcW w:type="dxa" w:w="65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Affichage immédiat grâce au cache et au chargement partiel de React (Server Components, streaming, squelettes de chargement).</w:t>
            </w:r>
          </w:p>
        </w:tc>
      </w:tr>
      <w:tr>
        <w:tc>
          <w:tcPr>
            <w:tcW w:type="dxa" w:w="28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Ménager les serveurs de la Ville</w:t>
            </w:r>
          </w:p>
        </w:tc>
        <w:tc>
          <w:tcPr>
            <w:tcW w:type="dxa" w:w="65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Appels ciblés et légers, uniquement quand l’usager consulte une page ; aucune exploration automatisée du catalogue.</w:t>
            </w:r>
          </w:p>
        </w:tc>
      </w:tr>
      <w:tr>
        <w:tc>
          <w:tcPr>
            <w:tcW w:type="dxa" w:w="28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Sécurité</w:t>
            </w:r>
          </w:p>
        </w:tc>
        <w:tc>
          <w:tcPr>
            <w:tcW w:type="dxa" w:w="65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Identifiants jamais conservés, session chiffrée, protections contre les abus ; viser une authentification officielle de la Ville.</w:t>
            </w:r>
          </w:p>
        </w:tc>
      </w:tr>
    </w:tbl>
    <w:p>
      <w:pPr>
        <w:spacing w:after="120"/>
      </w:pPr>
    </w:p>
    <w:p>
      <w:pPr>
        <w:pStyle w:val="Heading1"/>
        <w:keepNext/>
        <w:keepLines/>
        <w:spacing w:after="160" w:before="360"/>
      </w:pPr>
      <w:r>
        <w:rPr>
          <w:rFonts w:ascii="Arial" w:cs="Arial" w:eastAsia="Arial" w:hAnsi="Arial"/>
          <w:b/>
          <w:bCs/>
          <w:color w:val="1B4F72"/>
          <w:sz w:val="32"/>
          <w:szCs w:val="32"/>
        </w:rPr>
        <w:t xml:space="preserve">2. Ce qui a changé depuis la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Sujet</w:t>
            </w:r>
          </w:p>
        </w:tc>
        <w:tc>
          <w:tcPr>
            <w:tcW w:type="dxa" w:w="26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v3 (mars 2026)</w:t>
            </w:r>
          </w:p>
        </w:tc>
        <w:tc>
          <w:tcPr>
            <w:tcW w:type="dxa" w:w="496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v4 (octobre 2026)</w:t>
            </w:r>
          </w:p>
        </w:tc>
      </w:tr>
      <w:tr>
        <w:tc>
          <w:tcPr>
            <w:tcW w:type="dxa" w:w="18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Données du catalogue</w:t>
            </w:r>
          </w:p>
        </w:tc>
        <w:tc>
          <w:tcPr>
            <w:tcW w:type="dxa" w:w="26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Extraction du HTML du WebPAC (Cheerio)</w:t>
            </w:r>
          </w:p>
        </w:tc>
        <w:tc>
          <w:tcPr>
            <w:tcW w:type="dxa" w:w="49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Abandonnée : la Ville protège désormais la recherche, les fiches et la disponibilité (Cloudflare). LévisBiblio respecte cette protection et demande un accès officiel.</w:t>
            </w:r>
          </w:p>
        </w:tc>
      </w:tr>
      <w:tr>
        <w:tc>
          <w:tcPr>
            <w:tcW w:type="dxa" w:w="18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Mon dossier</w:t>
            </w:r>
          </w:p>
        </w:tc>
        <w:tc>
          <w:tcPr>
            <w:tcW w:type="dxa" w:w="26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Prévu (connexion pass-through)</w:t>
            </w:r>
          </w:p>
        </w:tc>
        <w:tc>
          <w:tcPr>
            <w:tcW w:type="dxa" w:w="49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Réalisé : prototype fonctionnel complet (section 3).</w:t>
            </w:r>
          </w:p>
        </w:tc>
      </w:tr>
      <w:tr>
        <w:tc>
          <w:tcPr>
            <w:tcW w:type="dxa" w:w="18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Cache et chargement</w:t>
            </w:r>
          </w:p>
        </w:tc>
        <w:tc>
          <w:tcPr>
            <w:tcW w:type="dxa" w:w="26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TanStack Query côté navigateur</w:t>
            </w:r>
          </w:p>
        </w:tc>
        <w:tc>
          <w:tcPr>
            <w:tcW w:type="dxa" w:w="49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Cache et streaming natifs de React 19 / Next.js 16 (section 4).</w:t>
            </w:r>
          </w:p>
        </w:tc>
      </w:tr>
      <w:tr>
        <w:tc>
          <w:tcPr>
            <w:tcW w:type="dxa" w:w="18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Succursales</w:t>
            </w:r>
          </w:p>
        </w:tc>
        <w:tc>
          <w:tcPr>
            <w:tcW w:type="dxa" w:w="26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Liste simple</w:t>
            </w:r>
          </w:p>
        </w:tc>
        <w:tc>
          <w:tcPr>
            <w:tcW w:type="dxa" w:w="49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Adresses, heures, statut « ouvert maintenant », itinéraire et appel.</w:t>
            </w:r>
          </w:p>
        </w:tc>
      </w:tr>
      <w:tr>
        <w:tc>
          <w:tcPr>
            <w:tcW w:type="dxa" w:w="18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Sécurité</w:t>
            </w:r>
          </w:p>
        </w:tc>
        <w:tc>
          <w:tcPr>
            <w:tcW w:type="dxa" w:w="26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Principes</w:t>
            </w:r>
          </w:p>
        </w:tc>
        <w:tc>
          <w:tcPr>
            <w:tcW w:type="dxa" w:w="49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Mesures en place et vérifiées (section 5).</w:t>
            </w:r>
          </w:p>
        </w:tc>
      </w:tr>
    </w:tbl>
    <w:p>
      <w:pPr>
        <w:spacing w:after="120"/>
      </w:pPr>
    </w:p>
    <w:p>
      <w:pPr>
        <w:pStyle w:val="Heading1"/>
        <w:keepNext/>
        <w:keepLines/>
        <w:spacing w:after="160" w:before="360"/>
      </w:pPr>
      <w:r>
        <w:rPr>
          <w:rFonts w:ascii="Arial" w:cs="Arial" w:eastAsia="Arial" w:hAnsi="Arial"/>
          <w:b/>
          <w:bCs/>
          <w:color w:val="1B4F72"/>
          <w:sz w:val="32"/>
          <w:szCs w:val="32"/>
        </w:rPr>
        <w:t xml:space="preserve">3. Phase 1 — Fonctionnalités</w:t>
      </w:r>
    </w:p>
    <w:p>
      <w:pPr>
        <w:pStyle w:val="Heading2"/>
        <w:keepNext/>
        <w:keepLines/>
        <w:spacing w:after="120" w:before="240"/>
      </w:pPr>
      <w:r>
        <w:rPr>
          <w:rFonts w:ascii="Arial" w:cs="Arial" w:eastAsia="Arial" w:hAnsi="Arial"/>
          <w:b/>
          <w:bCs/>
          <w:color w:val="1B4F72"/>
          <w:sz w:val="26"/>
          <w:szCs w:val="26"/>
        </w:rPr>
        <w:t xml:space="preserve">3.1 État d’avancement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900"/>
        <w:gridCol w:w="2660"/>
      </w:tblGrid>
      <w:tr>
        <w:trPr>
          <w:tblHeader/>
        </w:trPr>
        <w:tc>
          <w:tcPr>
            <w:tcW w:type="dxa" w:w="48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Fonctionnalité</w:t>
            </w:r>
          </w:p>
        </w:tc>
        <w:tc>
          <w:tcPr>
            <w:tcW w:type="dxa" w:w="19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État</w:t>
            </w:r>
          </w:p>
        </w:tc>
        <w:tc>
          <w:tcPr>
            <w:tcW w:type="dxa" w:w="266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Source des données</w:t>
            </w:r>
          </w:p>
        </w:tc>
      </w:tr>
      <w:tr>
        <w:tc>
          <w:tcPr>
            <w:tcW w:type="dxa" w:w="48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Mon dossier : connexion, sommaire, alertes (retards, réservations prêtes)</w:t>
            </w:r>
          </w:p>
        </w:tc>
        <w:tc>
          <w:tcPr>
            <w:tcW w:type="dxa" w:w="19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 Réalisé</w:t>
            </w:r>
          </w:p>
        </w:tc>
        <w:tc>
          <w:tcPr>
            <w:tcW w:type="dxa" w:w="26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Espace usager du portail SirsiDynix</w:t>
            </w:r>
          </w:p>
        </w:tc>
      </w:tr>
      <w:tr>
        <w:tc>
          <w:tcPr>
            <w:tcW w:type="dxa" w:w="48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Emprunts : dates de retour, renouvellement d’un ou plusieurs documents</w:t>
            </w:r>
          </w:p>
        </w:tc>
        <w:tc>
          <w:tcPr>
            <w:tcW w:type="dxa" w:w="19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 Réalisé</w:t>
            </w:r>
          </w:p>
        </w:tc>
        <w:tc>
          <w:tcPr>
            <w:tcW w:type="dxa" w:w="26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Portail SirsiDynix</w:t>
            </w:r>
          </w:p>
        </w:tc>
      </w:tr>
      <w:tr>
        <w:tc>
          <w:tcPr>
            <w:tcW w:type="dxa" w:w="48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Réservations : rang dans la file, annuler, suspendre, réactiver, changer de succursale</w:t>
            </w:r>
          </w:p>
        </w:tc>
        <w:tc>
          <w:tcPr>
            <w:tcW w:type="dxa" w:w="19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 Réalisé</w:t>
            </w:r>
          </w:p>
        </w:tc>
        <w:tc>
          <w:tcPr>
            <w:tcW w:type="dxa" w:w="26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Portail SirsiDynix</w:t>
            </w:r>
          </w:p>
        </w:tc>
      </w:tr>
      <w:tr>
        <w:tc>
          <w:tcPr>
            <w:tcW w:type="dxa" w:w="48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Historique, amendes, profil et préférences</w:t>
            </w:r>
          </w:p>
        </w:tc>
        <w:tc>
          <w:tcPr>
            <w:tcW w:type="dxa" w:w="19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 Réalisé</w:t>
            </w:r>
          </w:p>
        </w:tc>
        <w:tc>
          <w:tcPr>
            <w:tcW w:type="dxa" w:w="26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Portail SirsiDynix</w:t>
            </w:r>
          </w:p>
        </w:tc>
      </w:tr>
      <w:tr>
        <w:tc>
          <w:tcPr>
            <w:tcW w:type="dxa" w:w="48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Couvertures et ISBN des documents</w:t>
            </w:r>
          </w:p>
        </w:tc>
        <w:tc>
          <w:tcPr>
            <w:tcW w:type="dxa" w:w="19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 Réalisé</w:t>
            </w:r>
          </w:p>
        </w:tc>
        <w:tc>
          <w:tcPr>
            <w:tcW w:type="dxa" w:w="26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Portail SirsiDynix</w:t>
            </w:r>
          </w:p>
        </w:tc>
      </w:tr>
      <w:tr>
        <w:tc>
          <w:tcPr>
            <w:tcW w:type="dxa" w:w="48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Succursales : adresses, heures, itinéraire, appel</w:t>
            </w:r>
          </w:p>
        </w:tc>
        <w:tc>
          <w:tcPr>
            <w:tcW w:type="dxa" w:w="19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 Réalisé</w:t>
            </w:r>
          </w:p>
        </w:tc>
        <w:tc>
          <w:tcPr>
            <w:tcW w:type="dxa" w:w="26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Site levis.ca (relevé manuel)</w:t>
            </w:r>
          </w:p>
        </w:tc>
      </w:tr>
      <w:tr>
        <w:tc>
          <w:tcPr>
            <w:tcW w:type="dxa" w:w="48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Apparence claire / sombre, accessibilité</w:t>
            </w:r>
          </w:p>
        </w:tc>
        <w:tc>
          <w:tcPr>
            <w:tcW w:type="dxa" w:w="19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 Réalisé</w:t>
            </w:r>
          </w:p>
        </w:tc>
        <w:tc>
          <w:tcPr>
            <w:tcW w:type="dxa" w:w="26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w:t>
            </w:r>
          </w:p>
        </w:tc>
      </w:tr>
      <w:tr>
        <w:tc>
          <w:tcPr>
            <w:tcW w:type="dxa" w:w="48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Recherche dans le catalogue</w:t>
            </w:r>
          </w:p>
        </w:tc>
        <w:tc>
          <w:tcPr>
            <w:tcW w:type="dxa" w:w="19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 Prévu</w:t>
            </w:r>
          </w:p>
        </w:tc>
        <w:tc>
          <w:tcPr>
            <w:tcW w:type="dxa" w:w="26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Flux RSS public du portail</w:t>
            </w:r>
          </w:p>
        </w:tc>
      </w:tr>
      <w:tr>
        <w:tc>
          <w:tcPr>
            <w:tcW w:type="dxa" w:w="48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Disponibilité par succursale, réserver depuis le catalogue</w:t>
            </w:r>
          </w:p>
        </w:tc>
        <w:tc>
          <w:tcPr>
            <w:tcW w:type="dxa" w:w="19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 Dépend d’un accès officiel</w:t>
            </w:r>
          </w:p>
        </w:tc>
        <w:tc>
          <w:tcPr>
            <w:tcW w:type="dxa" w:w="26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À convenir avec la Ville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ABEBC6" w:sz="4"/>
              <w:left w:val="single" w:color="ABEBC6" w:sz="4"/>
              <w:bottom w:val="single" w:color="ABEBC6" w:sz="4"/>
              <w:right w:val="none" w:color="FFFFFF" w:sz="0"/>
            </w:tcBorders>
            <w:shd w:fill="D5F5E3" w:color="auto" w:val="clear"/>
            <w:tcMar>
              <w:top w:type="dxa" w:w="100"/>
              <w:left w:type="dxa" w:w="120"/>
              <w:bottom w:type="dxa" w:w="100"/>
              <w:right w:type="dxa" w:w="0"/>
            </w:tcMar>
          </w:tcPr>
          <w:p>
            <w:r>
              <w:rPr>
                <w:rFonts w:ascii="Segoe UI Emoji" w:cs="Segoe UI Emoji" w:eastAsia="Segoe UI Emoji" w:hAnsi="Segoe UI Emoji"/>
                <w:sz w:val="22"/>
                <w:szCs w:val="22"/>
              </w:rPr>
              <w:t xml:space="preserve">✅</w:t>
            </w:r>
          </w:p>
        </w:tc>
        <w:tc>
          <w:tcPr>
            <w:tcW w:type="dxa" w:w="8800"/>
            <w:tcBorders>
              <w:top w:val="single" w:color="ABEBC6" w:sz="4"/>
              <w:left w:val="none" w:color="FFFFFF" w:sz="0"/>
              <w:bottom w:val="single" w:color="ABEBC6" w:sz="4"/>
              <w:right w:val="single" w:color="ABEBC6" w:sz="4"/>
            </w:tcBorders>
            <w:shd w:fill="D5F5E3" w:color="auto" w:val="clear"/>
            <w:tcMar>
              <w:top w:type="dxa" w:w="100"/>
              <w:left w:type="dxa" w:w="80"/>
              <w:bottom w:type="dxa" w:w="100"/>
              <w:right w:type="dxa" w:w="160"/>
            </w:tcMar>
          </w:tcPr>
          <w:p>
            <w:pPr>
              <w:spacing w:after="40" w:line="276"/>
            </w:pPr>
            <w:r>
              <w:rPr>
                <w:i/>
                <w:iCs/>
                <w:color w:val="2C3E50"/>
                <w:sz w:val="21"/>
                <w:szCs w:val="21"/>
              </w:rPr>
              <w:t xml:space="preserve">Le prototype « Mon dossier » fonctionne avec un vrai compte. La lecture (emprunts, réservations, historique, amendes, profil) est validée ; les actions de modification sont en cours de validation.</w:t>
            </w:r>
          </w:p>
        </w:tc>
      </w:tr>
    </w:tbl>
    <w:p>
      <w:pPr>
        <w:spacing w:after="120"/>
      </w:pPr>
    </w:p>
    <w:p>
      <w:pPr>
        <w:pStyle w:val="Heading2"/>
        <w:keepNext/>
        <w:keepLines/>
        <w:spacing w:after="120" w:before="240"/>
      </w:pPr>
      <w:r>
        <w:rPr>
          <w:rFonts w:ascii="Arial" w:cs="Arial" w:eastAsia="Arial" w:hAnsi="Arial"/>
          <w:b/>
          <w:bCs/>
          <w:color w:val="1B4F72"/>
          <w:sz w:val="26"/>
          <w:szCs w:val="26"/>
        </w:rPr>
        <w:t xml:space="preserve">3.2 Parcours de l’usager</w:t>
      </w:r>
    </w:p>
    <w:p>
      <w:pPr>
        <w:pStyle w:val="ListParagraph"/>
        <w:numPr>
          <w:ilvl w:val="0"/>
          <w:numId w:val="3"/>
        </w:numPr>
        <w:spacing w:after="60" w:line="276"/>
      </w:pPr>
      <w:r>
        <w:rPr>
          <w:color w:val="222222"/>
          <w:sz w:val="21"/>
          <w:szCs w:val="21"/>
        </w:rPr>
        <w:t xml:space="preserve">L’usager ouvre « Mon dossier » et entre son numéro de carte et son NIP. Son gestionnaire de mots de passe peut les retenir.</w:t>
      </w:r>
    </w:p>
    <w:p>
      <w:pPr>
        <w:pStyle w:val="ListParagraph"/>
        <w:numPr>
          <w:ilvl w:val="0"/>
          <w:numId w:val="3"/>
        </w:numPr>
        <w:spacing w:after="60" w:line="276"/>
      </w:pPr>
      <w:r>
        <w:rPr>
          <w:color w:val="222222"/>
          <w:sz w:val="21"/>
          <w:szCs w:val="21"/>
        </w:rPr>
        <w:t xml:space="preserve">Le sommaire affiche aussitôt ce qui demande son attention : documents en retard, réservations prêtes, prochain retour, amendes.</w:t>
      </w:r>
    </w:p>
    <w:p>
      <w:pPr>
        <w:pStyle w:val="ListParagraph"/>
        <w:numPr>
          <w:ilvl w:val="0"/>
          <w:numId w:val="3"/>
        </w:numPr>
        <w:spacing w:after="60" w:line="276"/>
      </w:pPr>
      <w:r>
        <w:rPr>
          <w:color w:val="222222"/>
          <w:sz w:val="21"/>
          <w:szCs w:val="21"/>
        </w:rPr>
        <w:t xml:space="preserve">Dans « Emprunts », il voit les échéances en clair (« À rendre demain ») et renouvelle en un toucher.</w:t>
      </w:r>
    </w:p>
    <w:p>
      <w:pPr>
        <w:pStyle w:val="ListParagraph"/>
        <w:numPr>
          <w:ilvl w:val="0"/>
          <w:numId w:val="3"/>
        </w:numPr>
        <w:spacing w:after="60" w:line="276"/>
      </w:pPr>
      <w:r>
        <w:rPr>
          <w:color w:val="222222"/>
          <w:sz w:val="21"/>
          <w:szCs w:val="21"/>
        </w:rPr>
        <w:t xml:space="preserve">Dans « Réservations », il voit son rang dans la file ; toucher la succursale affiche l’adresse, les heures et l’itinéraire.</w:t>
      </w:r>
    </w:p>
    <w:p>
      <w:pPr>
        <w:pStyle w:val="ListParagraph"/>
        <w:numPr>
          <w:ilvl w:val="0"/>
          <w:numId w:val="3"/>
        </w:numPr>
        <w:spacing w:after="60" w:line="276"/>
      </w:pPr>
      <w:r>
        <w:rPr>
          <w:color w:val="222222"/>
          <w:sz w:val="21"/>
          <w:szCs w:val="21"/>
        </w:rPr>
        <w:t xml:space="preserve">La déconnexion ferme aussi la session sur le portail de la Ville.</w:t>
      </w:r>
    </w:p>
    <w:p>
      <w:pPr>
        <w:pStyle w:val="Heading1"/>
        <w:keepNext/>
        <w:keepLines/>
        <w:spacing w:after="160" w:before="360"/>
      </w:pPr>
      <w:r>
        <w:rPr>
          <w:rFonts w:ascii="Arial" w:cs="Arial" w:eastAsia="Arial" w:hAnsi="Arial"/>
          <w:b/>
          <w:bCs/>
          <w:color w:val="1B4F72"/>
          <w:sz w:val="32"/>
          <w:szCs w:val="32"/>
        </w:rPr>
        <w:t xml:space="preserve">4. Rapidité et charge sur les serveurs de la Ville</w:t>
      </w:r>
    </w:p>
    <w:p>
      <w:pPr>
        <w:pStyle w:val="Heading2"/>
        <w:keepNext/>
        <w:keepLines/>
        <w:spacing w:after="120" w:before="240"/>
      </w:pPr>
      <w:r>
        <w:rPr>
          <w:rFonts w:ascii="Arial" w:cs="Arial" w:eastAsia="Arial" w:hAnsi="Arial"/>
          <w:b/>
          <w:bCs/>
          <w:color w:val="1B4F72"/>
          <w:sz w:val="26"/>
          <w:szCs w:val="26"/>
        </w:rPr>
        <w:t xml:space="preserve">4.1 Chargement partiel (streaming)</w:t>
      </w:r>
    </w:p>
    <w:p>
      <w:pPr>
        <w:spacing w:after="120" w:line="276"/>
      </w:pPr>
      <w:r>
        <w:rPr>
          <w:color w:val="222222"/>
          <w:sz w:val="21"/>
          <w:szCs w:val="21"/>
        </w:rPr>
        <w:t xml:space="preserve">Chaque page s’affiche en deux temps. L’en-tête et la structure apparaissent tout de suite, avec des squelettes de chargement qui ont la forme du contenu réel ; les données arrivent dès qu’elles sont prêtes, sans bloquer le reste. Les couvertures, plus lentes à obtenir, arrivent en dernier.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Mesure (compte réel)</w:t>
            </w:r>
          </w:p>
        </w:tc>
        <w:tc>
          <w:tcPr>
            <w:tcW w:type="dxa" w:w="24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Avant optimisation</w:t>
            </w:r>
          </w:p>
        </w:tc>
        <w:tc>
          <w:tcPr>
            <w:tcW w:type="dxa" w:w="24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Avec streaming et cache</w:t>
            </w:r>
          </w:p>
        </w:tc>
      </w:tr>
      <w:tr>
        <w:tc>
          <w:tcPr>
            <w:tcW w:type="dxa" w:w="45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Affichage de la liste des réservations</w:t>
            </w:r>
          </w:p>
        </w:tc>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6 à 8 s</w:t>
            </w:r>
          </w:p>
        </w:tc>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 0,4 s</w:t>
            </w:r>
          </w:p>
        </w:tc>
      </w:tr>
      <w:tr>
        <w:tc>
          <w:tcPr>
            <w:tcW w:type="dxa" w:w="45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Retour sur une page déjà visitée (couvertures comprises)</w:t>
            </w:r>
          </w:p>
        </w:tc>
        <w:tc>
          <w:tcPr>
            <w:tcW w:type="dxa" w:w="24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3 à 6 s</w:t>
            </w:r>
          </w:p>
        </w:tc>
        <w:tc>
          <w:tcPr>
            <w:tcW w:type="dxa" w:w="24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 0,4 s</w:t>
            </w:r>
          </w:p>
        </w:tc>
      </w:tr>
      <w:tr>
        <w:tc>
          <w:tcPr>
            <w:tcW w:type="dxa" w:w="45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Apparition du squelette de chargement</w:t>
            </w:r>
          </w:p>
        </w:tc>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w:t>
            </w:r>
          </w:p>
        </w:tc>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&lt; 0,15 s</w:t>
            </w:r>
          </w:p>
        </w:tc>
      </w:tr>
    </w:tbl>
    <w:p>
      <w:pPr>
        <w:spacing w:after="120"/>
      </w:pPr>
    </w:p>
    <w:p>
      <w:pPr>
        <w:pStyle w:val="Heading2"/>
        <w:keepNext/>
        <w:keepLines/>
        <w:spacing w:after="120" w:before="240"/>
      </w:pPr>
      <w:r>
        <w:rPr>
          <w:rFonts w:ascii="Arial" w:cs="Arial" w:eastAsia="Arial" w:hAnsi="Arial"/>
          <w:b/>
          <w:bCs/>
          <w:color w:val="1B4F72"/>
          <w:sz w:val="26"/>
          <w:szCs w:val="26"/>
        </w:rPr>
        <w:t xml:space="preserve">4.2 Cache de React et de Next.js</w:t>
      </w:r>
    </w:p>
    <w:p>
      <w:pPr>
        <w:pStyle w:val="ListParagraph"/>
        <w:numPr>
          <w:ilvl w:val="0"/>
          <w:numId w:val="2"/>
        </w:numPr>
        <w:spacing w:after="60" w:line="276"/>
      </w:pPr>
      <w:r>
        <w:rPr>
          <w:color w:val="222222"/>
          <w:sz w:val="21"/>
          <w:szCs w:val="21"/>
        </w:rPr>
        <w:t xml:space="preserve">Les couvertures et ISBN déjà reçus restent en mémoire dans l’onglet : revenir sur une page ne redemande rien au portail.</w:t>
      </w:r>
    </w:p>
    <w:p>
      <w:pPr>
        <w:pStyle w:val="ListParagraph"/>
        <w:numPr>
          <w:ilvl w:val="0"/>
          <w:numId w:val="2"/>
        </w:numPr>
        <w:spacing w:after="60" w:line="276"/>
      </w:pPr>
      <w:r>
        <w:rPr>
          <w:color w:val="222222"/>
          <w:sz w:val="21"/>
          <w:szCs w:val="21"/>
        </w:rPr>
        <w:t xml:space="preserve">Le préchargement des pages de navigation ne déclenche aucun appel au portail (vérifié) : seules les pages réellement ouvertes en font.</w:t>
      </w:r>
    </w:p>
    <w:p>
      <w:pPr>
        <w:pStyle w:val="ListParagraph"/>
        <w:numPr>
          <w:ilvl w:val="0"/>
          <w:numId w:val="2"/>
        </w:numPr>
        <w:spacing w:after="60" w:line="276"/>
      </w:pPr>
      <w:r>
        <w:rPr>
          <w:color w:val="222222"/>
          <w:sz w:val="21"/>
          <w:szCs w:val="21"/>
        </w:rPr>
        <w:t xml:space="preserve">Les informations publiques (succursales, heures) sont servies de façon statique, sans aucun appel.</w:t>
      </w:r>
    </w:p>
    <w:p>
      <w:pPr>
        <w:pStyle w:val="Heading2"/>
        <w:keepNext/>
        <w:keepLines/>
        <w:spacing w:after="120" w:before="240"/>
      </w:pPr>
      <w:r>
        <w:rPr>
          <w:rFonts w:ascii="Arial" w:cs="Arial" w:eastAsia="Arial" w:hAnsi="Arial"/>
          <w:b/>
          <w:bCs/>
          <w:color w:val="1B4F72"/>
          <w:sz w:val="26"/>
          <w:szCs w:val="26"/>
        </w:rPr>
        <w:t xml:space="preserve">4.3 Ménager les serveurs de la Ville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Principe</w:t>
            </w:r>
          </w:p>
        </w:tc>
        <w:tc>
          <w:tcPr>
            <w:tcW w:type="dxa" w:w="676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Effet</w:t>
            </w:r>
          </w:p>
        </w:tc>
      </w:tr>
      <w:tr>
        <w:tc>
          <w:tcPr>
            <w:tcW w:type="dxa" w:w="26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Appels ciblés</w:t>
            </w:r>
          </w:p>
        </w:tc>
        <w:tc>
          <w:tcPr>
            <w:tcW w:type="dxa" w:w="67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LévisBiblio demande uniquement la section utile (≈ 80 ms, quelques Ko) au lieu de la page complète (≈ 200 Ko).</w:t>
            </w:r>
          </w:p>
        </w:tc>
      </w:tr>
      <w:tr>
        <w:tc>
          <w:tcPr>
            <w:tcW w:type="dxa" w:w="26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À la demande seulement</w:t>
            </w:r>
          </w:p>
        </w:tc>
        <w:tc>
          <w:tcPr>
            <w:tcW w:type="dxa" w:w="67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Un appel n’a lieu que lorsqu’un usager consulte une page de son dossier. Aucune tâche de fond, aucune exploration du catalogue.</w:t>
            </w:r>
          </w:p>
        </w:tc>
      </w:tr>
      <w:tr>
        <w:tc>
          <w:tcPr>
            <w:tcW w:type="dxa" w:w="26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Identification honnête</w:t>
            </w:r>
          </w:p>
        </w:tc>
        <w:tc>
          <w:tcPr>
            <w:tcW w:type="dxa" w:w="67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Les requêtes s’identifient comme « LevisBiblio/1.0 » avec l’adresse du projet.</w:t>
            </w:r>
          </w:p>
        </w:tc>
      </w:tr>
      <w:tr>
        <w:tc>
          <w:tcPr>
            <w:tcW w:type="dxa" w:w="26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Respect des protections</w:t>
            </w:r>
          </w:p>
        </w:tc>
        <w:tc>
          <w:tcPr>
            <w:tcW w:type="dxa" w:w="67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Aucune tentative de contourner Cloudflare ni aucune autre mesure de la Ville.</w:t>
            </w:r>
          </w:p>
        </w:tc>
      </w:tr>
    </w:tbl>
    <w:p>
      <w:pPr>
        <w:spacing w:after="120"/>
      </w:pPr>
    </w:p>
    <w:p>
      <w:pPr>
        <w:pStyle w:val="Heading1"/>
        <w:keepNext/>
        <w:keepLines/>
        <w:spacing w:after="160" w:before="360"/>
      </w:pPr>
      <w:r>
        <w:rPr>
          <w:rFonts w:ascii="Arial" w:cs="Arial" w:eastAsia="Arial" w:hAnsi="Arial"/>
          <w:b/>
          <w:bCs/>
          <w:color w:val="1B4F72"/>
          <w:sz w:val="32"/>
          <w:szCs w:val="32"/>
        </w:rPr>
        <w:t xml:space="preserve">5. Sécurité et confidentialité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Mesure</w:t>
            </w:r>
          </w:p>
        </w:tc>
        <w:tc>
          <w:tcPr>
            <w:tcW w:type="dxa" w:w="676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Description</w:t>
            </w:r>
          </w:p>
        </w:tc>
      </w:tr>
      <w:tr>
        <w:tc>
          <w:tcPr>
            <w:tcW w:type="dxa" w:w="26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Identifiants jamais conservés</w:t>
            </w:r>
          </w:p>
        </w:tc>
        <w:tc>
          <w:tcPr>
            <w:tcW w:type="dxa" w:w="67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Le numéro de carte et le NIP servent uniquement à ouvrir la session auprès du portail. Ils ne sont ni stockés ni journalisés.</w:t>
            </w:r>
          </w:p>
        </w:tc>
      </w:tr>
      <w:tr>
        <w:tc>
          <w:tcPr>
            <w:tcW w:type="dxa" w:w="26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Session chiffrée et limitée</w:t>
            </w:r>
          </w:p>
        </w:tc>
        <w:tc>
          <w:tcPr>
            <w:tcW w:type="dxa" w:w="67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Seule la session du portail est gardée, dans un cookie chiffré et signé, inaccessible au JavaScript (httpOnly), limité au site (SameSite=Strict) et à l’espace du dossier, valide 30 minutes.</w:t>
            </w:r>
          </w:p>
        </w:tc>
      </w:tr>
      <w:tr>
        <w:tc>
          <w:tcPr>
            <w:tcW w:type="dxa" w:w="26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Aucune base de données</w:t>
            </w:r>
          </w:p>
        </w:tc>
        <w:tc>
          <w:tcPr>
            <w:tcW w:type="dxa" w:w="67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Aucune donnée d’usager n’est conservée côté serveur.</w:t>
            </w:r>
          </w:p>
        </w:tc>
      </w:tr>
      <w:tr>
        <w:tc>
          <w:tcPr>
            <w:tcW w:type="dxa" w:w="26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Protection contre les abus</w:t>
            </w:r>
          </w:p>
        </w:tc>
        <w:tc>
          <w:tcPr>
            <w:tcW w:type="dxa" w:w="67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Nombre de tentatives de connexion limité (par carte et par adresse IP) ; contrôle de l’origine des envois de formulaire.</w:t>
            </w:r>
          </w:p>
        </w:tc>
      </w:tr>
      <w:tr>
        <w:tc>
          <w:tcPr>
            <w:tcW w:type="dxa" w:w="26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Pages privées</w:t>
            </w:r>
          </w:p>
        </w:tc>
        <w:tc>
          <w:tcPr>
            <w:tcW w:type="dxa" w:w="67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Les pages du dossier ne sont ni mises en cache, ni indexées, ni intégrables dans un autre site.</w:t>
            </w:r>
          </w:p>
        </w:tc>
      </w:tr>
      <w:tr>
        <w:tc>
          <w:tcPr>
            <w:tcW w:type="dxa" w:w="26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Déconnexion complète</w:t>
            </w:r>
          </w:p>
        </w:tc>
        <w:tc>
          <w:tcPr>
            <w:tcW w:type="dxa" w:w="67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La déconnexion ferme la session sur le portail de la Ville et efface le cookie.</w:t>
            </w:r>
          </w:p>
        </w:tc>
      </w:tr>
      <w:tr>
        <w:tc>
          <w:tcPr>
            <w:tcW w:type="dxa" w:w="26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Code ouvert</w:t>
            </w:r>
          </w:p>
        </w:tc>
        <w:tc>
          <w:tcPr>
            <w:tcW w:type="dxa" w:w="67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Tout le code est public et vérifiable ; les tests n’utilisent que des données fictives.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AED6F1" w:sz="4"/>
              <w:left w:val="single" w:color="AED6F1" w:sz="4"/>
              <w:bottom w:val="single" w:color="AED6F1" w:sz="4"/>
              <w:right w:val="none" w:color="FFFFFF" w:sz="0"/>
            </w:tcBorders>
            <w:shd w:fill="D6EAF8" w:color="auto" w:val="clear"/>
            <w:tcMar>
              <w:top w:type="dxa" w:w="100"/>
              <w:left w:type="dxa" w:w="120"/>
              <w:bottom w:type="dxa" w:w="100"/>
              <w:right w:type="dxa" w:w="0"/>
            </w:tcMar>
          </w:tcPr>
          <w:p>
            <w:r>
              <w:rPr>
                <w:rFonts w:ascii="Segoe UI Emoji" w:cs="Segoe UI Emoji" w:eastAsia="Segoe UI Emoji" w:hAnsi="Segoe UI Emoji"/>
                <w:sz w:val="22"/>
                <w:szCs w:val="22"/>
              </w:rPr>
              <w:t xml:space="preserve">🔒</w:t>
            </w:r>
          </w:p>
        </w:tc>
        <w:tc>
          <w:tcPr>
            <w:tcW w:type="dxa" w:w="8800"/>
            <w:tcBorders>
              <w:top w:val="single" w:color="AED6F1" w:sz="4"/>
              <w:left w:val="none" w:color="FFFFFF" w:sz="0"/>
              <w:bottom w:val="single" w:color="AED6F1" w:sz="4"/>
              <w:right w:val="single" w:color="AED6F1" w:sz="4"/>
            </w:tcBorders>
            <w:shd w:fill="D6EAF8" w:color="auto" w:val="clear"/>
            <w:tcMar>
              <w:top w:type="dxa" w:w="100"/>
              <w:left w:type="dxa" w:w="80"/>
              <w:bottom w:type="dxa" w:w="100"/>
              <w:right w:type="dxa" w:w="160"/>
            </w:tcMar>
          </w:tcPr>
          <w:p>
            <w:pPr>
              <w:spacing w:after="40" w:line="276"/>
            </w:pPr>
            <w:r>
              <w:rPr>
                <w:i/>
                <w:iCs/>
                <w:color w:val="2C3E50"/>
                <w:sz w:val="21"/>
                <w:szCs w:val="21"/>
              </w:rPr>
              <w:t xml:space="preserve">Objectif : remplacer la saisie du NIP dans LévisBiblio par une authentification officielle de la Ville. L’application ne verrait alors jamais le NIP. Avant toute ouverture au public, une politique de confidentialité et une personne responsable seront désignées, conformément à la Loi 25.</w:t>
            </w:r>
          </w:p>
        </w:tc>
      </w:tr>
    </w:tbl>
    <w:p>
      <w:pPr>
        <w:spacing w:after="120"/>
      </w:pPr>
    </w:p>
    <w:p>
      <w:pPr>
        <w:pStyle w:val="Heading1"/>
        <w:keepNext/>
        <w:keepLines/>
        <w:spacing w:after="160" w:before="360"/>
      </w:pPr>
      <w:r>
        <w:rPr>
          <w:rFonts w:ascii="Arial" w:cs="Arial" w:eastAsia="Arial" w:hAnsi="Arial"/>
          <w:b/>
          <w:bCs/>
          <w:color w:val="1B4F72"/>
          <w:sz w:val="32"/>
          <w:szCs w:val="32"/>
        </w:rPr>
        <w:t xml:space="preserve">6. Contraintes actuelles</w:t>
      </w:r>
    </w:p>
    <w:p>
      <w:pPr>
        <w:spacing w:after="120" w:line="276"/>
      </w:pPr>
      <w:r>
        <w:rPr>
          <w:color w:val="222222"/>
          <w:sz w:val="21"/>
          <w:szCs w:val="21"/>
        </w:rPr>
        <w:t xml:space="preserve">Aujourd’hui, la recherche, les fiches et la disponibilité du portail sont protégées par Cloudflare contre les requêtes automatisées. LévisBiblio respecte cette décision.</w:t>
      </w:r>
    </w:p>
    <w:p>
      <w:pPr>
        <w:pStyle w:val="ListParagraph"/>
        <w:numPr>
          <w:ilvl w:val="0"/>
          <w:numId w:val="2"/>
        </w:numPr>
        <w:spacing w:after="60" w:line="276"/>
      </w:pPr>
      <w:r>
        <w:rPr>
          <w:color w:val="222222"/>
          <w:sz w:val="21"/>
          <w:szCs w:val="21"/>
        </w:rPr>
        <w:t xml:space="preserve">Le flux RSS public du portail reste disponible pour la recherche.</w:t>
      </w:r>
    </w:p>
    <w:p>
      <w:pPr>
        <w:pStyle w:val="ListParagraph"/>
        <w:numPr>
          <w:ilvl w:val="0"/>
          <w:numId w:val="2"/>
        </w:numPr>
        <w:spacing w:after="60" w:line="276"/>
      </w:pPr>
      <w:r>
        <w:rPr>
          <w:color w:val="222222"/>
          <w:sz w:val="21"/>
          <w:szCs w:val="21"/>
        </w:rPr>
        <w:t xml:space="preserve">L’espace usager fonctionne depuis un réseau résidentiel, mais les requêtes provenant d’un hébergeur infonuagique (ex. Vercel) sont refusées.</w:t>
      </w:r>
    </w:p>
    <w:p>
      <w:pPr>
        <w:pStyle w:val="ListParagraph"/>
        <w:numPr>
          <w:ilvl w:val="0"/>
          <w:numId w:val="2"/>
        </w:numPr>
        <w:spacing w:after="60" w:line="276"/>
      </w:pPr>
      <w:r>
        <w:rPr>
          <w:color w:val="222222"/>
          <w:sz w:val="21"/>
          <w:szCs w:val="21"/>
        </w:rPr>
        <w:t xml:space="preserve">La disponibilité par succursale et la réservation depuis le catalogue ne sont donc possibles qu’avec un accès officiel.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F5CBA7" w:sz="4"/>
              <w:left w:val="single" w:color="F5CBA7" w:sz="4"/>
              <w:bottom w:val="single" w:color="F5CBA7" w:sz="4"/>
              <w:right w:val="none" w:color="FFFFFF" w:sz="0"/>
            </w:tcBorders>
            <w:shd w:fill="FDEBD0" w:color="auto" w:val="clear"/>
            <w:tcMar>
              <w:top w:type="dxa" w:w="100"/>
              <w:left w:type="dxa" w:w="120"/>
              <w:bottom w:type="dxa" w:w="100"/>
              <w:right w:type="dxa" w:w="0"/>
            </w:tcMar>
          </w:tcPr>
          <w:p>
            <w:r>
              <w:rPr>
                <w:rFonts w:ascii="Segoe UI Emoji" w:cs="Segoe UI Emoji" w:eastAsia="Segoe UI Emoji" w:hAnsi="Segoe UI Emoji"/>
                <w:sz w:val="22"/>
                <w:szCs w:val="22"/>
              </w:rPr>
              <w:t xml:space="preserve">⚠️</w:t>
            </w:r>
          </w:p>
        </w:tc>
        <w:tc>
          <w:tcPr>
            <w:tcW w:type="dxa" w:w="8800"/>
            <w:tcBorders>
              <w:top w:val="single" w:color="F5CBA7" w:sz="4"/>
              <w:left w:val="none" w:color="FFFFFF" w:sz="0"/>
              <w:bottom w:val="single" w:color="F5CBA7" w:sz="4"/>
              <w:right w:val="single" w:color="F5CBA7" w:sz="4"/>
            </w:tcBorders>
            <w:shd w:fill="FDEBD0" w:color="auto" w:val="clear"/>
            <w:tcMar>
              <w:top w:type="dxa" w:w="100"/>
              <w:left w:type="dxa" w:w="80"/>
              <w:bottom w:type="dxa" w:w="100"/>
              <w:right w:type="dxa" w:w="160"/>
            </w:tcMar>
          </w:tcPr>
          <w:p>
            <w:pPr>
              <w:spacing w:after="40" w:line="276"/>
            </w:pPr>
            <w:r>
              <w:rPr>
                <w:i/>
                <w:iCs/>
                <w:color w:val="2C3E50"/>
                <w:sz w:val="21"/>
                <w:szCs w:val="21"/>
              </w:rPr>
              <w:t xml:space="preserve">Conséquence : une mise en ligne publique de LévisBiblio nécessite une entente avec la Ville (section 7).</w:t>
            </w:r>
          </w:p>
        </w:tc>
      </w:tr>
    </w:tbl>
    <w:p>
      <w:pPr>
        <w:spacing w:after="120"/>
      </w:pPr>
    </w:p>
    <w:p>
      <w:pPr>
        <w:pStyle w:val="Heading1"/>
        <w:keepNext/>
        <w:keepLines/>
        <w:spacing w:after="160" w:before="360"/>
      </w:pPr>
      <w:r>
        <w:rPr>
          <w:rFonts w:ascii="Arial" w:cs="Arial" w:eastAsia="Arial" w:hAnsi="Arial"/>
          <w:b/>
          <w:bCs/>
          <w:color w:val="1B4F72"/>
          <w:sz w:val="32"/>
          <w:szCs w:val="32"/>
        </w:rPr>
        <w:t xml:space="preserve">7. Demandes à la Ville de Lévis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rPr>
          <w:tblHeader/>
        </w:trPr>
        <w:tc>
          <w:tcPr>
            <w:tcW w:type="dxa" w:w="5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w:t>
            </w:r>
          </w:p>
        </w:tc>
        <w:tc>
          <w:tcPr>
            <w:tcW w:type="dxa" w:w="486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Demande</w:t>
            </w:r>
          </w:p>
        </w:tc>
        <w:tc>
          <w:tcPr>
            <w:tcW w:type="dxa" w:w="40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Pourquoi</w:t>
            </w:r>
          </w:p>
        </w:tc>
      </w:tr>
      <w:tr>
        <w:tc>
          <w:tcPr>
            <w:tcW w:type="dxa" w:w="5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1</w:t>
            </w:r>
          </w:p>
        </w:tc>
        <w:tc>
          <w:tcPr>
            <w:tcW w:type="dxa" w:w="48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Accès officiel aux services web SirsiDynix (Symphony Web Services ou API équivalente) : recherche, disponibilité par succursale, dossier usager, réservation.</w:t>
            </w:r>
          </w:p>
        </w:tc>
        <w:tc>
          <w:tcPr>
            <w:tcW w:type="dxa" w:w="40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Données fiables et stables, sans dépendre de la structure des pages web ; charge minimale et contrôlée par la Ville.</w:t>
            </w:r>
          </w:p>
        </w:tc>
      </w:tr>
      <w:tr>
        <w:tc>
          <w:tcPr>
            <w:tcW w:type="dxa" w:w="5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2</w:t>
            </w:r>
          </w:p>
        </w:tc>
        <w:tc>
          <w:tcPr>
            <w:tcW w:type="dxa" w:w="48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Authentification officielle (jeton d’usager ou connexion par la Ville).</w:t>
            </w:r>
          </w:p>
        </w:tc>
        <w:tc>
          <w:tcPr>
            <w:tcW w:type="dxa" w:w="40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LévisBiblio ne verrait jamais le NIP ; meilleure sécurité et confiance des usagers.</w:t>
            </w:r>
          </w:p>
        </w:tc>
      </w:tr>
      <w:tr>
        <w:tc>
          <w:tcPr>
            <w:tcW w:type="dxa" w:w="5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3</w:t>
            </w:r>
          </w:p>
        </w:tc>
        <w:tc>
          <w:tcPr>
            <w:tcW w:type="dxa" w:w="48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En attendant, une exception Cloudflare limitée et révocable pour le serveur de LévisBiblio (adresse IP fixe ou en-tête secret).</w:t>
            </w:r>
          </w:p>
        </w:tc>
        <w:tc>
          <w:tcPr>
            <w:tcW w:type="dxa" w:w="40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Permettre un pilote encadré, avec un volume d’appels convenu.</w:t>
            </w:r>
          </w:p>
        </w:tc>
      </w:tr>
      <w:tr>
        <w:tc>
          <w:tcPr>
            <w:tcW w:type="dxa" w:w="5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4</w:t>
            </w:r>
          </w:p>
        </w:tc>
        <w:tc>
          <w:tcPr>
            <w:tcW w:type="dxa" w:w="48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Publication des succursales en données ouvertes (adresses, heures, fermetures).</w:t>
            </w:r>
          </w:p>
        </w:tc>
        <w:tc>
          <w:tcPr>
            <w:tcW w:type="dxa" w:w="40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Toujours afficher des horaires à jour, y compris les jours fériés.</w:t>
            </w:r>
          </w:p>
        </w:tc>
      </w:tr>
      <w:tr>
        <w:tc>
          <w:tcPr>
            <w:tcW w:type="dxa" w:w="5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5</w:t>
            </w:r>
          </w:p>
        </w:tc>
        <w:tc>
          <w:tcPr>
            <w:tcW w:type="dxa" w:w="48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Confirmation des conditions d’utilisation de l’API PrêtNumérique / Cantook.</w:t>
            </w:r>
          </w:p>
        </w:tc>
        <w:tc>
          <w:tcPr>
            <w:tcW w:type="dxa" w:w="40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Réunir l’imprimé et le numérique (phase 2).</w:t>
            </w:r>
          </w:p>
        </w:tc>
      </w:tr>
      <w:tr>
        <w:tc>
          <w:tcPr>
            <w:tcW w:type="dxa" w:w="5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6</w:t>
            </w:r>
          </w:p>
        </w:tc>
        <w:tc>
          <w:tcPr>
            <w:tcW w:type="dxa" w:w="48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Un contact technique et l’accord sur l’usage du nom des Bibliothèques de Lévis.</w:t>
            </w:r>
          </w:p>
        </w:tc>
        <w:tc>
          <w:tcPr>
            <w:tcW w:type="dxa" w:w="40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Collaborer, et présenter clairement le projet aux citoyens.</w:t>
            </w:r>
          </w:p>
        </w:tc>
      </w:tr>
    </w:tbl>
    <w:p>
      <w:pPr>
        <w:spacing w:after="120"/>
      </w:pPr>
    </w:p>
    <w:p>
      <w:pPr>
        <w:pStyle w:val="Heading1"/>
        <w:keepNext/>
        <w:keepLines/>
        <w:spacing w:after="160" w:before="360"/>
      </w:pPr>
      <w:r>
        <w:rPr>
          <w:rFonts w:ascii="Arial" w:cs="Arial" w:eastAsia="Arial" w:hAnsi="Arial"/>
          <w:b/>
          <w:bCs/>
          <w:color w:val="1B4F72"/>
          <w:sz w:val="32"/>
          <w:szCs w:val="32"/>
        </w:rPr>
        <w:t xml:space="preserve">8. 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Phase</w:t>
            </w:r>
          </w:p>
        </w:tc>
        <w:tc>
          <w:tcPr>
            <w:tcW w:type="dxa" w:w="456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Contenu</w:t>
            </w:r>
          </w:p>
        </w:tc>
        <w:tc>
          <w:tcPr>
            <w:tcW w:type="dxa" w:w="24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Prérequis</w:t>
            </w:r>
          </w:p>
        </w:tc>
      </w:tr>
      <w:tr>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Phase 1 — Court terme</w:t>
            </w:r>
          </w:p>
        </w:tc>
        <w:tc>
          <w:tcPr>
            <w:tcW w:type="dxa" w:w="45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Mon dossier, succursales, recherche par flux RSS, apparence, accessibilité.</w:t>
            </w:r>
          </w:p>
        </w:tc>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Validation des actions ; entente pour la mise en ligne.</w:t>
            </w:r>
          </w:p>
        </w:tc>
      </w:tr>
      <w:tr>
        <w:tc>
          <w:tcPr>
            <w:tcW w:type="dxa" w:w="24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Phase 2 — Catalogue unifié</w:t>
            </w:r>
          </w:p>
        </w:tc>
        <w:tc>
          <w:tcPr>
            <w:tcW w:type="dxa" w:w="45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Une fiche par œuvre (regroupement des éditions), vue par série, disponibilité imprimée par succursale et numérique, réservation.</w:t>
            </w:r>
          </w:p>
        </w:tc>
        <w:tc>
          <w:tcPr>
            <w:tcW w:type="dxa" w:w="24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Accès officiel (demande 1) ; API PrêtNumérique (demande 5).</w:t>
            </w:r>
          </w:p>
        </w:tc>
      </w:tr>
      <w:tr>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Phase 3 — Au-delà du livre</w:t>
            </w:r>
          </w:p>
        </w:tc>
        <w:tc>
          <w:tcPr>
            <w:tcW w:type="dxa" w:w="45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Films, musique et jeux ; avis de disponibilité ; utilisation hors ligne (PWA).</w:t>
            </w:r>
          </w:p>
        </w:tc>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Phase 2.</w:t>
            </w:r>
          </w:p>
        </w:tc>
      </w:tr>
    </w:tbl>
    <w:p>
      <w:pPr>
        <w:spacing w:after="120"/>
      </w:pPr>
    </w:p>
    <w:p>
      <w:pPr>
        <w:pStyle w:val="Heading1"/>
        <w:keepNext/>
        <w:keepLines/>
        <w:spacing w:after="160" w:before="360"/>
      </w:pPr>
      <w:r>
        <w:rPr>
          <w:rFonts w:ascii="Arial" w:cs="Arial" w:eastAsia="Arial" w:hAnsi="Arial"/>
          <w:b/>
          <w:bCs/>
          <w:color w:val="1B4F72"/>
          <w:sz w:val="32"/>
          <w:szCs w:val="32"/>
        </w:rPr>
        <w:t xml:space="preserve">9. Modèle open source et gouvernance</w:t>
      </w:r>
    </w:p>
    <w:p>
      <w:pPr>
        <w:pStyle w:val="ListParagraph"/>
        <w:numPr>
          <w:ilvl w:val="0"/>
          <w:numId w:val="2"/>
        </w:numPr>
        <w:spacing w:after="60" w:line="276"/>
      </w:pPr>
      <w:r>
        <w:rPr>
          <w:color w:val="222222"/>
          <w:sz w:val="21"/>
          <w:szCs w:val="21"/>
        </w:rPr>
        <w:t xml:space="preserve">Code source public et vérifiable en tout temps, sous licence MIT.</w:t>
      </w:r>
    </w:p>
    <w:p>
      <w:pPr>
        <w:pStyle w:val="ListParagraph"/>
        <w:numPr>
          <w:ilvl w:val="0"/>
          <w:numId w:val="2"/>
        </w:numPr>
        <w:spacing w:after="60" w:line="276"/>
      </w:pPr>
      <w:r>
        <w:rPr>
          <w:color w:val="222222"/>
          <w:sz w:val="21"/>
          <w:szCs w:val="21"/>
        </w:rPr>
        <w:t xml:space="preserve">Contributions bienvenues ; revue de code et tests automatisés avant chaque intégration.</w:t>
      </w:r>
    </w:p>
    <w:p>
      <w:pPr>
        <w:pStyle w:val="ListParagraph"/>
        <w:numPr>
          <w:ilvl w:val="0"/>
          <w:numId w:val="2"/>
        </w:numPr>
        <w:spacing w:after="60" w:line="276"/>
      </w:pPr>
      <w:r>
        <w:rPr>
          <w:color w:val="222222"/>
          <w:sz w:val="21"/>
          <w:szCs w:val="21"/>
        </w:rPr>
        <w:t xml:space="preserve">La Ville peut auditer le code, le réutiliser ou y contribuer librement.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F9E79F" w:sz="4"/>
              <w:left w:val="single" w:color="F9E79F" w:sz="4"/>
              <w:bottom w:val="single" w:color="F9E79F" w:sz="4"/>
              <w:right w:val="none" w:color="FFFFFF" w:sz="0"/>
            </w:tcBorders>
            <w:shd w:fill="FEF9E7" w:color="auto" w:val="clear"/>
            <w:tcMar>
              <w:top w:type="dxa" w:w="100"/>
              <w:left w:type="dxa" w:w="120"/>
              <w:bottom w:type="dxa" w:w="100"/>
              <w:right w:type="dxa" w:w="0"/>
            </w:tcMar>
          </w:tcPr>
          <w:p>
            <w:r>
              <w:rPr>
                <w:rFonts w:ascii="Segoe UI Emoji" w:cs="Segoe UI Emoji" w:eastAsia="Segoe UI Emoji" w:hAnsi="Segoe UI Emoji"/>
                <w:sz w:val="22"/>
                <w:szCs w:val="22"/>
              </w:rPr>
              <w:t xml:space="preserve">💡</w:t>
            </w:r>
          </w:p>
        </w:tc>
        <w:tc>
          <w:tcPr>
            <w:tcW w:type="dxa" w:w="8800"/>
            <w:tcBorders>
              <w:top w:val="single" w:color="F9E79F" w:sz="4"/>
              <w:left w:val="none" w:color="FFFFFF" w:sz="0"/>
              <w:bottom w:val="single" w:color="F9E79F" w:sz="4"/>
              <w:right w:val="single" w:color="F9E79F" w:sz="4"/>
            </w:tcBorders>
            <w:shd w:fill="FEF9E7" w:color="auto" w:val="clear"/>
            <w:tcMar>
              <w:top w:type="dxa" w:w="100"/>
              <w:left w:type="dxa" w:w="80"/>
              <w:bottom w:type="dxa" w:w="100"/>
              <w:right w:type="dxa" w:w="160"/>
            </w:tcMar>
          </w:tcPr>
          <w:p>
            <w:pPr>
              <w:spacing w:after="40" w:line="276"/>
            </w:pPr>
            <w:r>
              <w:rPr>
                <w:i/>
                <w:iCs/>
                <w:color w:val="2C3E50"/>
                <w:sz w:val="21"/>
                <w:szCs w:val="21"/>
              </w:rPr>
              <w:t xml:space="preserve">Tout changement est public, traçable et réversible : l’application ne peut pas dériver vers des usages contraires aux intérêts de la Ville ou des citoyens.</w:t>
            </w:r>
          </w:p>
        </w:tc>
      </w:tr>
    </w:tbl>
    <w:p>
      <w:pPr>
        <w:spacing w:after="120"/>
      </w:pPr>
    </w:p>
    <w:p>
      <w:pPr>
        <w:pStyle w:val="Heading1"/>
        <w:keepNext/>
        <w:keepLines/>
        <w:spacing w:after="160" w:before="360"/>
      </w:pPr>
      <w:r>
        <w:rPr>
          <w:rFonts w:ascii="Arial" w:cs="Arial" w:eastAsia="Arial" w:hAnsi="Arial"/>
          <w:b/>
          <w:bCs/>
          <w:color w:val="1B4F72"/>
          <w:sz w:val="32"/>
          <w:szCs w:val="32"/>
        </w:rPr>
        <w:t xml:space="preserve">10. Prochaines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460"/>
        <w:gridCol w:w="2400"/>
      </w:tblGrid>
      <w:tr>
        <w:trPr>
          <w:tblHeader/>
        </w:trPr>
        <w:tc>
          <w:tcPr>
            <w:tcW w:type="dxa" w:w="5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w:t>
            </w:r>
          </w:p>
        </w:tc>
        <w:tc>
          <w:tcPr>
            <w:tcW w:type="dxa" w:w="646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Action</w:t>
            </w:r>
          </w:p>
        </w:tc>
        <w:tc>
          <w:tcPr>
            <w:tcW w:type="dxa" w:w="2400"/>
            <w:tcBorders>
              <w:top w:val="single" w:color="D5D8DC" w:sz="4"/>
              <w:left w:val="single" w:color="D5D8DC" w:sz="4"/>
              <w:bottom w:val="single" w:color="D5D8DC" w:sz="4"/>
              <w:right w:val="single" w:color="D5D8DC" w:sz="4"/>
            </w:tcBorders>
            <w:shd w:fill="1B4F72" w:color="auto" w:val="clear"/>
            <w:tcMar>
              <w:top w:type="dxa" w:w="80"/>
              <w:left w:type="dxa" w:w="120"/>
              <w:bottom w:type="dxa" w:w="80"/>
              <w:right w:type="dxa" w:w="120"/>
            </w:tcMar>
          </w:tcPr>
          <w:p>
            <w:pPr>
              <w:spacing w:after="20"/>
            </w:pPr>
            <w:r>
              <w:rPr>
                <w:b/>
                <w:bCs/>
                <w:color w:val="FFFFFF"/>
                <w:sz w:val="20"/>
                <w:szCs w:val="20"/>
              </w:rPr>
              <w:t xml:space="preserve">Dépendance</w:t>
            </w:r>
          </w:p>
        </w:tc>
      </w:tr>
      <w:tr>
        <w:tc>
          <w:tcPr>
            <w:tcW w:type="dxa" w:w="5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1</w:t>
            </w:r>
          </w:p>
        </w:tc>
        <w:tc>
          <w:tcPr>
            <w:tcW w:type="dxa" w:w="64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Présenter le prototype « Mon dossier » à la Ville et discuter des demandes de la section 7.</w:t>
            </w:r>
          </w:p>
        </w:tc>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Rencontre avec la Ville</w:t>
            </w:r>
          </w:p>
        </w:tc>
      </w:tr>
      <w:tr>
        <w:tc>
          <w:tcPr>
            <w:tcW w:type="dxa" w:w="5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2</w:t>
            </w:r>
          </w:p>
        </w:tc>
        <w:tc>
          <w:tcPr>
            <w:tcW w:type="dxa" w:w="64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Valider les actions du dossier (renouvellement, suspension, changement de succursale) avec des comptes de test.</w:t>
            </w:r>
          </w:p>
        </w:tc>
        <w:tc>
          <w:tcPr>
            <w:tcW w:type="dxa" w:w="24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Comptes de test</w:t>
            </w:r>
          </w:p>
        </w:tc>
      </w:tr>
      <w:tr>
        <w:tc>
          <w:tcPr>
            <w:tcW w:type="dxa" w:w="5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3</w:t>
            </w:r>
          </w:p>
        </w:tc>
        <w:tc>
          <w:tcPr>
            <w:tcW w:type="dxa" w:w="64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Brancher la recherche sur le flux RSS public.</w:t>
            </w:r>
          </w:p>
        </w:tc>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Aucune</w:t>
            </w:r>
          </w:p>
        </w:tc>
      </w:tr>
      <w:tr>
        <w:tc>
          <w:tcPr>
            <w:tcW w:type="dxa" w:w="5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4</w:t>
            </w:r>
          </w:p>
        </w:tc>
        <w:tc>
          <w:tcPr>
            <w:tcW w:type="dxa" w:w="646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Pilote encadré avec un groupe d’usagers.</w:t>
            </w:r>
          </w:p>
        </w:tc>
        <w:tc>
          <w:tcPr>
            <w:tcW w:type="dxa" w:w="2400"/>
            <w:tcBorders>
              <w:top w:val="single" w:color="D5D8DC" w:sz="4"/>
              <w:left w:val="single" w:color="D5D8DC" w:sz="4"/>
              <w:bottom w:val="single" w:color="D5D8DC" w:sz="4"/>
              <w:right w:val="single" w:color="D5D8DC" w:sz="4"/>
            </w:tcBorders>
            <w:shd w:fill="F2F3F4" w:color="auto" w:val="clear"/>
            <w:tcMar>
              <w:top w:type="dxa" w:w="80"/>
              <w:left w:type="dxa" w:w="120"/>
              <w:bottom w:type="dxa" w:w="80"/>
              <w:right w:type="dxa" w:w="120"/>
            </w:tcMar>
          </w:tcPr>
          <w:p>
            <w:pPr>
              <w:spacing w:after="20"/>
            </w:pPr>
            <w:r>
              <w:rPr>
                <w:color w:val="222222"/>
                <w:sz w:val="20"/>
                <w:szCs w:val="20"/>
              </w:rPr>
              <w:t xml:space="preserve">Demandes 2 ou 3</w:t>
            </w:r>
          </w:p>
        </w:tc>
      </w:tr>
      <w:tr>
        <w:tc>
          <w:tcPr>
            <w:tcW w:type="dxa" w:w="5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5</w:t>
            </w:r>
          </w:p>
        </w:tc>
        <w:tc>
          <w:tcPr>
            <w:tcW w:type="dxa" w:w="646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Démarrer la phase 2 (catalogue unifié).</w:t>
            </w:r>
          </w:p>
        </w:tc>
        <w:tc>
          <w:tcPr>
            <w:tcW w:type="dxa" w:w="2400"/>
            <w:tcBorders>
              <w:top w:val="single" w:color="D5D8DC" w:sz="4"/>
              <w:left w:val="single" w:color="D5D8DC" w:sz="4"/>
              <w:bottom w:val="single" w:color="D5D8DC" w:sz="4"/>
              <w:right w:val="single" w:color="D5D8DC" w:sz="4"/>
            </w:tcBorders>
            <w:shd w:fill="FFFFFF" w:color="auto" w:val="clear"/>
            <w:tcMar>
              <w:top w:type="dxa" w:w="80"/>
              <w:left w:type="dxa" w:w="120"/>
              <w:bottom w:type="dxa" w:w="80"/>
              <w:right w:type="dxa" w:w="120"/>
            </w:tcMar>
          </w:tcPr>
          <w:p>
            <w:pPr>
              <w:spacing w:after="20"/>
            </w:pPr>
            <w:r>
              <w:rPr>
                <w:color w:val="222222"/>
                <w:sz w:val="20"/>
                <w:szCs w:val="20"/>
              </w:rPr>
              <w:t xml:space="preserve">Demandes 1 et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5D8DC" w:sz="4"/>
              <w:left w:val="single" w:color="D5D8DC" w:sz="4"/>
              <w:bottom w:val="single" w:color="D5D8DC" w:sz="4"/>
              <w:right w:val="none" w:color="FFFFFF" w:sz="0"/>
            </w:tcBorders>
            <w:shd w:fill="F2F3F4" w:color="auto" w:val="clear"/>
            <w:tcMar>
              <w:top w:type="dxa" w:w="100"/>
              <w:left w:type="dxa" w:w="120"/>
              <w:bottom w:type="dxa" w:w="100"/>
              <w:right w:type="dxa" w:w="0"/>
            </w:tcMar>
          </w:tcPr>
          <w:p>
            <w:r>
              <w:rPr>
                <w:rFonts w:ascii="Segoe UI Emoji" w:cs="Segoe UI Emoji" w:eastAsia="Segoe UI Emoji" w:hAnsi="Segoe UI Emoji"/>
                <w:sz w:val="22"/>
                <w:szCs w:val="22"/>
              </w:rPr>
              <w:t xml:space="preserve">📝</w:t>
            </w:r>
          </w:p>
        </w:tc>
        <w:tc>
          <w:tcPr>
            <w:tcW w:type="dxa" w:w="8800"/>
            <w:tcBorders>
              <w:top w:val="single" w:color="D5D8DC" w:sz="4"/>
              <w:left w:val="none" w:color="FFFFFF" w:sz="0"/>
              <w:bottom w:val="single" w:color="D5D8DC" w:sz="4"/>
              <w:right w:val="single" w:color="D5D8DC" w:sz="4"/>
            </w:tcBorders>
            <w:shd w:fill="F2F3F4" w:color="auto" w:val="clear"/>
            <w:tcMar>
              <w:top w:type="dxa" w:w="100"/>
              <w:left w:type="dxa" w:w="80"/>
              <w:bottom w:type="dxa" w:w="100"/>
              <w:right w:type="dxa" w:w="160"/>
            </w:tcMar>
          </w:tcPr>
          <w:p>
            <w:pPr>
              <w:spacing w:after="40" w:line="276"/>
            </w:pPr>
            <w:r>
              <w:rPr>
                <w:i/>
                <w:iCs/>
                <w:color w:val="2C3E50"/>
                <w:sz w:val="21"/>
                <w:szCs w:val="21"/>
              </w:rPr>
              <w:t xml:space="preserve">Document évolutif — v4.0 : recentre la phase 1 sur le prototype réalisé (Mon dossier, succursales), met à jour l’architecture (cache et streaming React) et la sécurité, et précise les demandes d’accès officiel à la Ville.</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LévisBiblio — Documentation fonctionnelle v4.0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LévisBiblio — Documentation fonctionnelle v4.0</dc:title>
  <dc:creator>LévisBiblio</dc:creator>
  <cp:lastModifiedBy>Un-named</cp:lastModifiedBy>
  <cp:revision>1</cp:revision>
  <dcterms:created xsi:type="dcterms:W3CDTF">2026-10-12T04:49:08.012Z</dcterms:created>
  <dcterms:modified xsi:type="dcterms:W3CDTF">2026-10-12T04:49:08.015Z</dcterms:modified>
</cp:coreProperties>
</file>

<file path=docProps/custom.xml><?xml version="1.0" encoding="utf-8"?>
<Properties xmlns="http://schemas.openxmlformats.org/officeDocument/2006/custom-properties" xmlns:vt="http://schemas.openxmlformats.org/officeDocument/2006/docPropsVTypes"/>
</file>