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357" w:rsidRDefault="001C7357" w:rsidP="00E11394">
      <w:pPr>
        <w:spacing w:line="240" w:lineRule="auto"/>
      </w:pPr>
      <w:r>
        <w:t>Philip Ourso</w:t>
      </w:r>
    </w:p>
    <w:p w:rsidR="001D4D3B" w:rsidRDefault="001D4D3B" w:rsidP="00E11394">
      <w:pPr>
        <w:spacing w:line="240" w:lineRule="auto"/>
      </w:pPr>
      <w:r>
        <w:t>ST516</w:t>
      </w:r>
      <w:r w:rsidR="00F8679C">
        <w:t xml:space="preserve"> </w:t>
      </w:r>
      <w:r>
        <w:t xml:space="preserve">Module </w:t>
      </w:r>
      <w:r w:rsidR="0017208F">
        <w:t>10</w:t>
      </w:r>
      <w:r>
        <w:t xml:space="preserve">: </w:t>
      </w:r>
      <w:r w:rsidR="00E87B3E">
        <w:t>Simulation study and data analysis</w:t>
      </w:r>
    </w:p>
    <w:p w:rsidR="001D4D3B" w:rsidRDefault="001D4D3B" w:rsidP="001D4D3B">
      <w:pPr>
        <w:pStyle w:val="ListParagraph"/>
        <w:numPr>
          <w:ilvl w:val="0"/>
          <w:numId w:val="1"/>
        </w:numPr>
      </w:pPr>
      <w:r>
        <w:t>Simulation study</w:t>
      </w:r>
    </w:p>
    <w:p w:rsidR="001D4D3B" w:rsidRDefault="000245D0" w:rsidP="001D4D3B">
      <w:pPr>
        <w:pStyle w:val="ListParagraph"/>
        <w:numPr>
          <w:ilvl w:val="1"/>
          <w:numId w:val="1"/>
        </w:numPr>
      </w:pPr>
      <w:r>
        <w:t>Investigation of the sampling distribution of the sample mean of BMI in 2013 and the effect of increasing sample size</w:t>
      </w:r>
      <w:r w:rsidR="001D4D3B">
        <w:t>.</w:t>
      </w:r>
    </w:p>
    <w:p w:rsidR="001D4D3B" w:rsidRDefault="001D4D3B" w:rsidP="001D4D3B">
      <w:pPr>
        <w:pStyle w:val="ListParagraph"/>
        <w:ind w:left="1440"/>
      </w:pPr>
      <w:r w:rsidRPr="001D4D3B">
        <w:rPr>
          <w:i/>
        </w:rPr>
        <w:t>Please see R code in accompanying .R script</w:t>
      </w:r>
      <w:r>
        <w:rPr>
          <w:i/>
        </w:rPr>
        <w:t>.</w:t>
      </w:r>
    </w:p>
    <w:tbl>
      <w:tblPr>
        <w:tblStyle w:val="TableGrid"/>
        <w:tblW w:w="0" w:type="auto"/>
        <w:tblInd w:w="1440" w:type="dxa"/>
        <w:tblLook w:val="04A0" w:firstRow="1" w:lastRow="0" w:firstColumn="1" w:lastColumn="0" w:noHBand="0" w:noVBand="1"/>
      </w:tblPr>
      <w:tblGrid>
        <w:gridCol w:w="2013"/>
        <w:gridCol w:w="1958"/>
        <w:gridCol w:w="1959"/>
        <w:gridCol w:w="1980"/>
      </w:tblGrid>
      <w:tr w:rsidR="00873074" w:rsidTr="00873074">
        <w:tc>
          <w:tcPr>
            <w:tcW w:w="2337" w:type="dxa"/>
          </w:tcPr>
          <w:p w:rsidR="00873074" w:rsidRDefault="00873074" w:rsidP="001D4D3B">
            <w:pPr>
              <w:pStyle w:val="ListParagraph"/>
              <w:ind w:left="0"/>
            </w:pPr>
          </w:p>
        </w:tc>
        <w:tc>
          <w:tcPr>
            <w:tcW w:w="2337" w:type="dxa"/>
          </w:tcPr>
          <w:p w:rsidR="00873074" w:rsidRDefault="00873074" w:rsidP="001D4D3B">
            <w:pPr>
              <w:pStyle w:val="ListParagraph"/>
              <w:ind w:left="0"/>
            </w:pPr>
            <w:r>
              <w:t>N=10</w:t>
            </w:r>
          </w:p>
        </w:tc>
        <w:tc>
          <w:tcPr>
            <w:tcW w:w="2338" w:type="dxa"/>
          </w:tcPr>
          <w:p w:rsidR="00873074" w:rsidRDefault="00873074" w:rsidP="001D4D3B">
            <w:pPr>
              <w:pStyle w:val="ListParagraph"/>
              <w:ind w:left="0"/>
            </w:pPr>
            <w:r>
              <w:t>N=100</w:t>
            </w:r>
          </w:p>
        </w:tc>
        <w:tc>
          <w:tcPr>
            <w:tcW w:w="2338" w:type="dxa"/>
          </w:tcPr>
          <w:p w:rsidR="00873074" w:rsidRDefault="00873074" w:rsidP="001D4D3B">
            <w:pPr>
              <w:pStyle w:val="ListParagraph"/>
              <w:ind w:left="0"/>
            </w:pPr>
            <w:r>
              <w:t>N=1000</w:t>
            </w:r>
          </w:p>
        </w:tc>
      </w:tr>
      <w:tr w:rsidR="00873074" w:rsidTr="00873074">
        <w:tc>
          <w:tcPr>
            <w:tcW w:w="2337" w:type="dxa"/>
          </w:tcPr>
          <w:p w:rsidR="00873074" w:rsidRDefault="00873074" w:rsidP="001D4D3B">
            <w:pPr>
              <w:pStyle w:val="ListParagraph"/>
              <w:ind w:left="0"/>
            </w:pPr>
            <w:r>
              <w:t>Mean</w:t>
            </w:r>
          </w:p>
        </w:tc>
        <w:tc>
          <w:tcPr>
            <w:tcW w:w="2337" w:type="dxa"/>
          </w:tcPr>
          <w:p w:rsidR="00873074" w:rsidRDefault="00873074" w:rsidP="001D4D3B">
            <w:pPr>
              <w:pStyle w:val="ListParagraph"/>
              <w:ind w:left="0"/>
            </w:pPr>
            <w:r>
              <w:t>23.642</w:t>
            </w:r>
          </w:p>
        </w:tc>
        <w:tc>
          <w:tcPr>
            <w:tcW w:w="2338" w:type="dxa"/>
          </w:tcPr>
          <w:p w:rsidR="00873074" w:rsidRDefault="00873074" w:rsidP="001D4D3B">
            <w:pPr>
              <w:pStyle w:val="ListParagraph"/>
              <w:ind w:left="0"/>
            </w:pPr>
            <w:r>
              <w:t>23.642</w:t>
            </w:r>
          </w:p>
        </w:tc>
        <w:tc>
          <w:tcPr>
            <w:tcW w:w="2338" w:type="dxa"/>
          </w:tcPr>
          <w:p w:rsidR="00873074" w:rsidRDefault="00873074" w:rsidP="001D4D3B">
            <w:pPr>
              <w:pStyle w:val="ListParagraph"/>
              <w:ind w:left="0"/>
            </w:pPr>
            <w:r>
              <w:t>23.643</w:t>
            </w:r>
          </w:p>
        </w:tc>
      </w:tr>
      <w:tr w:rsidR="00873074" w:rsidTr="00873074">
        <w:tc>
          <w:tcPr>
            <w:tcW w:w="2337" w:type="dxa"/>
          </w:tcPr>
          <w:p w:rsidR="00873074" w:rsidRDefault="00873074" w:rsidP="001D4D3B">
            <w:pPr>
              <w:pStyle w:val="ListParagraph"/>
              <w:ind w:left="0"/>
            </w:pPr>
            <w:r>
              <w:t>Standard deviation</w:t>
            </w:r>
          </w:p>
        </w:tc>
        <w:tc>
          <w:tcPr>
            <w:tcW w:w="2337" w:type="dxa"/>
          </w:tcPr>
          <w:p w:rsidR="00873074" w:rsidRDefault="00873074" w:rsidP="001D4D3B">
            <w:pPr>
              <w:pStyle w:val="ListParagraph"/>
              <w:ind w:left="0"/>
            </w:pPr>
            <w:r>
              <w:t>1.563</w:t>
            </w:r>
          </w:p>
        </w:tc>
        <w:tc>
          <w:tcPr>
            <w:tcW w:w="2338" w:type="dxa"/>
          </w:tcPr>
          <w:p w:rsidR="00873074" w:rsidRDefault="00873074" w:rsidP="001D4D3B">
            <w:pPr>
              <w:pStyle w:val="ListParagraph"/>
              <w:ind w:left="0"/>
            </w:pPr>
            <w:r>
              <w:t>0.498</w:t>
            </w:r>
          </w:p>
        </w:tc>
        <w:tc>
          <w:tcPr>
            <w:tcW w:w="2338" w:type="dxa"/>
          </w:tcPr>
          <w:p w:rsidR="00873074" w:rsidRDefault="00873074" w:rsidP="00873074">
            <w:pPr>
              <w:pStyle w:val="ListParagraph"/>
              <w:keepNext/>
              <w:ind w:left="0"/>
            </w:pPr>
            <w:r>
              <w:t>0.151</w:t>
            </w:r>
          </w:p>
        </w:tc>
      </w:tr>
    </w:tbl>
    <w:p w:rsidR="001D4D3B" w:rsidRDefault="00873074" w:rsidP="00E11394">
      <w:pPr>
        <w:pStyle w:val="Caption"/>
        <w:ind w:left="1440"/>
      </w:pPr>
      <w:r>
        <w:t xml:space="preserve">Table </w:t>
      </w:r>
      <w:r>
        <w:fldChar w:fldCharType="begin"/>
      </w:r>
      <w:r>
        <w:instrText xml:space="preserve"> SEQ Table \* ARABIC </w:instrText>
      </w:r>
      <w:r>
        <w:fldChar w:fldCharType="separate"/>
      </w:r>
      <w:r w:rsidR="00F721B2">
        <w:rPr>
          <w:noProof/>
        </w:rPr>
        <w:t>1</w:t>
      </w:r>
      <w:r>
        <w:fldChar w:fldCharType="end"/>
      </w:r>
      <w:r>
        <w:rPr>
          <w:noProof/>
        </w:rPr>
        <w:t xml:space="preserve"> Sample mean averages and standard deviations</w:t>
      </w:r>
    </w:p>
    <w:p w:rsidR="001D4D3B" w:rsidRDefault="00F57028" w:rsidP="00F57028">
      <w:pPr>
        <w:pStyle w:val="ListParagraph"/>
        <w:ind w:left="1440"/>
      </w:pPr>
      <w:r>
        <w:t xml:space="preserve">As can be seen </w:t>
      </w:r>
      <w:r w:rsidR="00972047">
        <w:t>in the table above</w:t>
      </w:r>
      <w:r>
        <w:t>, the mean of the sampling distribution is fairly stable as sample size increases from 10 to 100 to 1000, but the standard deviation dramatically decreases with increasing sample size. This is illustrated in the histogram overlay</w:t>
      </w:r>
      <w:r w:rsidR="00325534">
        <w:t xml:space="preserve"> below</w:t>
      </w:r>
      <w:r>
        <w:t xml:space="preserve">, wherein the </w:t>
      </w:r>
      <w:r w:rsidR="00E11394">
        <w:t xml:space="preserve">means and </w:t>
      </w:r>
      <w:r>
        <w:t xml:space="preserve">mean </w:t>
      </w:r>
      <w:r w:rsidR="00D074F9">
        <w:rPr>
          <w:rFonts w:cstheme="minorHAnsi"/>
        </w:rPr>
        <w:t>±</w:t>
      </w:r>
      <w:r>
        <w:t xml:space="preserve"> standard deviation is indicated by dashed and dotted lines of the corresponding color.</w:t>
      </w:r>
    </w:p>
    <w:p w:rsidR="00FE608F" w:rsidRDefault="00253B20" w:rsidP="00F57028">
      <w:pPr>
        <w:pStyle w:val="ListParagraph"/>
        <w:ind w:left="1440"/>
      </w:pPr>
      <w:r>
        <w:tab/>
      </w:r>
      <w:r w:rsidR="00E11394">
        <w:t xml:space="preserve">In the below plot of overlaid histograms, blue represents the lowest sample size, 10, red 100 and green 1000. It is obvious that the distributions are centered </w:t>
      </w:r>
      <w:r w:rsidR="004E488B">
        <w:t>about</w:t>
      </w:r>
      <w:r w:rsidR="00E11394">
        <w:t xml:space="preserve"> a similar value, while the standard deviation, and spread, decreases as sample size increases, consistent with the Central Limit Theorem.</w:t>
      </w:r>
      <w:r w:rsidR="00F8679C">
        <w:t xml:space="preserve"> Some rightward skew is evident, particularly with a sample size of 10, and this is intuitive, as the human body can likely support a BMI further above the mean (heavier for a given height) than below.</w:t>
      </w:r>
    </w:p>
    <w:p w:rsidR="00325534" w:rsidRDefault="00E11394" w:rsidP="00325534">
      <w:pPr>
        <w:pStyle w:val="ListParagraph"/>
        <w:keepNext/>
        <w:ind w:left="1440"/>
      </w:pPr>
      <w:r>
        <w:rPr>
          <w:noProof/>
        </w:rPr>
        <w:drawing>
          <wp:inline distT="0" distB="0" distL="0" distR="0" wp14:anchorId="13430BCC" wp14:editId="526605C1">
            <wp:extent cx="4165600" cy="35465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3488" cy="3561773"/>
                    </a:xfrm>
                    <a:prstGeom prst="rect">
                      <a:avLst/>
                    </a:prstGeom>
                  </pic:spPr>
                </pic:pic>
              </a:graphicData>
            </a:graphic>
          </wp:inline>
        </w:drawing>
      </w:r>
    </w:p>
    <w:p w:rsidR="00FE608F" w:rsidRDefault="00325534" w:rsidP="00325534">
      <w:pPr>
        <w:pStyle w:val="Caption"/>
        <w:ind w:left="1440"/>
      </w:pPr>
      <w:r>
        <w:t xml:space="preserve">Figure </w:t>
      </w:r>
      <w:r>
        <w:fldChar w:fldCharType="begin"/>
      </w:r>
      <w:r>
        <w:instrText xml:space="preserve"> SEQ Figure \* ARABIC </w:instrText>
      </w:r>
      <w:r>
        <w:fldChar w:fldCharType="separate"/>
      </w:r>
      <w:r w:rsidR="006B7C3F">
        <w:rPr>
          <w:noProof/>
        </w:rPr>
        <w:t>1</w:t>
      </w:r>
      <w:r>
        <w:fldChar w:fldCharType="end"/>
      </w:r>
      <w:r>
        <w:rPr>
          <w:noProof/>
        </w:rPr>
        <w:t xml:space="preserve"> Histograms of sampling distributions of sample mean</w:t>
      </w:r>
    </w:p>
    <w:p w:rsidR="00476BDA" w:rsidRDefault="008B52E7" w:rsidP="00476BDA">
      <w:pPr>
        <w:pStyle w:val="ListParagraph"/>
        <w:numPr>
          <w:ilvl w:val="1"/>
          <w:numId w:val="1"/>
        </w:numPr>
      </w:pPr>
      <w:r>
        <w:lastRenderedPageBreak/>
        <w:t xml:space="preserve">Investigation of the sampling distribution of the sample </w:t>
      </w:r>
      <w:r>
        <w:t>25</w:t>
      </w:r>
      <w:r w:rsidRPr="008B52E7">
        <w:rPr>
          <w:vertAlign w:val="superscript"/>
        </w:rPr>
        <w:t>th</w:t>
      </w:r>
      <w:r>
        <w:t xml:space="preserve"> percentile</w:t>
      </w:r>
      <w:r>
        <w:t xml:space="preserve"> of BMI in 2013 and the effect of increasing sample size.</w:t>
      </w:r>
    </w:p>
    <w:tbl>
      <w:tblPr>
        <w:tblStyle w:val="TableGrid"/>
        <w:tblW w:w="0" w:type="auto"/>
        <w:tblInd w:w="1440" w:type="dxa"/>
        <w:tblLook w:val="04A0" w:firstRow="1" w:lastRow="0" w:firstColumn="1" w:lastColumn="0" w:noHBand="0" w:noVBand="1"/>
      </w:tblPr>
      <w:tblGrid>
        <w:gridCol w:w="1977"/>
        <w:gridCol w:w="1977"/>
        <w:gridCol w:w="1978"/>
        <w:gridCol w:w="1978"/>
      </w:tblGrid>
      <w:tr w:rsidR="00097229" w:rsidTr="00097229">
        <w:tc>
          <w:tcPr>
            <w:tcW w:w="1977" w:type="dxa"/>
          </w:tcPr>
          <w:p w:rsidR="00097229" w:rsidRDefault="00097229" w:rsidP="00097229">
            <w:pPr>
              <w:pStyle w:val="ListParagraph"/>
              <w:ind w:left="0"/>
            </w:pPr>
          </w:p>
        </w:tc>
        <w:tc>
          <w:tcPr>
            <w:tcW w:w="1977" w:type="dxa"/>
          </w:tcPr>
          <w:p w:rsidR="00097229" w:rsidRDefault="00097229" w:rsidP="00097229">
            <w:pPr>
              <w:pStyle w:val="ListParagraph"/>
              <w:ind w:left="0"/>
            </w:pPr>
            <w:r>
              <w:t>N=10</w:t>
            </w:r>
          </w:p>
        </w:tc>
        <w:tc>
          <w:tcPr>
            <w:tcW w:w="1978" w:type="dxa"/>
          </w:tcPr>
          <w:p w:rsidR="00097229" w:rsidRDefault="00097229" w:rsidP="00097229">
            <w:pPr>
              <w:pStyle w:val="ListParagraph"/>
              <w:ind w:left="0"/>
            </w:pPr>
            <w:r>
              <w:t>N=100</w:t>
            </w:r>
          </w:p>
        </w:tc>
        <w:tc>
          <w:tcPr>
            <w:tcW w:w="1978" w:type="dxa"/>
          </w:tcPr>
          <w:p w:rsidR="00097229" w:rsidRDefault="00097229" w:rsidP="00097229">
            <w:pPr>
              <w:pStyle w:val="ListParagraph"/>
              <w:ind w:left="0"/>
            </w:pPr>
            <w:r>
              <w:t>N=1000</w:t>
            </w:r>
          </w:p>
        </w:tc>
      </w:tr>
      <w:tr w:rsidR="00097229" w:rsidTr="00097229">
        <w:tc>
          <w:tcPr>
            <w:tcW w:w="1977" w:type="dxa"/>
          </w:tcPr>
          <w:p w:rsidR="00097229" w:rsidRDefault="00097229" w:rsidP="00097229">
            <w:pPr>
              <w:pStyle w:val="ListParagraph"/>
              <w:ind w:left="0"/>
            </w:pPr>
            <w:r>
              <w:t>Mean</w:t>
            </w:r>
          </w:p>
        </w:tc>
        <w:tc>
          <w:tcPr>
            <w:tcW w:w="1977" w:type="dxa"/>
          </w:tcPr>
          <w:p w:rsidR="00097229" w:rsidRDefault="00097229" w:rsidP="00097229">
            <w:pPr>
              <w:pStyle w:val="ListParagraph"/>
              <w:ind w:left="0"/>
            </w:pPr>
            <w:r>
              <w:t>20.629</w:t>
            </w:r>
          </w:p>
        </w:tc>
        <w:tc>
          <w:tcPr>
            <w:tcW w:w="1978" w:type="dxa"/>
          </w:tcPr>
          <w:p w:rsidR="00097229" w:rsidRDefault="00097229" w:rsidP="00097229">
            <w:pPr>
              <w:pStyle w:val="ListParagraph"/>
              <w:ind w:left="0"/>
            </w:pPr>
            <w:r>
              <w:t>20.301</w:t>
            </w:r>
          </w:p>
        </w:tc>
        <w:tc>
          <w:tcPr>
            <w:tcW w:w="1978" w:type="dxa"/>
          </w:tcPr>
          <w:p w:rsidR="00097229" w:rsidRDefault="00097229" w:rsidP="00097229">
            <w:pPr>
              <w:pStyle w:val="ListParagraph"/>
              <w:ind w:left="0"/>
            </w:pPr>
            <w:r>
              <w:t>20.274</w:t>
            </w:r>
          </w:p>
        </w:tc>
      </w:tr>
      <w:tr w:rsidR="00097229" w:rsidTr="00097229">
        <w:tc>
          <w:tcPr>
            <w:tcW w:w="1977" w:type="dxa"/>
          </w:tcPr>
          <w:p w:rsidR="00097229" w:rsidRDefault="00097229" w:rsidP="00097229">
            <w:pPr>
              <w:pStyle w:val="ListParagraph"/>
              <w:ind w:left="0"/>
            </w:pPr>
            <w:r>
              <w:t>Standard deviation</w:t>
            </w:r>
          </w:p>
        </w:tc>
        <w:tc>
          <w:tcPr>
            <w:tcW w:w="1977" w:type="dxa"/>
          </w:tcPr>
          <w:p w:rsidR="00097229" w:rsidRDefault="0030000A" w:rsidP="00097229">
            <w:pPr>
              <w:pStyle w:val="ListParagraph"/>
              <w:ind w:left="0"/>
            </w:pPr>
            <w:r>
              <w:t>1.308</w:t>
            </w:r>
          </w:p>
        </w:tc>
        <w:tc>
          <w:tcPr>
            <w:tcW w:w="1978" w:type="dxa"/>
          </w:tcPr>
          <w:p w:rsidR="00097229" w:rsidRDefault="0030000A" w:rsidP="00097229">
            <w:pPr>
              <w:pStyle w:val="ListParagraph"/>
              <w:ind w:left="0"/>
            </w:pPr>
            <w:r>
              <w:t>0.407</w:t>
            </w:r>
          </w:p>
        </w:tc>
        <w:tc>
          <w:tcPr>
            <w:tcW w:w="1978" w:type="dxa"/>
          </w:tcPr>
          <w:p w:rsidR="00097229" w:rsidRDefault="0030000A" w:rsidP="00097229">
            <w:pPr>
              <w:pStyle w:val="ListParagraph"/>
              <w:keepNext/>
              <w:ind w:left="0"/>
            </w:pPr>
            <w:r>
              <w:t>0.128</w:t>
            </w:r>
          </w:p>
        </w:tc>
      </w:tr>
    </w:tbl>
    <w:p w:rsidR="0075639E" w:rsidRDefault="00097229" w:rsidP="0071276D">
      <w:pPr>
        <w:pStyle w:val="Caption"/>
        <w:ind w:left="720" w:firstLine="720"/>
      </w:pPr>
      <w:r>
        <w:t xml:space="preserve">Table </w:t>
      </w:r>
      <w:r>
        <w:fldChar w:fldCharType="begin"/>
      </w:r>
      <w:r>
        <w:instrText xml:space="preserve"> SEQ Table \* ARABIC </w:instrText>
      </w:r>
      <w:r>
        <w:fldChar w:fldCharType="separate"/>
      </w:r>
      <w:r w:rsidR="00F721B2">
        <w:rPr>
          <w:noProof/>
        </w:rPr>
        <w:t>2</w:t>
      </w:r>
      <w:r>
        <w:fldChar w:fldCharType="end"/>
      </w:r>
      <w:r>
        <w:t xml:space="preserve"> </w:t>
      </w:r>
      <w:r w:rsidRPr="00E15D2B">
        <w:t xml:space="preserve">Sample </w:t>
      </w:r>
      <w:r>
        <w:t>quantile</w:t>
      </w:r>
      <w:r w:rsidRPr="00E15D2B">
        <w:t xml:space="preserve"> averages and standard deviations</w:t>
      </w:r>
    </w:p>
    <w:p w:rsidR="00D52B41" w:rsidRDefault="0075639E" w:rsidP="0075639E">
      <w:pPr>
        <w:pStyle w:val="ListParagraph"/>
        <w:ind w:left="1440"/>
      </w:pPr>
      <w:r>
        <w:t xml:space="preserve">As can be seen from the </w:t>
      </w:r>
      <w:r w:rsidR="00F8679C">
        <w:t>table</w:t>
      </w:r>
      <w:r>
        <w:t xml:space="preserve"> values, the 25</w:t>
      </w:r>
      <w:r w:rsidRPr="00F8679C">
        <w:rPr>
          <w:vertAlign w:val="superscript"/>
        </w:rPr>
        <w:t>th</w:t>
      </w:r>
      <w:r>
        <w:t xml:space="preserve"> percentile of the sampling distribution is fairly stable</w:t>
      </w:r>
      <w:r w:rsidR="0027207E">
        <w:t xml:space="preserve"> (although not as stable as the sample mean)</w:t>
      </w:r>
      <w:r>
        <w:t xml:space="preserve"> as sample size increases from 10 to 100 to 1000, but the standard deviation </w:t>
      </w:r>
      <w:r w:rsidR="00977771">
        <w:t xml:space="preserve">again </w:t>
      </w:r>
      <w:r>
        <w:t>dramatically decreases  with increasing sample size. This is illustrated in the histogram overlay, where the spread of the dist</w:t>
      </w:r>
      <w:r w:rsidR="0027207E">
        <w:t>ribution</w:t>
      </w:r>
      <w:r>
        <w:t xml:space="preserve"> is clearly decreasing as the sample size increases, but are still roughly centered </w:t>
      </w:r>
      <w:r w:rsidR="0027207E">
        <w:t>about</w:t>
      </w:r>
      <w:r>
        <w:t xml:space="preserve"> the same value.</w:t>
      </w:r>
      <w:r w:rsidR="00977771">
        <w:t xml:space="preserve"> The same rightward skew is again evident, and as a whole, the distributions are similar to the sample mean distribution, although centered about a lower value.</w:t>
      </w:r>
    </w:p>
    <w:p w:rsidR="00977771" w:rsidRDefault="0027207E" w:rsidP="00977771">
      <w:pPr>
        <w:pStyle w:val="ListParagraph"/>
        <w:keepNext/>
        <w:ind w:left="1440"/>
      </w:pPr>
      <w:r>
        <w:rPr>
          <w:noProof/>
        </w:rPr>
        <w:drawing>
          <wp:inline distT="0" distB="0" distL="0" distR="0" wp14:anchorId="6F778D61" wp14:editId="7DBB8477">
            <wp:extent cx="4645200" cy="327744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0355" cy="3288140"/>
                    </a:xfrm>
                    <a:prstGeom prst="rect">
                      <a:avLst/>
                    </a:prstGeom>
                  </pic:spPr>
                </pic:pic>
              </a:graphicData>
            </a:graphic>
          </wp:inline>
        </w:drawing>
      </w:r>
    </w:p>
    <w:p w:rsidR="0027207E" w:rsidRDefault="00977771" w:rsidP="00977771">
      <w:pPr>
        <w:pStyle w:val="Caption"/>
        <w:ind w:left="720" w:firstLine="720"/>
      </w:pPr>
      <w:r>
        <w:t xml:space="preserve">Figure </w:t>
      </w:r>
      <w:r>
        <w:fldChar w:fldCharType="begin"/>
      </w:r>
      <w:r>
        <w:instrText xml:space="preserve"> SEQ Figure \* ARABIC </w:instrText>
      </w:r>
      <w:r>
        <w:fldChar w:fldCharType="separate"/>
      </w:r>
      <w:r w:rsidR="006B7C3F">
        <w:rPr>
          <w:noProof/>
        </w:rPr>
        <w:t>2</w:t>
      </w:r>
      <w:r>
        <w:fldChar w:fldCharType="end"/>
      </w:r>
      <w:r>
        <w:t xml:space="preserve"> </w:t>
      </w:r>
      <w:r w:rsidRPr="000B6F17">
        <w:t xml:space="preserve">Histograms of sampling distributions of sample </w:t>
      </w:r>
      <w:r>
        <w:t>quantile</w:t>
      </w:r>
    </w:p>
    <w:p w:rsidR="00D52B41" w:rsidRDefault="00AE2697" w:rsidP="00D52B41">
      <w:pPr>
        <w:pStyle w:val="ListParagraph"/>
        <w:numPr>
          <w:ilvl w:val="1"/>
          <w:numId w:val="1"/>
        </w:numPr>
      </w:pPr>
      <w:r>
        <w:t xml:space="preserve">Investigation of the sampling distribution of the sample </w:t>
      </w:r>
      <w:r w:rsidR="007D1C6D">
        <w:t>minimum</w:t>
      </w:r>
      <w:r>
        <w:t xml:space="preserve"> of BMI in 2013 and the effect of increasing sample size.</w:t>
      </w:r>
    </w:p>
    <w:tbl>
      <w:tblPr>
        <w:tblStyle w:val="TableGrid"/>
        <w:tblW w:w="0" w:type="auto"/>
        <w:tblInd w:w="1440" w:type="dxa"/>
        <w:tblLook w:val="04A0" w:firstRow="1" w:lastRow="0" w:firstColumn="1" w:lastColumn="0" w:noHBand="0" w:noVBand="1"/>
      </w:tblPr>
      <w:tblGrid>
        <w:gridCol w:w="1977"/>
        <w:gridCol w:w="1977"/>
        <w:gridCol w:w="1978"/>
        <w:gridCol w:w="1978"/>
      </w:tblGrid>
      <w:tr w:rsidR="007D1C6D" w:rsidTr="007D1C6D">
        <w:tc>
          <w:tcPr>
            <w:tcW w:w="1977" w:type="dxa"/>
          </w:tcPr>
          <w:p w:rsidR="007D1C6D" w:rsidRDefault="007D1C6D" w:rsidP="007D1C6D">
            <w:pPr>
              <w:pStyle w:val="ListParagraph"/>
              <w:ind w:left="0"/>
            </w:pPr>
          </w:p>
        </w:tc>
        <w:tc>
          <w:tcPr>
            <w:tcW w:w="1977" w:type="dxa"/>
          </w:tcPr>
          <w:p w:rsidR="007D1C6D" w:rsidRDefault="007D1C6D" w:rsidP="007D1C6D">
            <w:pPr>
              <w:pStyle w:val="ListParagraph"/>
              <w:ind w:left="0"/>
            </w:pPr>
            <w:r>
              <w:t>N=10</w:t>
            </w:r>
          </w:p>
        </w:tc>
        <w:tc>
          <w:tcPr>
            <w:tcW w:w="1978" w:type="dxa"/>
          </w:tcPr>
          <w:p w:rsidR="007D1C6D" w:rsidRDefault="007D1C6D" w:rsidP="007D1C6D">
            <w:pPr>
              <w:pStyle w:val="ListParagraph"/>
              <w:ind w:left="0"/>
            </w:pPr>
            <w:r>
              <w:t>N=100</w:t>
            </w:r>
          </w:p>
        </w:tc>
        <w:tc>
          <w:tcPr>
            <w:tcW w:w="1978" w:type="dxa"/>
          </w:tcPr>
          <w:p w:rsidR="007D1C6D" w:rsidRDefault="007D1C6D" w:rsidP="007D1C6D">
            <w:pPr>
              <w:pStyle w:val="ListParagraph"/>
              <w:ind w:left="0"/>
            </w:pPr>
            <w:r>
              <w:t>N=1000</w:t>
            </w:r>
          </w:p>
        </w:tc>
      </w:tr>
      <w:tr w:rsidR="007D1C6D" w:rsidTr="007D1C6D">
        <w:tc>
          <w:tcPr>
            <w:tcW w:w="1977" w:type="dxa"/>
          </w:tcPr>
          <w:p w:rsidR="007D1C6D" w:rsidRDefault="007D1C6D" w:rsidP="007D1C6D">
            <w:pPr>
              <w:pStyle w:val="ListParagraph"/>
              <w:ind w:left="0"/>
            </w:pPr>
            <w:r>
              <w:t>Mean</w:t>
            </w:r>
          </w:p>
        </w:tc>
        <w:tc>
          <w:tcPr>
            <w:tcW w:w="1977" w:type="dxa"/>
          </w:tcPr>
          <w:p w:rsidR="007D1C6D" w:rsidRDefault="007D1C6D" w:rsidP="007D1C6D">
            <w:pPr>
              <w:pStyle w:val="ListParagraph"/>
              <w:ind w:left="0"/>
            </w:pPr>
            <w:r>
              <w:t>18.091</w:t>
            </w:r>
          </w:p>
        </w:tc>
        <w:tc>
          <w:tcPr>
            <w:tcW w:w="1978" w:type="dxa"/>
          </w:tcPr>
          <w:p w:rsidR="007D1C6D" w:rsidRDefault="007D1C6D" w:rsidP="007D1C6D">
            <w:pPr>
              <w:pStyle w:val="ListParagraph"/>
              <w:ind w:left="0"/>
            </w:pPr>
            <w:r>
              <w:t>15.63</w:t>
            </w:r>
          </w:p>
        </w:tc>
        <w:tc>
          <w:tcPr>
            <w:tcW w:w="1978" w:type="dxa"/>
          </w:tcPr>
          <w:p w:rsidR="007D1C6D" w:rsidRDefault="007D1C6D" w:rsidP="007D1C6D">
            <w:pPr>
              <w:pStyle w:val="ListParagraph"/>
              <w:ind w:left="0"/>
            </w:pPr>
            <w:r>
              <w:t>14.040</w:t>
            </w:r>
          </w:p>
        </w:tc>
      </w:tr>
      <w:tr w:rsidR="007D1C6D" w:rsidTr="007D1C6D">
        <w:tc>
          <w:tcPr>
            <w:tcW w:w="1977" w:type="dxa"/>
          </w:tcPr>
          <w:p w:rsidR="007D1C6D" w:rsidRDefault="007D1C6D" w:rsidP="007D1C6D">
            <w:pPr>
              <w:pStyle w:val="ListParagraph"/>
              <w:ind w:left="0"/>
            </w:pPr>
            <w:r>
              <w:t>Standard deviation</w:t>
            </w:r>
          </w:p>
        </w:tc>
        <w:tc>
          <w:tcPr>
            <w:tcW w:w="1977" w:type="dxa"/>
          </w:tcPr>
          <w:p w:rsidR="007D1C6D" w:rsidRDefault="007D1C6D" w:rsidP="007D1C6D">
            <w:pPr>
              <w:pStyle w:val="ListParagraph"/>
              <w:ind w:left="0"/>
            </w:pPr>
            <w:r>
              <w:t>1.480</w:t>
            </w:r>
          </w:p>
        </w:tc>
        <w:tc>
          <w:tcPr>
            <w:tcW w:w="1978" w:type="dxa"/>
          </w:tcPr>
          <w:p w:rsidR="007D1C6D" w:rsidRDefault="007D1C6D" w:rsidP="007D1C6D">
            <w:pPr>
              <w:pStyle w:val="ListParagraph"/>
              <w:ind w:left="0"/>
            </w:pPr>
            <w:r>
              <w:t>0.96</w:t>
            </w:r>
          </w:p>
        </w:tc>
        <w:tc>
          <w:tcPr>
            <w:tcW w:w="1978" w:type="dxa"/>
          </w:tcPr>
          <w:p w:rsidR="007D1C6D" w:rsidRDefault="007D1C6D" w:rsidP="007D1C6D">
            <w:pPr>
              <w:pStyle w:val="ListParagraph"/>
              <w:keepNext/>
              <w:ind w:left="0"/>
            </w:pPr>
            <w:r>
              <w:t>0.581</w:t>
            </w:r>
          </w:p>
        </w:tc>
      </w:tr>
    </w:tbl>
    <w:p w:rsidR="007764E1" w:rsidRDefault="00AE2697" w:rsidP="007D1C6D">
      <w:pPr>
        <w:pStyle w:val="Caption"/>
        <w:ind w:left="720" w:firstLine="720"/>
      </w:pPr>
      <w:r>
        <w:t xml:space="preserve">Table </w:t>
      </w:r>
      <w:r>
        <w:fldChar w:fldCharType="begin"/>
      </w:r>
      <w:r>
        <w:instrText xml:space="preserve"> SEQ Table \* ARABIC </w:instrText>
      </w:r>
      <w:r>
        <w:fldChar w:fldCharType="separate"/>
      </w:r>
      <w:r w:rsidR="00F721B2">
        <w:rPr>
          <w:noProof/>
        </w:rPr>
        <w:t>3</w:t>
      </w:r>
      <w:r>
        <w:fldChar w:fldCharType="end"/>
      </w:r>
      <w:r>
        <w:t xml:space="preserve"> </w:t>
      </w:r>
      <w:r w:rsidRPr="00FB4E4E">
        <w:t xml:space="preserve">Sample </w:t>
      </w:r>
      <w:r>
        <w:t>minimum</w:t>
      </w:r>
      <w:r w:rsidRPr="00FB4E4E">
        <w:t xml:space="preserve"> averages and standard deviations</w:t>
      </w:r>
    </w:p>
    <w:p w:rsidR="00D52B41" w:rsidRDefault="007764E1" w:rsidP="007764E1">
      <w:pPr>
        <w:pStyle w:val="ListParagraph"/>
        <w:ind w:left="1440"/>
      </w:pPr>
      <w:r>
        <w:t>In the case of the sample minimum, the standard deviation continues the expected trend: the values decrease with increasing sample size</w:t>
      </w:r>
      <w:r w:rsidR="002536D9">
        <w:t>, and hence spread decreases</w:t>
      </w:r>
      <w:r>
        <w:t xml:space="preserve">. However, in the case of the summary statistic, the mean value decreases significantly. This is visualized in the histogram overlay as the distributions are no longer centered </w:t>
      </w:r>
      <w:r w:rsidR="00411F63">
        <w:lastRenderedPageBreak/>
        <w:t xml:space="preserve">about </w:t>
      </w:r>
      <w:r>
        <w:t xml:space="preserve">the same approximate value. Furthermore, the distribution corresponding to the largest sample size (green, n = 1000) is truncated. This </w:t>
      </w:r>
      <w:r w:rsidR="002536D9">
        <w:t>should be expected</w:t>
      </w:r>
      <w:r>
        <w:t>, as we'd expect the summary statistic to approach the population minimum as sample size increases.</w:t>
      </w:r>
    </w:p>
    <w:p w:rsidR="00B21C19" w:rsidRDefault="003650C0" w:rsidP="00B21C19">
      <w:pPr>
        <w:pStyle w:val="ListParagraph"/>
        <w:keepNext/>
        <w:ind w:left="1440"/>
      </w:pPr>
      <w:r>
        <w:rPr>
          <w:noProof/>
        </w:rPr>
        <w:drawing>
          <wp:inline distT="0" distB="0" distL="0" distR="0" wp14:anchorId="239340F3" wp14:editId="45DB93AD">
            <wp:extent cx="5024748" cy="356510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7573" cy="3581296"/>
                    </a:xfrm>
                    <a:prstGeom prst="rect">
                      <a:avLst/>
                    </a:prstGeom>
                  </pic:spPr>
                </pic:pic>
              </a:graphicData>
            </a:graphic>
          </wp:inline>
        </w:drawing>
      </w:r>
    </w:p>
    <w:p w:rsidR="003650C0" w:rsidRDefault="00B21C19" w:rsidP="002536D9">
      <w:pPr>
        <w:pStyle w:val="Caption"/>
        <w:ind w:left="720" w:firstLine="720"/>
      </w:pPr>
      <w:r>
        <w:t xml:space="preserve">Figure </w:t>
      </w:r>
      <w:r>
        <w:fldChar w:fldCharType="begin"/>
      </w:r>
      <w:r>
        <w:instrText xml:space="preserve"> SEQ Figure \* ARABIC </w:instrText>
      </w:r>
      <w:r>
        <w:fldChar w:fldCharType="separate"/>
      </w:r>
      <w:r w:rsidR="006B7C3F">
        <w:rPr>
          <w:noProof/>
        </w:rPr>
        <w:t>3</w:t>
      </w:r>
      <w:r>
        <w:fldChar w:fldCharType="end"/>
      </w:r>
      <w:r>
        <w:t xml:space="preserve"> </w:t>
      </w:r>
      <w:r w:rsidRPr="005F7E42">
        <w:t xml:space="preserve">Histograms of sampling distributions of sample </w:t>
      </w:r>
      <w:r>
        <w:t>minimum</w:t>
      </w:r>
    </w:p>
    <w:p w:rsidR="003650C0" w:rsidRDefault="003650C0" w:rsidP="007764E1">
      <w:pPr>
        <w:pStyle w:val="ListParagraph"/>
        <w:ind w:left="1440"/>
      </w:pPr>
    </w:p>
    <w:p w:rsidR="001A35AD" w:rsidRDefault="0078382A" w:rsidP="00C95FF9">
      <w:pPr>
        <w:pStyle w:val="ListParagraph"/>
        <w:numPr>
          <w:ilvl w:val="1"/>
          <w:numId w:val="1"/>
        </w:numPr>
      </w:pPr>
      <w:r>
        <w:t xml:space="preserve">Investigation of the sampling distribution of the sample </w:t>
      </w:r>
      <w:r>
        <w:t xml:space="preserve">median </w:t>
      </w:r>
      <w:r>
        <w:t>of BMI in 2013 and the effect of increasing sample size.</w:t>
      </w:r>
    </w:p>
    <w:tbl>
      <w:tblPr>
        <w:tblStyle w:val="TableGrid"/>
        <w:tblW w:w="0" w:type="auto"/>
        <w:tblInd w:w="1440" w:type="dxa"/>
        <w:tblLook w:val="04A0" w:firstRow="1" w:lastRow="0" w:firstColumn="1" w:lastColumn="0" w:noHBand="0" w:noVBand="1"/>
      </w:tblPr>
      <w:tblGrid>
        <w:gridCol w:w="1977"/>
        <w:gridCol w:w="1977"/>
        <w:gridCol w:w="1978"/>
        <w:gridCol w:w="1978"/>
      </w:tblGrid>
      <w:tr w:rsidR="0078382A" w:rsidTr="0078382A">
        <w:tc>
          <w:tcPr>
            <w:tcW w:w="1977" w:type="dxa"/>
          </w:tcPr>
          <w:p w:rsidR="0078382A" w:rsidRDefault="0078382A" w:rsidP="0078382A">
            <w:pPr>
              <w:pStyle w:val="ListParagraph"/>
              <w:ind w:left="0"/>
            </w:pPr>
          </w:p>
        </w:tc>
        <w:tc>
          <w:tcPr>
            <w:tcW w:w="1977" w:type="dxa"/>
          </w:tcPr>
          <w:p w:rsidR="0078382A" w:rsidRDefault="0078382A" w:rsidP="0078382A">
            <w:pPr>
              <w:pStyle w:val="ListParagraph"/>
              <w:ind w:left="0"/>
            </w:pPr>
            <w:r>
              <w:t>N</w:t>
            </w:r>
            <w:r w:rsidRPr="0078382A">
              <w:rPr>
                <w:vertAlign w:val="subscript"/>
              </w:rPr>
              <w:t>1</w:t>
            </w:r>
            <w:r>
              <w:t>, N</w:t>
            </w:r>
            <w:r w:rsidRPr="0078382A">
              <w:rPr>
                <w:vertAlign w:val="subscript"/>
              </w:rPr>
              <w:t>2</w:t>
            </w:r>
            <w:r>
              <w:t xml:space="preserve"> = 5</w:t>
            </w:r>
          </w:p>
        </w:tc>
        <w:tc>
          <w:tcPr>
            <w:tcW w:w="1978" w:type="dxa"/>
          </w:tcPr>
          <w:p w:rsidR="0078382A" w:rsidRDefault="0078382A" w:rsidP="0078382A">
            <w:pPr>
              <w:pStyle w:val="ListParagraph"/>
              <w:ind w:left="0"/>
            </w:pPr>
            <w:r>
              <w:t>N</w:t>
            </w:r>
            <w:r w:rsidRPr="0078382A">
              <w:rPr>
                <w:vertAlign w:val="subscript"/>
              </w:rPr>
              <w:t>1</w:t>
            </w:r>
            <w:r>
              <w:t>, N</w:t>
            </w:r>
            <w:r w:rsidRPr="0078382A">
              <w:rPr>
                <w:vertAlign w:val="subscript"/>
              </w:rPr>
              <w:t>2</w:t>
            </w:r>
            <w:r>
              <w:t xml:space="preserve"> = </w:t>
            </w:r>
            <w:r>
              <w:t>10</w:t>
            </w:r>
          </w:p>
        </w:tc>
        <w:tc>
          <w:tcPr>
            <w:tcW w:w="1978" w:type="dxa"/>
          </w:tcPr>
          <w:p w:rsidR="0078382A" w:rsidRDefault="0078382A" w:rsidP="0078382A">
            <w:pPr>
              <w:pStyle w:val="ListParagraph"/>
              <w:ind w:left="0"/>
            </w:pPr>
            <w:r>
              <w:t>N</w:t>
            </w:r>
            <w:r w:rsidRPr="0078382A">
              <w:rPr>
                <w:vertAlign w:val="subscript"/>
              </w:rPr>
              <w:t>1</w:t>
            </w:r>
            <w:r>
              <w:t>, N</w:t>
            </w:r>
            <w:r w:rsidRPr="0078382A">
              <w:rPr>
                <w:vertAlign w:val="subscript"/>
              </w:rPr>
              <w:t>2</w:t>
            </w:r>
            <w:r>
              <w:t xml:space="preserve"> = </w:t>
            </w:r>
            <w:r>
              <w:t>100</w:t>
            </w:r>
          </w:p>
        </w:tc>
      </w:tr>
      <w:tr w:rsidR="0078382A" w:rsidTr="0078382A">
        <w:tc>
          <w:tcPr>
            <w:tcW w:w="1977" w:type="dxa"/>
          </w:tcPr>
          <w:p w:rsidR="0078382A" w:rsidRDefault="0078382A" w:rsidP="0078382A">
            <w:pPr>
              <w:pStyle w:val="ListParagraph"/>
              <w:ind w:left="0"/>
            </w:pPr>
            <w:r>
              <w:t>Mean</w:t>
            </w:r>
          </w:p>
        </w:tc>
        <w:tc>
          <w:tcPr>
            <w:tcW w:w="1977" w:type="dxa"/>
          </w:tcPr>
          <w:p w:rsidR="0078382A" w:rsidRDefault="0078382A" w:rsidP="0078382A">
            <w:pPr>
              <w:pStyle w:val="ListParagraph"/>
              <w:ind w:left="0"/>
            </w:pPr>
            <w:r>
              <w:t>0.237</w:t>
            </w:r>
          </w:p>
        </w:tc>
        <w:tc>
          <w:tcPr>
            <w:tcW w:w="1978" w:type="dxa"/>
          </w:tcPr>
          <w:p w:rsidR="0078382A" w:rsidRDefault="0078382A" w:rsidP="0078382A">
            <w:pPr>
              <w:pStyle w:val="ListParagraph"/>
              <w:ind w:left="0"/>
            </w:pPr>
            <w:r>
              <w:t>0.131</w:t>
            </w:r>
          </w:p>
        </w:tc>
        <w:tc>
          <w:tcPr>
            <w:tcW w:w="1978" w:type="dxa"/>
          </w:tcPr>
          <w:p w:rsidR="0078382A" w:rsidRDefault="0078382A" w:rsidP="0078382A">
            <w:pPr>
              <w:pStyle w:val="ListParagraph"/>
              <w:ind w:left="0"/>
            </w:pPr>
            <w:r>
              <w:t>0.181</w:t>
            </w:r>
          </w:p>
        </w:tc>
      </w:tr>
      <w:tr w:rsidR="0078382A" w:rsidTr="0078382A">
        <w:tc>
          <w:tcPr>
            <w:tcW w:w="1977" w:type="dxa"/>
          </w:tcPr>
          <w:p w:rsidR="0078382A" w:rsidRDefault="0078382A" w:rsidP="0078382A">
            <w:pPr>
              <w:pStyle w:val="ListParagraph"/>
              <w:ind w:left="0"/>
            </w:pPr>
            <w:r>
              <w:t>Standard deviation</w:t>
            </w:r>
          </w:p>
        </w:tc>
        <w:tc>
          <w:tcPr>
            <w:tcW w:w="1977" w:type="dxa"/>
          </w:tcPr>
          <w:p w:rsidR="0078382A" w:rsidRDefault="0078382A" w:rsidP="0078382A">
            <w:pPr>
              <w:pStyle w:val="ListParagraph"/>
              <w:ind w:left="0"/>
            </w:pPr>
            <w:r>
              <w:t>3.115</w:t>
            </w:r>
          </w:p>
        </w:tc>
        <w:tc>
          <w:tcPr>
            <w:tcW w:w="1978" w:type="dxa"/>
          </w:tcPr>
          <w:p w:rsidR="0078382A" w:rsidRDefault="0078382A" w:rsidP="0078382A">
            <w:pPr>
              <w:pStyle w:val="ListParagraph"/>
              <w:ind w:left="0"/>
            </w:pPr>
            <w:r>
              <w:t>2.122</w:t>
            </w:r>
          </w:p>
        </w:tc>
        <w:tc>
          <w:tcPr>
            <w:tcW w:w="1978" w:type="dxa"/>
          </w:tcPr>
          <w:p w:rsidR="0078382A" w:rsidRDefault="0078382A" w:rsidP="0078382A">
            <w:pPr>
              <w:pStyle w:val="ListParagraph"/>
              <w:keepNext/>
              <w:ind w:left="0"/>
            </w:pPr>
            <w:r>
              <w:t>0.686</w:t>
            </w:r>
          </w:p>
        </w:tc>
      </w:tr>
    </w:tbl>
    <w:p w:rsidR="0078382A" w:rsidRDefault="0078382A" w:rsidP="0078382A">
      <w:pPr>
        <w:pStyle w:val="Caption"/>
        <w:ind w:left="720" w:firstLine="720"/>
      </w:pPr>
      <w:r>
        <w:t xml:space="preserve">Table </w:t>
      </w:r>
      <w:r>
        <w:fldChar w:fldCharType="begin"/>
      </w:r>
      <w:r>
        <w:instrText xml:space="preserve"> SEQ Table \* ARABIC </w:instrText>
      </w:r>
      <w:r>
        <w:fldChar w:fldCharType="separate"/>
      </w:r>
      <w:r w:rsidR="00F721B2">
        <w:rPr>
          <w:noProof/>
        </w:rPr>
        <w:t>4</w:t>
      </w:r>
      <w:r>
        <w:fldChar w:fldCharType="end"/>
      </w:r>
      <w:r>
        <w:t xml:space="preserve"> </w:t>
      </w:r>
      <w:r w:rsidRPr="00AF1DF5">
        <w:t xml:space="preserve">Sample </w:t>
      </w:r>
      <w:r>
        <w:t>median difference</w:t>
      </w:r>
      <w:r w:rsidRPr="00AF1DF5">
        <w:t xml:space="preserve"> averages and standard deviations</w:t>
      </w:r>
    </w:p>
    <w:p w:rsidR="00BD5CDE" w:rsidRDefault="00BD5CDE" w:rsidP="00BD5CDE">
      <w:pPr>
        <w:pStyle w:val="ListParagraph"/>
        <w:ind w:left="1440"/>
      </w:pPr>
      <w:r>
        <w:t>The difference in median BMI continues to exhibit the expected trend in standard deviation, decreasing as sample size increases. The summary statistic is approximately normal and roughly centered around the same value</w:t>
      </w:r>
      <w:r w:rsidR="00B03628">
        <w:t>, in this case close to zero</w:t>
      </w:r>
      <w:r>
        <w:t xml:space="preserve">. </w:t>
      </w:r>
      <w:r w:rsidR="00B03628">
        <w:t>This is to be expected, as the samples are drawn from the same population, and hence should reflect a similar central value. Furthermore, g</w:t>
      </w:r>
      <w:r>
        <w:t>iven that the median is simply the 50th percentile, a single median</w:t>
      </w:r>
      <w:r w:rsidR="00B03628">
        <w:t xml:space="preserve"> would be expected to be approximately normal</w:t>
      </w:r>
      <w:r>
        <w:t>. The histogram overlay suggests that the difference in normal distributions is also approximately normal.</w:t>
      </w:r>
      <w:r w:rsidR="00B03628">
        <w:t xml:space="preserve"> </w:t>
      </w:r>
      <w:r w:rsidR="00B03628">
        <w:t>There continues to be some outliers in the upper extremes of the distributions, consistent with above observations of high BMI values.</w:t>
      </w:r>
    </w:p>
    <w:p w:rsidR="00BD5CDE" w:rsidRDefault="00BD5CDE" w:rsidP="00BD5CDE">
      <w:pPr>
        <w:pStyle w:val="ListParagraph"/>
        <w:ind w:left="1440"/>
      </w:pPr>
    </w:p>
    <w:p w:rsidR="009F63CE" w:rsidRDefault="001A35AD" w:rsidP="009F63CE">
      <w:pPr>
        <w:pStyle w:val="ListParagraph"/>
        <w:keepNext/>
        <w:ind w:left="1440"/>
      </w:pPr>
      <w:r>
        <w:rPr>
          <w:noProof/>
        </w:rPr>
        <w:lastRenderedPageBreak/>
        <w:drawing>
          <wp:inline distT="0" distB="0" distL="0" distR="0" wp14:anchorId="2BDE80DE" wp14:editId="1EB07A6C">
            <wp:extent cx="4614333" cy="3188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5542" cy="3209692"/>
                    </a:xfrm>
                    <a:prstGeom prst="rect">
                      <a:avLst/>
                    </a:prstGeom>
                  </pic:spPr>
                </pic:pic>
              </a:graphicData>
            </a:graphic>
          </wp:inline>
        </w:drawing>
      </w:r>
    </w:p>
    <w:p w:rsidR="001A35AD" w:rsidRDefault="009F63CE" w:rsidP="009F63CE">
      <w:pPr>
        <w:pStyle w:val="Caption"/>
        <w:ind w:left="1440"/>
      </w:pPr>
      <w:r>
        <w:t xml:space="preserve">Figure </w:t>
      </w:r>
      <w:r>
        <w:fldChar w:fldCharType="begin"/>
      </w:r>
      <w:r>
        <w:instrText xml:space="preserve"> SEQ Figure \* ARABIC </w:instrText>
      </w:r>
      <w:r>
        <w:fldChar w:fldCharType="separate"/>
      </w:r>
      <w:r w:rsidR="006B7C3F">
        <w:rPr>
          <w:noProof/>
        </w:rPr>
        <w:t>4</w:t>
      </w:r>
      <w:r>
        <w:fldChar w:fldCharType="end"/>
      </w:r>
      <w:r>
        <w:t xml:space="preserve"> </w:t>
      </w:r>
      <w:r w:rsidRPr="00776024">
        <w:t xml:space="preserve">Histograms of sampling distributions of sample </w:t>
      </w:r>
      <w:r>
        <w:t>median difference</w:t>
      </w:r>
    </w:p>
    <w:p w:rsidR="00240E17" w:rsidRDefault="00240E17" w:rsidP="00BD5CDE">
      <w:pPr>
        <w:pStyle w:val="ListParagraph"/>
        <w:ind w:left="1440"/>
      </w:pPr>
    </w:p>
    <w:p w:rsidR="00240E17" w:rsidRDefault="00957C53" w:rsidP="007C44B4">
      <w:pPr>
        <w:pStyle w:val="ListParagraph"/>
        <w:numPr>
          <w:ilvl w:val="1"/>
          <w:numId w:val="1"/>
        </w:numPr>
      </w:pPr>
      <w:r>
        <w:t>Comparison and summary of simulation studies.</w:t>
      </w:r>
      <w:r w:rsidR="007C44B4">
        <w:br/>
      </w:r>
      <w:r w:rsidR="00240E17">
        <w:t>In all cases of the simulation study, the standard deviations of the summary statistic decreases with increasing sample size. For the sample mean, this is understood from the Central Limit Theorem as the variance of the sample distribution is equal to the population variance divided by the sample size. Hence, as sample size increases, the variance decreases.</w:t>
      </w:r>
    </w:p>
    <w:p w:rsidR="00240E17" w:rsidRDefault="00240E17" w:rsidP="007C44B4">
      <w:pPr>
        <w:ind w:left="1440"/>
      </w:pPr>
      <w:r>
        <w:t>The sampling distribution itself is apparently normal for the sample mean, again consistent with the CLT. This appears to be true of the 0.25 quantile as well, although for seemingly more advanced reasons not laid out thus far in the coursework. The difference in medians also exhibits an approximately normal distribution. This is essentially a difference in 50</w:t>
      </w:r>
      <w:r w:rsidRPr="007C44B4">
        <w:t>th</w:t>
      </w:r>
      <w:r>
        <w:t xml:space="preserve"> percentiles, which are normal, and hence is a difference in normal distributions.</w:t>
      </w:r>
    </w:p>
    <w:p w:rsidR="00240E17" w:rsidRDefault="00240E17" w:rsidP="007C44B4">
      <w:pPr>
        <w:ind w:left="1440"/>
      </w:pPr>
      <w:r>
        <w:t xml:space="preserve">The sample minimum, however, doesn't exhibit the same general behavior as the other summary statistics: as sample size is increased, a greater range of values is included in the sample, and hence the probability of a lower minimum increases. This is evident by the </w:t>
      </w:r>
      <w:r w:rsidR="00710387">
        <w:t>left</w:t>
      </w:r>
      <w:r>
        <w:t>ward shift of the mean sample minimum</w:t>
      </w:r>
      <w:r w:rsidR="001A49E5">
        <w:t xml:space="preserve"> (towards zero)</w:t>
      </w:r>
      <w:r>
        <w:t>.</w:t>
      </w:r>
    </w:p>
    <w:p w:rsidR="00F71A30" w:rsidRPr="00F71A30" w:rsidRDefault="00FF181E" w:rsidP="00312965">
      <w:pPr>
        <w:pStyle w:val="ListParagraph"/>
        <w:numPr>
          <w:ilvl w:val="0"/>
          <w:numId w:val="1"/>
        </w:numPr>
      </w:pPr>
      <w:r>
        <w:t>Data analysis</w:t>
      </w:r>
    </w:p>
    <w:p w:rsidR="009721C2" w:rsidRDefault="009721C2" w:rsidP="009721C2">
      <w:pPr>
        <w:pStyle w:val="ListParagraph"/>
        <w:numPr>
          <w:ilvl w:val="1"/>
          <w:numId w:val="1"/>
        </w:numPr>
      </w:pPr>
      <w:r>
        <w:t>How has BMI changed</w:t>
      </w:r>
      <w:r w:rsidR="00FF181E">
        <w:t xml:space="preserve"> of high-schoolers changed between 2003 and 2013</w:t>
      </w:r>
      <w:r>
        <w:t>? Are high-schoolers becoming more overweight?</w:t>
      </w:r>
    </w:p>
    <w:p w:rsidR="00E60C4D" w:rsidRDefault="00012B76" w:rsidP="001E52D1">
      <w:pPr>
        <w:pStyle w:val="ListParagraph"/>
        <w:ind w:left="1440" w:firstLine="720"/>
      </w:pPr>
      <w:r w:rsidRPr="009A05BA">
        <w:t xml:space="preserve">To answer this question, the data is already in acceptable form: a continuous numeric of type double. An appropriate analysis here would be to compare two population means, those of the 2003 and 2013 data. A one-sided, two-sample t-test </w:t>
      </w:r>
      <w:r w:rsidRPr="009A05BA">
        <w:lastRenderedPageBreak/>
        <w:t xml:space="preserve">could be performed </w:t>
      </w:r>
      <w:r w:rsidR="009A05BA">
        <w:t xml:space="preserve">on our summary statistic, </w:t>
      </w:r>
      <w:r w:rsidR="009A05BA" w:rsidRPr="009A05BA">
        <w:t>mean BMI</w:t>
      </w:r>
      <w:r w:rsidR="009A05BA">
        <w:t xml:space="preserve">, </w:t>
      </w:r>
      <w:r w:rsidRPr="009A05BA">
        <w:t xml:space="preserve">to determine if </w:t>
      </w:r>
      <w:r w:rsidR="009A05BA">
        <w:t>it</w:t>
      </w:r>
      <w:r w:rsidRPr="009A05BA">
        <w:t xml:space="preserve"> had appreciably </w:t>
      </w:r>
      <w:r w:rsidR="0062730B" w:rsidRPr="009A05BA">
        <w:t>increased from 2003 to 2013, or a two-sided analysis could be performed to detect a potential difference.</w:t>
      </w:r>
    </w:p>
    <w:p w:rsidR="00E60C4D" w:rsidRDefault="00FF181E" w:rsidP="009A05BA">
      <w:pPr>
        <w:pStyle w:val="ListParagraph"/>
        <w:ind w:left="1440" w:firstLine="720"/>
      </w:pPr>
      <w:r>
        <w:t xml:space="preserve">As a first step, a simple inspection of </w:t>
      </w:r>
      <w:r w:rsidR="00984260">
        <w:t xml:space="preserve">the </w:t>
      </w:r>
      <w:r>
        <w:t xml:space="preserve">data can help guide the subsequent analysis. In R, calls to </w:t>
      </w:r>
      <w:proofErr w:type="gramStart"/>
      <w:r>
        <w:t>head(</w:t>
      </w:r>
      <w:proofErr w:type="gramEnd"/>
      <w:r>
        <w:t xml:space="preserve">) give an idea of data frame contents and example values. Using the </w:t>
      </w:r>
      <w:proofErr w:type="spellStart"/>
      <w:proofErr w:type="gramStart"/>
      <w:r>
        <w:t>qplot</w:t>
      </w:r>
      <w:proofErr w:type="spellEnd"/>
      <w:r>
        <w:t>(</w:t>
      </w:r>
      <w:proofErr w:type="gramEnd"/>
      <w:r>
        <w:t>) function from the ggplot</w:t>
      </w:r>
      <w:r w:rsidR="00984260">
        <w:t>2</w:t>
      </w:r>
      <w:r>
        <w:t xml:space="preserve"> library reveals the sample distributions for the 2003 and 2013 BMI data. Looking at the below plots it is evident that the distributions are skewed to the right, given the prevalence of observations with high BMI. This is intuitive, as there is </w:t>
      </w:r>
      <w:r w:rsidR="00AF125D">
        <w:t>presumably a more limited range of possible values on the lower end of the distribution, where there is some hard limit for the minimum BMI.</w:t>
      </w:r>
      <w:r>
        <w:t xml:space="preserve"> </w:t>
      </w:r>
    </w:p>
    <w:p w:rsidR="00FF181E" w:rsidRDefault="00FF181E" w:rsidP="00984260">
      <w:pPr>
        <w:pStyle w:val="ListParagraph"/>
        <w:keepNext/>
        <w:ind w:left="1440"/>
      </w:pPr>
      <w:r>
        <w:rPr>
          <w:noProof/>
        </w:rPr>
        <w:drawing>
          <wp:inline distT="0" distB="0" distL="0" distR="0" wp14:anchorId="60EF2C79" wp14:editId="160042D4">
            <wp:extent cx="2366800" cy="20150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5302" cy="2047847"/>
                    </a:xfrm>
                    <a:prstGeom prst="rect">
                      <a:avLst/>
                    </a:prstGeom>
                  </pic:spPr>
                </pic:pic>
              </a:graphicData>
            </a:graphic>
          </wp:inline>
        </w:drawing>
      </w:r>
      <w:r>
        <w:rPr>
          <w:noProof/>
        </w:rPr>
        <w:drawing>
          <wp:inline distT="0" distB="0" distL="0" distR="0" wp14:anchorId="6375DBE9" wp14:editId="4CC84948">
            <wp:extent cx="2396631" cy="204046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3897" cy="2072194"/>
                    </a:xfrm>
                    <a:prstGeom prst="rect">
                      <a:avLst/>
                    </a:prstGeom>
                  </pic:spPr>
                </pic:pic>
              </a:graphicData>
            </a:graphic>
          </wp:inline>
        </w:drawing>
      </w:r>
    </w:p>
    <w:p w:rsidR="00E60C4D" w:rsidRDefault="00984260" w:rsidP="00984260">
      <w:pPr>
        <w:pStyle w:val="Caption"/>
        <w:ind w:left="1440"/>
      </w:pPr>
      <w:r>
        <w:t xml:space="preserve">Figure </w:t>
      </w:r>
      <w:r>
        <w:fldChar w:fldCharType="begin"/>
      </w:r>
      <w:r>
        <w:instrText xml:space="preserve"> SEQ Figure \* ARABIC </w:instrText>
      </w:r>
      <w:r>
        <w:fldChar w:fldCharType="separate"/>
      </w:r>
      <w:r w:rsidR="006B7C3F">
        <w:rPr>
          <w:noProof/>
        </w:rPr>
        <w:t>5</w:t>
      </w:r>
      <w:r>
        <w:fldChar w:fldCharType="end"/>
      </w:r>
      <w:r>
        <w:t xml:space="preserve"> </w:t>
      </w:r>
      <w:r w:rsidRPr="000F3A0F">
        <w:t xml:space="preserve">2003 </w:t>
      </w:r>
      <w:r>
        <w:t xml:space="preserve">and 2013 </w:t>
      </w:r>
      <w:r w:rsidRPr="000F3A0F">
        <w:t>High-school students' BMI</w:t>
      </w:r>
    </w:p>
    <w:p w:rsidR="00AF125D" w:rsidRDefault="00AF125D" w:rsidP="00012B76">
      <w:pPr>
        <w:pStyle w:val="ListParagraph"/>
        <w:ind w:left="1440"/>
      </w:pPr>
      <w:r>
        <w:t>In order to compare the distributions and infer to the population, it is necessary to choose a summary statistic. For this question, comparing mean BMI can tell us whether the average BMI is increasing, decreasing, or staying the same between the two distributions. The point estimate for the summary statistic is the sample mean.</w:t>
      </w:r>
    </w:p>
    <w:p w:rsidR="00AF125D" w:rsidRDefault="00AF125D" w:rsidP="00FA6E82">
      <w:pPr>
        <w:pStyle w:val="ListParagraph"/>
        <w:ind w:left="1440" w:firstLine="720"/>
      </w:pPr>
      <w:r>
        <w:t xml:space="preserve">Given the summary statistic of the population mean, an obvious statistical procedure is the two-sample t-test. Since the observations do not map 1:1 between </w:t>
      </w:r>
      <w:r w:rsidR="00F5798B">
        <w:t>samples, a paired test is not appropriate. The data is presumably random; if this assumption is violated the results would potentially be invalidated. The data is considered independent, as it</w:t>
      </w:r>
      <w:r w:rsidR="00544A4E">
        <w:t>’</w:t>
      </w:r>
      <w:r w:rsidR="00F5798B">
        <w:t xml:space="preserve">s easily less than 10% of the general population of high-schoolers. </w:t>
      </w:r>
      <w:r>
        <w:t xml:space="preserve">Even though the data appear to be skewed, the t-test is </w:t>
      </w:r>
      <w:r w:rsidR="00F5798B">
        <w:t>robust to reasonable skew given the large sample size.</w:t>
      </w:r>
    </w:p>
    <w:p w:rsidR="00E60C4D" w:rsidRDefault="00E60C4D" w:rsidP="00012B76">
      <w:pPr>
        <w:pStyle w:val="ListParagraph"/>
        <w:ind w:left="1440"/>
      </w:pPr>
    </w:p>
    <w:p w:rsidR="00530448" w:rsidRDefault="00530448" w:rsidP="00012B76">
      <w:pPr>
        <w:pStyle w:val="ListParagraph"/>
        <w:ind w:left="1440"/>
      </w:pPr>
      <w:r>
        <w:t>In the case of the one-sided, two-sample t-test, the null and alternate hypotheses are as follows:</w:t>
      </w:r>
    </w:p>
    <w:p w:rsidR="00530448" w:rsidRDefault="00530448" w:rsidP="00012B76">
      <w:pPr>
        <w:pStyle w:val="ListParagraph"/>
        <w:ind w:left="1440"/>
      </w:pPr>
      <w:r>
        <w:tab/>
      </w:r>
      <w:proofErr w:type="gramStart"/>
      <w:r>
        <w:t>H</w:t>
      </w:r>
      <w:r w:rsidRPr="00530448">
        <w:rPr>
          <w:vertAlign w:val="subscript"/>
        </w:rPr>
        <w:t>0</w:t>
      </w:r>
      <w:r>
        <w:t xml:space="preserve"> :</w:t>
      </w:r>
      <w:proofErr w:type="gramEnd"/>
      <w:r>
        <w:t xml:space="preserve"> there is no difference in the </w:t>
      </w:r>
      <w:r w:rsidR="00843B3A">
        <w:t xml:space="preserve">population </w:t>
      </w:r>
      <w:r>
        <w:t>mean</w:t>
      </w:r>
      <w:r w:rsidR="00843B3A">
        <w:t>s of high-schoolers’ BMI</w:t>
      </w:r>
    </w:p>
    <w:p w:rsidR="00530448" w:rsidRDefault="00530448" w:rsidP="00012B76">
      <w:pPr>
        <w:pStyle w:val="ListParagraph"/>
        <w:ind w:left="1440"/>
      </w:pPr>
      <w:r>
        <w:tab/>
      </w:r>
      <w:proofErr w:type="gramStart"/>
      <w:r>
        <w:t>H</w:t>
      </w:r>
      <w:r w:rsidRPr="00530448">
        <w:rPr>
          <w:vertAlign w:val="subscript"/>
        </w:rPr>
        <w:t>a</w:t>
      </w:r>
      <w:r>
        <w:t xml:space="preserve"> </w:t>
      </w:r>
      <w:r w:rsidR="00843B3A">
        <w:t>:</w:t>
      </w:r>
      <w:proofErr w:type="gramEnd"/>
      <w:r w:rsidR="00843B3A">
        <w:t xml:space="preserve"> the difference in population means (2013 vs 2003) is greater than 0</w:t>
      </w:r>
    </w:p>
    <w:p w:rsidR="00530448" w:rsidRDefault="00530448" w:rsidP="00012B76">
      <w:pPr>
        <w:pStyle w:val="ListParagraph"/>
        <w:ind w:left="1440"/>
      </w:pPr>
    </w:p>
    <w:p w:rsidR="00843B3A" w:rsidRDefault="00843B3A" w:rsidP="00012B76">
      <w:pPr>
        <w:pStyle w:val="ListParagraph"/>
        <w:ind w:left="1440"/>
      </w:pPr>
      <w:r>
        <w:t xml:space="preserve">Using </w:t>
      </w:r>
      <w:proofErr w:type="spellStart"/>
      <w:r>
        <w:t>t.test</w:t>
      </w:r>
      <w:proofErr w:type="spellEnd"/>
      <w:r>
        <w:t xml:space="preserve"> in R produces the following output:</w:t>
      </w:r>
    </w:p>
    <w:p w:rsidR="00843B3A" w:rsidRPr="00843B3A" w:rsidRDefault="00843B3A" w:rsidP="00843B3A">
      <w:pPr>
        <w:pStyle w:val="HTMLPreformatted"/>
        <w:shd w:val="clear" w:color="auto" w:fill="FFFFFF"/>
        <w:wordWrap w:val="0"/>
        <w:spacing w:line="225" w:lineRule="atLeast"/>
        <w:rPr>
          <w:rStyle w:val="gnkrckgcgsb"/>
          <w:color w:val="000000"/>
          <w:sz w:val="22"/>
          <w:szCs w:val="22"/>
          <w:bdr w:val="none" w:sz="0" w:space="0" w:color="auto" w:frame="1"/>
        </w:rPr>
      </w:pPr>
      <w:r>
        <w:tab/>
      </w:r>
      <w:r>
        <w:rPr>
          <w:rStyle w:val="gnkrckgcgsb"/>
          <w:rFonts w:ascii="Lucida Console" w:hAnsi="Lucida Console"/>
          <w:color w:val="000000"/>
          <w:bdr w:val="none" w:sz="0" w:space="0" w:color="auto" w:frame="1"/>
        </w:rPr>
        <w:tab/>
      </w:r>
      <w:r w:rsidRPr="00843B3A">
        <w:rPr>
          <w:rStyle w:val="gnkrckgcgsb"/>
          <w:color w:val="000000"/>
          <w:sz w:val="22"/>
          <w:szCs w:val="22"/>
          <w:bdr w:val="none" w:sz="0" w:space="0" w:color="auto" w:frame="1"/>
        </w:rPr>
        <w:t>Welch Two Sample t-test</w:t>
      </w:r>
    </w:p>
    <w:p w:rsidR="00843B3A" w:rsidRPr="00843B3A" w:rsidRDefault="00843B3A" w:rsidP="00843B3A">
      <w:pPr>
        <w:pStyle w:val="HTMLPreformatted"/>
        <w:shd w:val="clear" w:color="auto" w:fill="FFFFFF"/>
        <w:wordWrap w:val="0"/>
        <w:spacing w:line="225" w:lineRule="atLeast"/>
        <w:rPr>
          <w:rStyle w:val="gnkrckgcgsb"/>
          <w:color w:val="000000"/>
          <w:sz w:val="22"/>
          <w:szCs w:val="22"/>
          <w:bdr w:val="none" w:sz="0" w:space="0" w:color="auto" w:frame="1"/>
        </w:rPr>
      </w:pPr>
    </w:p>
    <w:p w:rsidR="00843B3A" w:rsidRPr="00843B3A" w:rsidRDefault="00843B3A" w:rsidP="00843B3A">
      <w:pPr>
        <w:pStyle w:val="HTMLPreformatted"/>
        <w:shd w:val="clear" w:color="auto" w:fill="FFFFFF"/>
        <w:wordWrap w:val="0"/>
        <w:spacing w:line="225" w:lineRule="atLeast"/>
        <w:ind w:left="1832"/>
        <w:rPr>
          <w:rStyle w:val="gnkrckgcgsb"/>
          <w:color w:val="000000"/>
          <w:sz w:val="22"/>
          <w:szCs w:val="22"/>
          <w:bdr w:val="none" w:sz="0" w:space="0" w:color="auto" w:frame="1"/>
        </w:rPr>
      </w:pPr>
      <w:proofErr w:type="gramStart"/>
      <w:r w:rsidRPr="00843B3A">
        <w:rPr>
          <w:rStyle w:val="gnkrckgcgsb"/>
          <w:color w:val="000000"/>
          <w:sz w:val="22"/>
          <w:szCs w:val="22"/>
          <w:bdr w:val="none" w:sz="0" w:space="0" w:color="auto" w:frame="1"/>
        </w:rPr>
        <w:t>data</w:t>
      </w:r>
      <w:proofErr w:type="gramEnd"/>
      <w:r w:rsidRPr="00843B3A">
        <w:rPr>
          <w:rStyle w:val="gnkrckgcgsb"/>
          <w:color w:val="000000"/>
          <w:sz w:val="22"/>
          <w:szCs w:val="22"/>
          <w:bdr w:val="none" w:sz="0" w:space="0" w:color="auto" w:frame="1"/>
        </w:rPr>
        <w:t>:  yrbss_2013[["</w:t>
      </w:r>
      <w:proofErr w:type="spellStart"/>
      <w:r w:rsidRPr="00843B3A">
        <w:rPr>
          <w:rStyle w:val="gnkrckgcgsb"/>
          <w:color w:val="000000"/>
          <w:sz w:val="22"/>
          <w:szCs w:val="22"/>
          <w:bdr w:val="none" w:sz="0" w:space="0" w:color="auto" w:frame="1"/>
        </w:rPr>
        <w:t>bmi</w:t>
      </w:r>
      <w:proofErr w:type="spellEnd"/>
      <w:r w:rsidRPr="00843B3A">
        <w:rPr>
          <w:rStyle w:val="gnkrckgcgsb"/>
          <w:color w:val="000000"/>
          <w:sz w:val="22"/>
          <w:szCs w:val="22"/>
          <w:bdr w:val="none" w:sz="0" w:space="0" w:color="auto" w:frame="1"/>
        </w:rPr>
        <w:t>"]] and yrbss_2003[["</w:t>
      </w:r>
      <w:proofErr w:type="spellStart"/>
      <w:r w:rsidRPr="00843B3A">
        <w:rPr>
          <w:rStyle w:val="gnkrckgcgsb"/>
          <w:color w:val="000000"/>
          <w:sz w:val="22"/>
          <w:szCs w:val="22"/>
          <w:bdr w:val="none" w:sz="0" w:space="0" w:color="auto" w:frame="1"/>
        </w:rPr>
        <w:t>bmi</w:t>
      </w:r>
      <w:proofErr w:type="spellEnd"/>
      <w:r w:rsidRPr="00843B3A">
        <w:rPr>
          <w:rStyle w:val="gnkrckgcgsb"/>
          <w:color w:val="000000"/>
          <w:sz w:val="22"/>
          <w:szCs w:val="22"/>
          <w:bdr w:val="none" w:sz="0" w:space="0" w:color="auto" w:frame="1"/>
        </w:rPr>
        <w:t>"]]</w:t>
      </w:r>
    </w:p>
    <w:p w:rsidR="00843B3A" w:rsidRPr="00843B3A" w:rsidRDefault="00843B3A" w:rsidP="00843B3A">
      <w:pPr>
        <w:pStyle w:val="HTMLPreformatted"/>
        <w:shd w:val="clear" w:color="auto" w:fill="FFFFFF"/>
        <w:wordWrap w:val="0"/>
        <w:spacing w:line="225" w:lineRule="atLeast"/>
        <w:ind w:left="1832"/>
        <w:rPr>
          <w:rStyle w:val="gnkrckgcgsb"/>
          <w:color w:val="000000"/>
          <w:sz w:val="22"/>
          <w:szCs w:val="22"/>
          <w:bdr w:val="none" w:sz="0" w:space="0" w:color="auto" w:frame="1"/>
        </w:rPr>
      </w:pPr>
      <w:r w:rsidRPr="00843B3A">
        <w:rPr>
          <w:rStyle w:val="gnkrckgcgsb"/>
          <w:color w:val="000000"/>
          <w:sz w:val="22"/>
          <w:szCs w:val="22"/>
          <w:bdr w:val="none" w:sz="0" w:space="0" w:color="auto" w:frame="1"/>
        </w:rPr>
        <w:lastRenderedPageBreak/>
        <w:t xml:space="preserve">t = 3.7529, </w:t>
      </w:r>
      <w:proofErr w:type="spellStart"/>
      <w:proofErr w:type="gramStart"/>
      <w:r w:rsidRPr="00843B3A">
        <w:rPr>
          <w:rStyle w:val="gnkrckgcgsb"/>
          <w:color w:val="000000"/>
          <w:sz w:val="22"/>
          <w:szCs w:val="22"/>
          <w:bdr w:val="none" w:sz="0" w:space="0" w:color="auto" w:frame="1"/>
        </w:rPr>
        <w:t>df</w:t>
      </w:r>
      <w:proofErr w:type="spellEnd"/>
      <w:proofErr w:type="gramEnd"/>
      <w:r w:rsidRPr="00843B3A">
        <w:rPr>
          <w:rStyle w:val="gnkrckgcgsb"/>
          <w:color w:val="000000"/>
          <w:sz w:val="22"/>
          <w:szCs w:val="22"/>
          <w:bdr w:val="none" w:sz="0" w:space="0" w:color="auto" w:frame="1"/>
        </w:rPr>
        <w:t xml:space="preserve"> = 25988, p-value = 8.758e-05</w:t>
      </w:r>
    </w:p>
    <w:p w:rsidR="0002499E" w:rsidRDefault="00843B3A" w:rsidP="00843B3A">
      <w:pPr>
        <w:pStyle w:val="HTMLPreformatted"/>
        <w:shd w:val="clear" w:color="auto" w:fill="FFFFFF"/>
        <w:wordWrap w:val="0"/>
        <w:spacing w:line="225" w:lineRule="atLeast"/>
        <w:ind w:left="1832"/>
        <w:rPr>
          <w:rStyle w:val="gnkrckgcgsb"/>
          <w:color w:val="000000"/>
          <w:sz w:val="22"/>
          <w:szCs w:val="22"/>
          <w:bdr w:val="none" w:sz="0" w:space="0" w:color="auto" w:frame="1"/>
        </w:rPr>
      </w:pPr>
      <w:proofErr w:type="gramStart"/>
      <w:r w:rsidRPr="00843B3A">
        <w:rPr>
          <w:rStyle w:val="gnkrckgcgsb"/>
          <w:color w:val="000000"/>
          <w:sz w:val="22"/>
          <w:szCs w:val="22"/>
          <w:bdr w:val="none" w:sz="0" w:space="0" w:color="auto" w:frame="1"/>
        </w:rPr>
        <w:t>alternative</w:t>
      </w:r>
      <w:proofErr w:type="gramEnd"/>
      <w:r w:rsidRPr="00843B3A">
        <w:rPr>
          <w:rStyle w:val="gnkrckgcgsb"/>
          <w:color w:val="000000"/>
          <w:sz w:val="22"/>
          <w:szCs w:val="22"/>
          <w:bdr w:val="none" w:sz="0" w:space="0" w:color="auto" w:frame="1"/>
        </w:rPr>
        <w:t xml:space="preserve"> hypothesis: true difference in means is </w:t>
      </w:r>
    </w:p>
    <w:p w:rsidR="00843B3A" w:rsidRPr="00843B3A" w:rsidRDefault="00843B3A" w:rsidP="00843B3A">
      <w:pPr>
        <w:pStyle w:val="HTMLPreformatted"/>
        <w:shd w:val="clear" w:color="auto" w:fill="FFFFFF"/>
        <w:wordWrap w:val="0"/>
        <w:spacing w:line="225" w:lineRule="atLeast"/>
        <w:ind w:left="1832"/>
        <w:rPr>
          <w:rStyle w:val="gnkrckgcgsb"/>
          <w:color w:val="000000"/>
          <w:sz w:val="22"/>
          <w:szCs w:val="22"/>
          <w:bdr w:val="none" w:sz="0" w:space="0" w:color="auto" w:frame="1"/>
        </w:rPr>
      </w:pPr>
      <w:proofErr w:type="gramStart"/>
      <w:r w:rsidRPr="00843B3A">
        <w:rPr>
          <w:rStyle w:val="gnkrckgcgsb"/>
          <w:color w:val="000000"/>
          <w:sz w:val="22"/>
          <w:szCs w:val="22"/>
          <w:bdr w:val="none" w:sz="0" w:space="0" w:color="auto" w:frame="1"/>
        </w:rPr>
        <w:t>great</w:t>
      </w:r>
      <w:r>
        <w:rPr>
          <w:rStyle w:val="gnkrckgcgsb"/>
          <w:color w:val="000000"/>
          <w:sz w:val="22"/>
          <w:szCs w:val="22"/>
          <w:bdr w:val="none" w:sz="0" w:space="0" w:color="auto" w:frame="1"/>
        </w:rPr>
        <w:t>e</w:t>
      </w:r>
      <w:r w:rsidRPr="00843B3A">
        <w:rPr>
          <w:rStyle w:val="gnkrckgcgsb"/>
          <w:color w:val="000000"/>
          <w:sz w:val="22"/>
          <w:szCs w:val="22"/>
          <w:bdr w:val="none" w:sz="0" w:space="0" w:color="auto" w:frame="1"/>
        </w:rPr>
        <w:t>r</w:t>
      </w:r>
      <w:proofErr w:type="gramEnd"/>
      <w:r w:rsidRPr="00843B3A">
        <w:rPr>
          <w:rStyle w:val="gnkrckgcgsb"/>
          <w:color w:val="000000"/>
          <w:sz w:val="22"/>
          <w:szCs w:val="22"/>
          <w:bdr w:val="none" w:sz="0" w:space="0" w:color="auto" w:frame="1"/>
        </w:rPr>
        <w:t xml:space="preserve"> than 0</w:t>
      </w:r>
    </w:p>
    <w:p w:rsidR="00843B3A" w:rsidRPr="00843B3A" w:rsidRDefault="00843B3A" w:rsidP="00843B3A">
      <w:pPr>
        <w:pStyle w:val="HTMLPreformatted"/>
        <w:shd w:val="clear" w:color="auto" w:fill="FFFFFF"/>
        <w:wordWrap w:val="0"/>
        <w:spacing w:line="225" w:lineRule="atLeast"/>
        <w:ind w:left="1832"/>
        <w:rPr>
          <w:rStyle w:val="gnkrckgcgsb"/>
          <w:color w:val="000000"/>
          <w:sz w:val="22"/>
          <w:szCs w:val="22"/>
          <w:bdr w:val="none" w:sz="0" w:space="0" w:color="auto" w:frame="1"/>
        </w:rPr>
      </w:pPr>
      <w:r w:rsidRPr="00843B3A">
        <w:rPr>
          <w:rStyle w:val="gnkrckgcgsb"/>
          <w:color w:val="000000"/>
          <w:sz w:val="22"/>
          <w:szCs w:val="22"/>
          <w:bdr w:val="none" w:sz="0" w:space="0" w:color="auto" w:frame="1"/>
        </w:rPr>
        <w:t>95 percent confidence interval:</w:t>
      </w:r>
    </w:p>
    <w:p w:rsidR="00843B3A" w:rsidRPr="00843B3A" w:rsidRDefault="00843B3A" w:rsidP="00843B3A">
      <w:pPr>
        <w:pStyle w:val="HTMLPreformatted"/>
        <w:shd w:val="clear" w:color="auto" w:fill="FFFFFF"/>
        <w:wordWrap w:val="0"/>
        <w:spacing w:line="225" w:lineRule="atLeast"/>
        <w:ind w:left="1832"/>
        <w:rPr>
          <w:rStyle w:val="gnkrckgcgsb"/>
          <w:color w:val="000000"/>
          <w:sz w:val="22"/>
          <w:szCs w:val="22"/>
          <w:bdr w:val="none" w:sz="0" w:space="0" w:color="auto" w:frame="1"/>
        </w:rPr>
      </w:pPr>
      <w:r w:rsidRPr="00843B3A">
        <w:rPr>
          <w:rStyle w:val="gnkrckgcgsb"/>
          <w:color w:val="000000"/>
          <w:sz w:val="22"/>
          <w:szCs w:val="22"/>
          <w:bdr w:val="none" w:sz="0" w:space="0" w:color="auto" w:frame="1"/>
        </w:rPr>
        <w:t xml:space="preserve"> 0.1269528       </w:t>
      </w:r>
      <w:proofErr w:type="spellStart"/>
      <w:proofErr w:type="gramStart"/>
      <w:r w:rsidRPr="00843B3A">
        <w:rPr>
          <w:rStyle w:val="gnkrckgcgsb"/>
          <w:color w:val="000000"/>
          <w:sz w:val="22"/>
          <w:szCs w:val="22"/>
          <w:bdr w:val="none" w:sz="0" w:space="0" w:color="auto" w:frame="1"/>
        </w:rPr>
        <w:t>Inf</w:t>
      </w:r>
      <w:proofErr w:type="spellEnd"/>
      <w:proofErr w:type="gramEnd"/>
    </w:p>
    <w:p w:rsidR="00843B3A" w:rsidRPr="00843B3A" w:rsidRDefault="00843B3A" w:rsidP="00843B3A">
      <w:pPr>
        <w:pStyle w:val="HTMLPreformatted"/>
        <w:shd w:val="clear" w:color="auto" w:fill="FFFFFF"/>
        <w:wordWrap w:val="0"/>
        <w:spacing w:line="225" w:lineRule="atLeast"/>
        <w:ind w:left="1832"/>
        <w:rPr>
          <w:rStyle w:val="gnkrckgcgsb"/>
          <w:color w:val="000000"/>
          <w:sz w:val="22"/>
          <w:szCs w:val="22"/>
          <w:bdr w:val="none" w:sz="0" w:space="0" w:color="auto" w:frame="1"/>
        </w:rPr>
      </w:pPr>
      <w:proofErr w:type="gramStart"/>
      <w:r w:rsidRPr="00843B3A">
        <w:rPr>
          <w:rStyle w:val="gnkrckgcgsb"/>
          <w:color w:val="000000"/>
          <w:sz w:val="22"/>
          <w:szCs w:val="22"/>
          <w:bdr w:val="none" w:sz="0" w:space="0" w:color="auto" w:frame="1"/>
        </w:rPr>
        <w:t>sample</w:t>
      </w:r>
      <w:proofErr w:type="gramEnd"/>
      <w:r w:rsidRPr="00843B3A">
        <w:rPr>
          <w:rStyle w:val="gnkrckgcgsb"/>
          <w:color w:val="000000"/>
          <w:sz w:val="22"/>
          <w:szCs w:val="22"/>
          <w:bdr w:val="none" w:sz="0" w:space="0" w:color="auto" w:frame="1"/>
        </w:rPr>
        <w:t xml:space="preserve"> estimates:</w:t>
      </w:r>
    </w:p>
    <w:p w:rsidR="00843B3A" w:rsidRPr="00843B3A" w:rsidRDefault="00843B3A" w:rsidP="00843B3A">
      <w:pPr>
        <w:pStyle w:val="HTMLPreformatted"/>
        <w:shd w:val="clear" w:color="auto" w:fill="FFFFFF"/>
        <w:wordWrap w:val="0"/>
        <w:spacing w:line="225" w:lineRule="atLeast"/>
        <w:ind w:left="1832"/>
        <w:rPr>
          <w:rStyle w:val="gnkrckgcgsb"/>
          <w:color w:val="000000"/>
          <w:sz w:val="22"/>
          <w:szCs w:val="22"/>
          <w:bdr w:val="none" w:sz="0" w:space="0" w:color="auto" w:frame="1"/>
        </w:rPr>
      </w:pPr>
      <w:proofErr w:type="gramStart"/>
      <w:r w:rsidRPr="00843B3A">
        <w:rPr>
          <w:rStyle w:val="gnkrckgcgsb"/>
          <w:color w:val="000000"/>
          <w:sz w:val="22"/>
          <w:szCs w:val="22"/>
          <w:bdr w:val="none" w:sz="0" w:space="0" w:color="auto" w:frame="1"/>
        </w:rPr>
        <w:t>mean</w:t>
      </w:r>
      <w:proofErr w:type="gramEnd"/>
      <w:r w:rsidRPr="00843B3A">
        <w:rPr>
          <w:rStyle w:val="gnkrckgcgsb"/>
          <w:color w:val="000000"/>
          <w:sz w:val="22"/>
          <w:szCs w:val="22"/>
          <w:bdr w:val="none" w:sz="0" w:space="0" w:color="auto" w:frame="1"/>
        </w:rPr>
        <w:t xml:space="preserve"> of x mean of y </w:t>
      </w:r>
    </w:p>
    <w:p w:rsidR="00843B3A" w:rsidRPr="00843B3A" w:rsidRDefault="00843B3A" w:rsidP="00843B3A">
      <w:pPr>
        <w:pStyle w:val="HTMLPreformatted"/>
        <w:shd w:val="clear" w:color="auto" w:fill="FFFFFF"/>
        <w:wordWrap w:val="0"/>
        <w:spacing w:line="225" w:lineRule="atLeast"/>
        <w:ind w:left="1832"/>
        <w:rPr>
          <w:color w:val="000000"/>
          <w:sz w:val="22"/>
          <w:szCs w:val="22"/>
        </w:rPr>
      </w:pPr>
      <w:r w:rsidRPr="00843B3A">
        <w:rPr>
          <w:rStyle w:val="gnkrckgcgsb"/>
          <w:color w:val="000000"/>
          <w:sz w:val="22"/>
          <w:szCs w:val="22"/>
          <w:bdr w:val="none" w:sz="0" w:space="0" w:color="auto" w:frame="1"/>
        </w:rPr>
        <w:t xml:space="preserve"> </w:t>
      </w:r>
      <w:proofErr w:type="gramStart"/>
      <w:r w:rsidRPr="00843B3A">
        <w:rPr>
          <w:rStyle w:val="gnkrckgcgsb"/>
          <w:color w:val="000000"/>
          <w:sz w:val="22"/>
          <w:szCs w:val="22"/>
          <w:bdr w:val="none" w:sz="0" w:space="0" w:color="auto" w:frame="1"/>
        </w:rPr>
        <w:t>23.64326  23.41725</w:t>
      </w:r>
      <w:proofErr w:type="gramEnd"/>
      <w:r w:rsidRPr="00843B3A">
        <w:rPr>
          <w:rStyle w:val="gnkrckgcgsb"/>
          <w:color w:val="000000"/>
          <w:sz w:val="22"/>
          <w:szCs w:val="22"/>
          <w:bdr w:val="none" w:sz="0" w:space="0" w:color="auto" w:frame="1"/>
        </w:rPr>
        <w:t xml:space="preserve"> </w:t>
      </w:r>
    </w:p>
    <w:p w:rsidR="00843B3A" w:rsidRPr="00843B3A" w:rsidRDefault="00843B3A" w:rsidP="00012B76">
      <w:pPr>
        <w:pStyle w:val="ListParagraph"/>
        <w:ind w:left="1440"/>
        <w:rPr>
          <w:rFonts w:ascii="Courier New" w:hAnsi="Courier New" w:cs="Courier New"/>
        </w:rPr>
      </w:pPr>
    </w:p>
    <w:p w:rsidR="006F3E6A" w:rsidRDefault="006F3E6A" w:rsidP="00012B76">
      <w:pPr>
        <w:pStyle w:val="ListParagraph"/>
        <w:ind w:left="1440"/>
      </w:pPr>
      <w:r>
        <w:t xml:space="preserve">The </w:t>
      </w:r>
      <w:r w:rsidR="0002499E">
        <w:t>p-value is extraordinarily small, giving us confidence that there is a statistical difference in the two populations’ means. Furthermore, the 0.95 confidence interval is positive, giving us further confidence in our below conclusion.</w:t>
      </w:r>
    </w:p>
    <w:p w:rsidR="00530448" w:rsidRPr="00C41252" w:rsidRDefault="00843B3A" w:rsidP="0002499E">
      <w:pPr>
        <w:pStyle w:val="ListParagraph"/>
        <w:ind w:left="1440" w:firstLine="720"/>
        <w:rPr>
          <w:i/>
        </w:rPr>
      </w:pPr>
      <w:r w:rsidRPr="00C41252">
        <w:rPr>
          <w:i/>
        </w:rPr>
        <w:t>There is convincing evidence that the difference in mean BMI of 2003 and 2013 high-schoolers is not zero (Welch’s two-sample t-test, p-</w:t>
      </w:r>
      <w:proofErr w:type="spellStart"/>
      <w:r w:rsidRPr="00C41252">
        <w:rPr>
          <w:i/>
        </w:rPr>
        <w:t>val</w:t>
      </w:r>
      <w:proofErr w:type="spellEnd"/>
      <w:r w:rsidRPr="00C41252">
        <w:rPr>
          <w:i/>
        </w:rPr>
        <w:t xml:space="preserve"> = 8.76e-5). With 95% confidence, we estimate that the mean BMI has increased more than 0.127 from 2003 to 2013.</w:t>
      </w:r>
    </w:p>
    <w:p w:rsidR="0002499E" w:rsidRDefault="0002499E" w:rsidP="0002499E">
      <w:pPr>
        <w:pStyle w:val="ListParagraph"/>
        <w:ind w:left="1440" w:firstLine="720"/>
      </w:pPr>
      <w:r>
        <w:t xml:space="preserve">It should be noted that the lower bound of the confidence interval, 0.127, and the difference in point estimates, 0.22, are both less than 1% of the 2013 BMI. So, despite statistical significance, the increase in BMI might not have practical significance. As an example, for a 5’10” person weighing 160 </w:t>
      </w:r>
      <w:proofErr w:type="spellStart"/>
      <w:r>
        <w:t>lb</w:t>
      </w:r>
      <w:proofErr w:type="spellEnd"/>
      <w:r>
        <w:t>, an increase in their BMI consistent with the observed trend would be equivalent to gaining roughly 2 lb. The practical significance of this would depend on the desired goal of the analysis.</w:t>
      </w:r>
    </w:p>
    <w:p w:rsidR="00843B3A" w:rsidRDefault="00843B3A" w:rsidP="00012B76">
      <w:pPr>
        <w:pStyle w:val="ListParagraph"/>
        <w:ind w:left="1440"/>
      </w:pPr>
    </w:p>
    <w:p w:rsidR="009D6488" w:rsidRDefault="009721C2" w:rsidP="006A7916">
      <w:pPr>
        <w:pStyle w:val="ListParagraph"/>
        <w:numPr>
          <w:ilvl w:val="1"/>
          <w:numId w:val="1"/>
        </w:numPr>
      </w:pPr>
      <w:r>
        <w:t>Are male high-schoolers more likely to smoke than female high-schoolers, given 2013 data?</w:t>
      </w:r>
    </w:p>
    <w:p w:rsidR="004A71B4" w:rsidRDefault="004A71B4" w:rsidP="001E52D1">
      <w:pPr>
        <w:pStyle w:val="ListParagraph"/>
        <w:ind w:left="1440" w:firstLine="720"/>
      </w:pPr>
      <w:r>
        <w:t>There are a few ways to interpret this questio</w:t>
      </w:r>
      <w:r w:rsidR="001E52D1">
        <w:t>n, which have</w:t>
      </w:r>
      <w:r>
        <w:t xml:space="preserve"> implications for the choice of a test statistic and an analysis procedure. Two ways to interpret “likely to smoke” are as follows:</w:t>
      </w:r>
    </w:p>
    <w:p w:rsidR="004A71B4" w:rsidRDefault="004A71B4" w:rsidP="004A71B4">
      <w:pPr>
        <w:pStyle w:val="ListParagraph"/>
        <w:numPr>
          <w:ilvl w:val="0"/>
          <w:numId w:val="2"/>
        </w:numPr>
      </w:pPr>
      <w:r>
        <w:t>Classification of high-schoolers as smokers and non-smokers, and interpretation of “likely to smoke” based upon this binomial distribution.</w:t>
      </w:r>
    </w:p>
    <w:p w:rsidR="004A71B4" w:rsidRDefault="004A71B4" w:rsidP="004A71B4">
      <w:pPr>
        <w:pStyle w:val="ListParagraph"/>
        <w:numPr>
          <w:ilvl w:val="0"/>
          <w:numId w:val="2"/>
        </w:numPr>
      </w:pPr>
      <w:r>
        <w:t>Quantification of frequency of smoking, and comparison of counts of these “bins”. Higher frequency of past smoking would then indicate a greater likelihood of smoking.</w:t>
      </w:r>
    </w:p>
    <w:p w:rsidR="00DA31BB" w:rsidRDefault="004A71B4" w:rsidP="00196FD4">
      <w:pPr>
        <w:pStyle w:val="ListParagraph"/>
        <w:ind w:left="1440"/>
      </w:pPr>
      <w:r>
        <w:t xml:space="preserve">Approach #1 </w:t>
      </w:r>
      <w:r w:rsidR="00DA31BB">
        <w:t>requires the transformation of the data into two classes: smokers and non-smokers, with the below definitions:</w:t>
      </w:r>
    </w:p>
    <w:p w:rsidR="00196FD4" w:rsidRDefault="00DA31BB" w:rsidP="00331C3F">
      <w:pPr>
        <w:pStyle w:val="ListParagraph"/>
        <w:numPr>
          <w:ilvl w:val="0"/>
          <w:numId w:val="6"/>
        </w:numPr>
      </w:pPr>
      <w:r>
        <w:t xml:space="preserve">non-smokers: didn’t smoke in the last 30 days </w:t>
      </w:r>
    </w:p>
    <w:p w:rsidR="00DA31BB" w:rsidRDefault="00DA31BB" w:rsidP="00331C3F">
      <w:pPr>
        <w:pStyle w:val="ListParagraph"/>
        <w:numPr>
          <w:ilvl w:val="0"/>
          <w:numId w:val="6"/>
        </w:numPr>
      </w:pPr>
      <w:r>
        <w:t>smokers: smoked at least once in the last 30 days</w:t>
      </w:r>
    </w:p>
    <w:p w:rsidR="00331C3F" w:rsidRDefault="00DA31BB" w:rsidP="00331C3F">
      <w:pPr>
        <w:pStyle w:val="ListParagraph"/>
        <w:keepNext/>
        <w:ind w:left="1440"/>
      </w:pPr>
      <w:r>
        <w:lastRenderedPageBreak/>
        <w:t>This results in a binomial distribution that can be compared on the basis of proportions. The below bar charts indicate these distributions for both genders.</w:t>
      </w:r>
      <w:r>
        <w:rPr>
          <w:noProof/>
        </w:rPr>
        <w:drawing>
          <wp:inline distT="0" distB="0" distL="0" distR="0" wp14:anchorId="661D08B0" wp14:editId="56FA2831">
            <wp:extent cx="2505687" cy="2133313"/>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371" cy="2147518"/>
                    </a:xfrm>
                    <a:prstGeom prst="rect">
                      <a:avLst/>
                    </a:prstGeom>
                  </pic:spPr>
                </pic:pic>
              </a:graphicData>
            </a:graphic>
          </wp:inline>
        </w:drawing>
      </w:r>
      <w:r>
        <w:t xml:space="preserve"> </w:t>
      </w:r>
      <w:r>
        <w:rPr>
          <w:noProof/>
        </w:rPr>
        <w:drawing>
          <wp:inline distT="0" distB="0" distL="0" distR="0" wp14:anchorId="7575E517" wp14:editId="2867C683">
            <wp:extent cx="2482404" cy="211349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9172" cy="2136282"/>
                    </a:xfrm>
                    <a:prstGeom prst="rect">
                      <a:avLst/>
                    </a:prstGeom>
                  </pic:spPr>
                </pic:pic>
              </a:graphicData>
            </a:graphic>
          </wp:inline>
        </w:drawing>
      </w:r>
    </w:p>
    <w:p w:rsidR="00196FD4" w:rsidRDefault="00331C3F" w:rsidP="00331C3F">
      <w:pPr>
        <w:pStyle w:val="Caption"/>
        <w:ind w:left="720" w:firstLine="720"/>
      </w:pPr>
      <w:r>
        <w:t xml:space="preserve">Figure </w:t>
      </w:r>
      <w:r>
        <w:fldChar w:fldCharType="begin"/>
      </w:r>
      <w:r>
        <w:instrText xml:space="preserve"> SEQ Figure \* ARABIC </w:instrText>
      </w:r>
      <w:r>
        <w:fldChar w:fldCharType="separate"/>
      </w:r>
      <w:r w:rsidR="006B7C3F">
        <w:rPr>
          <w:noProof/>
        </w:rPr>
        <w:t>6</w:t>
      </w:r>
      <w:r>
        <w:fldChar w:fldCharType="end"/>
      </w:r>
      <w:r>
        <w:t xml:space="preserve"> Bar charts of male and female smoker status</w:t>
      </w:r>
    </w:p>
    <w:p w:rsidR="00196FD4" w:rsidRDefault="00375915" w:rsidP="00196FD4">
      <w:pPr>
        <w:pStyle w:val="ListParagraph"/>
        <w:ind w:left="1440"/>
      </w:pPr>
      <w:r>
        <w:t xml:space="preserve">In this case, tabular data </w:t>
      </w:r>
      <w:r w:rsidR="00701EC6">
        <w:t xml:space="preserve">of percentages </w:t>
      </w:r>
      <w:r>
        <w:t>is clearer, and more efficiently communicates smoker status:</w:t>
      </w:r>
    </w:p>
    <w:tbl>
      <w:tblPr>
        <w:tblStyle w:val="TableGrid"/>
        <w:tblW w:w="0" w:type="auto"/>
        <w:tblInd w:w="1440" w:type="dxa"/>
        <w:tblLook w:val="04A0" w:firstRow="1" w:lastRow="0" w:firstColumn="1" w:lastColumn="0" w:noHBand="0" w:noVBand="1"/>
      </w:tblPr>
      <w:tblGrid>
        <w:gridCol w:w="2067"/>
        <w:gridCol w:w="1947"/>
        <w:gridCol w:w="1948"/>
      </w:tblGrid>
      <w:tr w:rsidR="00085171" w:rsidTr="00085171">
        <w:tc>
          <w:tcPr>
            <w:tcW w:w="2067" w:type="dxa"/>
          </w:tcPr>
          <w:p w:rsidR="00085171" w:rsidRDefault="00085171" w:rsidP="00196FD4">
            <w:pPr>
              <w:pStyle w:val="ListParagraph"/>
              <w:ind w:left="0"/>
            </w:pPr>
          </w:p>
        </w:tc>
        <w:tc>
          <w:tcPr>
            <w:tcW w:w="1947" w:type="dxa"/>
          </w:tcPr>
          <w:p w:rsidR="00085171" w:rsidRDefault="00085171" w:rsidP="00196FD4">
            <w:pPr>
              <w:pStyle w:val="ListParagraph"/>
              <w:ind w:left="0"/>
            </w:pPr>
            <w:r>
              <w:t>Non-smoker</w:t>
            </w:r>
          </w:p>
        </w:tc>
        <w:tc>
          <w:tcPr>
            <w:tcW w:w="1948" w:type="dxa"/>
          </w:tcPr>
          <w:p w:rsidR="00085171" w:rsidRDefault="00085171" w:rsidP="00196FD4">
            <w:pPr>
              <w:pStyle w:val="ListParagraph"/>
              <w:ind w:left="0"/>
            </w:pPr>
            <w:r>
              <w:t>Smoker</w:t>
            </w:r>
          </w:p>
        </w:tc>
      </w:tr>
      <w:tr w:rsidR="00085171" w:rsidTr="00085171">
        <w:tc>
          <w:tcPr>
            <w:tcW w:w="2067" w:type="dxa"/>
          </w:tcPr>
          <w:p w:rsidR="00085171" w:rsidRDefault="00085171" w:rsidP="00196FD4">
            <w:pPr>
              <w:pStyle w:val="ListParagraph"/>
              <w:ind w:left="0"/>
            </w:pPr>
            <w:r>
              <w:t>Male</w:t>
            </w:r>
          </w:p>
        </w:tc>
        <w:tc>
          <w:tcPr>
            <w:tcW w:w="1947" w:type="dxa"/>
          </w:tcPr>
          <w:p w:rsidR="00085171" w:rsidRDefault="00085171" w:rsidP="00196FD4">
            <w:pPr>
              <w:pStyle w:val="ListParagraph"/>
              <w:ind w:left="0"/>
            </w:pPr>
            <w:r>
              <w:t>0.837</w:t>
            </w:r>
          </w:p>
        </w:tc>
        <w:tc>
          <w:tcPr>
            <w:tcW w:w="1948" w:type="dxa"/>
          </w:tcPr>
          <w:p w:rsidR="00085171" w:rsidRDefault="00085171" w:rsidP="00196FD4">
            <w:pPr>
              <w:pStyle w:val="ListParagraph"/>
              <w:ind w:left="0"/>
            </w:pPr>
            <w:r>
              <w:t>0.163</w:t>
            </w:r>
          </w:p>
        </w:tc>
      </w:tr>
      <w:tr w:rsidR="00085171" w:rsidTr="00085171">
        <w:tc>
          <w:tcPr>
            <w:tcW w:w="2067" w:type="dxa"/>
          </w:tcPr>
          <w:p w:rsidR="00085171" w:rsidRDefault="00085171" w:rsidP="00196FD4">
            <w:pPr>
              <w:pStyle w:val="ListParagraph"/>
              <w:ind w:left="0"/>
            </w:pPr>
            <w:r>
              <w:t>Female</w:t>
            </w:r>
          </w:p>
        </w:tc>
        <w:tc>
          <w:tcPr>
            <w:tcW w:w="1947" w:type="dxa"/>
          </w:tcPr>
          <w:p w:rsidR="00085171" w:rsidRDefault="00085171" w:rsidP="00196FD4">
            <w:pPr>
              <w:pStyle w:val="ListParagraph"/>
              <w:ind w:left="0"/>
            </w:pPr>
            <w:r>
              <w:t>0.874</w:t>
            </w:r>
          </w:p>
        </w:tc>
        <w:tc>
          <w:tcPr>
            <w:tcW w:w="1948" w:type="dxa"/>
          </w:tcPr>
          <w:p w:rsidR="00085171" w:rsidRDefault="00085171" w:rsidP="00085171">
            <w:pPr>
              <w:pStyle w:val="ListParagraph"/>
              <w:keepNext/>
              <w:ind w:left="0"/>
            </w:pPr>
            <w:r>
              <w:t>0.126</w:t>
            </w:r>
          </w:p>
        </w:tc>
      </w:tr>
    </w:tbl>
    <w:p w:rsidR="00085171" w:rsidRDefault="00085171" w:rsidP="00085171">
      <w:pPr>
        <w:pStyle w:val="Caption"/>
        <w:ind w:left="720" w:firstLine="720"/>
      </w:pPr>
      <w:r>
        <w:t xml:space="preserve">Table </w:t>
      </w:r>
      <w:r>
        <w:fldChar w:fldCharType="begin"/>
      </w:r>
      <w:r>
        <w:instrText xml:space="preserve"> SEQ Table \* ARABIC </w:instrText>
      </w:r>
      <w:r>
        <w:fldChar w:fldCharType="separate"/>
      </w:r>
      <w:r w:rsidR="00F721B2">
        <w:rPr>
          <w:noProof/>
        </w:rPr>
        <w:t>5</w:t>
      </w:r>
      <w:r>
        <w:fldChar w:fldCharType="end"/>
      </w:r>
      <w:r>
        <w:t xml:space="preserve"> </w:t>
      </w:r>
      <w:r w:rsidRPr="007A630F">
        <w:t>Percentage of male and female non-smokers and smokers</w:t>
      </w:r>
    </w:p>
    <w:p w:rsidR="00362C9C" w:rsidRDefault="00375915" w:rsidP="00196FD4">
      <w:pPr>
        <w:pStyle w:val="ListParagraph"/>
        <w:ind w:left="1440"/>
      </w:pPr>
      <w:r>
        <w:t xml:space="preserve">As can be seen above, the </w:t>
      </w:r>
      <w:r w:rsidR="00D65BF6">
        <w:t>percentages</w:t>
      </w:r>
      <w:r>
        <w:t xml:space="preserve"> are similar, but with fewer female smokers.</w:t>
      </w:r>
      <w:r w:rsidR="00223CED">
        <w:t xml:space="preserve"> </w:t>
      </w:r>
    </w:p>
    <w:p w:rsidR="00362C9C" w:rsidRDefault="00223CED" w:rsidP="006F5F9C">
      <w:pPr>
        <w:pStyle w:val="ListParagraph"/>
        <w:ind w:left="1440" w:firstLine="720"/>
      </w:pPr>
      <w:r>
        <w:t xml:space="preserve">Given proportional data, </w:t>
      </w:r>
      <w:r w:rsidR="00362C9C">
        <w:t>a two-sample test for equality of proportions is conducted, the output of which follows the statement of null and alternate hypotheses.</w:t>
      </w:r>
    </w:p>
    <w:p w:rsidR="00362C9C" w:rsidRDefault="00362C9C" w:rsidP="00362C9C">
      <w:pPr>
        <w:pStyle w:val="ListParagraph"/>
        <w:ind w:left="1440"/>
      </w:pPr>
      <w:r>
        <w:tab/>
      </w:r>
      <w:proofErr w:type="gramStart"/>
      <w:r>
        <w:t>H</w:t>
      </w:r>
      <w:r w:rsidRPr="00530448">
        <w:rPr>
          <w:vertAlign w:val="subscript"/>
        </w:rPr>
        <w:t>0</w:t>
      </w:r>
      <w:r>
        <w:t xml:space="preserve"> :</w:t>
      </w:r>
      <w:proofErr w:type="gramEnd"/>
      <w:r>
        <w:t xml:space="preserve"> there is no difference in the population </w:t>
      </w:r>
      <w:r>
        <w:t>proportions</w:t>
      </w:r>
      <w:r>
        <w:t xml:space="preserve"> of </w:t>
      </w:r>
      <w:r>
        <w:t xml:space="preserve">male and female </w:t>
      </w:r>
      <w:r>
        <w:t>high-school</w:t>
      </w:r>
      <w:r>
        <w:t xml:space="preserve"> smokers</w:t>
      </w:r>
    </w:p>
    <w:p w:rsidR="00362C9C" w:rsidRDefault="00362C9C" w:rsidP="00196FD4">
      <w:pPr>
        <w:pStyle w:val="ListParagraph"/>
        <w:ind w:left="1440"/>
      </w:pPr>
      <w:r>
        <w:tab/>
      </w:r>
      <w:proofErr w:type="gramStart"/>
      <w:r>
        <w:t>H</w:t>
      </w:r>
      <w:r w:rsidRPr="00530448">
        <w:rPr>
          <w:vertAlign w:val="subscript"/>
        </w:rPr>
        <w:t>a</w:t>
      </w:r>
      <w:r>
        <w:t xml:space="preserve"> :</w:t>
      </w:r>
      <w:proofErr w:type="gramEnd"/>
      <w:r>
        <w:t xml:space="preserve"> is </w:t>
      </w:r>
      <w:r>
        <w:t>a non-zero</w:t>
      </w:r>
      <w:r>
        <w:t xml:space="preserve"> difference in the population proportions of male and female high-school smokers</w:t>
      </w:r>
    </w:p>
    <w:p w:rsidR="00362C9C" w:rsidRDefault="00362C9C" w:rsidP="0036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32"/>
        <w:rPr>
          <w:rFonts w:ascii="Courier New" w:eastAsia="Times New Roman" w:hAnsi="Courier New" w:cs="Courier New"/>
          <w:color w:val="000000"/>
          <w:szCs w:val="20"/>
          <w:bdr w:val="none" w:sz="0" w:space="0" w:color="auto" w:frame="1"/>
        </w:rPr>
      </w:pPr>
      <w:r w:rsidRPr="00362C9C">
        <w:rPr>
          <w:rFonts w:ascii="Courier New" w:eastAsia="Times New Roman" w:hAnsi="Courier New" w:cs="Courier New"/>
          <w:color w:val="000000"/>
          <w:szCs w:val="20"/>
          <w:bdr w:val="none" w:sz="0" w:space="0" w:color="auto" w:frame="1"/>
        </w:rPr>
        <w:t xml:space="preserve">2-sample test for equality of proportions without </w:t>
      </w:r>
    </w:p>
    <w:p w:rsidR="00362C9C" w:rsidRPr="00362C9C" w:rsidRDefault="00362C9C" w:rsidP="0036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32"/>
        <w:rPr>
          <w:rFonts w:ascii="Courier New" w:eastAsia="Times New Roman" w:hAnsi="Courier New" w:cs="Courier New"/>
          <w:color w:val="000000"/>
          <w:szCs w:val="20"/>
          <w:bdr w:val="none" w:sz="0" w:space="0" w:color="auto" w:frame="1"/>
        </w:rPr>
      </w:pPr>
      <w:proofErr w:type="gramStart"/>
      <w:r w:rsidRPr="00362C9C">
        <w:rPr>
          <w:rFonts w:ascii="Courier New" w:eastAsia="Times New Roman" w:hAnsi="Courier New" w:cs="Courier New"/>
          <w:color w:val="000000"/>
          <w:szCs w:val="20"/>
          <w:bdr w:val="none" w:sz="0" w:space="0" w:color="auto" w:frame="1"/>
        </w:rPr>
        <w:t>continuity</w:t>
      </w:r>
      <w:proofErr w:type="gramEnd"/>
      <w:r w:rsidRPr="00362C9C">
        <w:rPr>
          <w:rFonts w:ascii="Courier New" w:eastAsia="Times New Roman" w:hAnsi="Courier New" w:cs="Courier New"/>
          <w:color w:val="000000"/>
          <w:szCs w:val="20"/>
          <w:bdr w:val="none" w:sz="0" w:space="0" w:color="auto" w:frame="1"/>
        </w:rPr>
        <w:t xml:space="preserve"> correction</w:t>
      </w:r>
    </w:p>
    <w:p w:rsidR="00362C9C" w:rsidRPr="00362C9C" w:rsidRDefault="00362C9C" w:rsidP="0036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32"/>
        <w:rPr>
          <w:rFonts w:ascii="Courier New" w:eastAsia="Times New Roman" w:hAnsi="Courier New" w:cs="Courier New"/>
          <w:color w:val="000000"/>
          <w:szCs w:val="20"/>
          <w:bdr w:val="none" w:sz="0" w:space="0" w:color="auto" w:frame="1"/>
        </w:rPr>
      </w:pPr>
    </w:p>
    <w:p w:rsidR="00362C9C" w:rsidRPr="00362C9C" w:rsidRDefault="00362C9C" w:rsidP="0036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32"/>
        <w:rPr>
          <w:rFonts w:ascii="Courier New" w:eastAsia="Times New Roman" w:hAnsi="Courier New" w:cs="Courier New"/>
          <w:color w:val="000000"/>
          <w:szCs w:val="20"/>
          <w:bdr w:val="none" w:sz="0" w:space="0" w:color="auto" w:frame="1"/>
        </w:rPr>
      </w:pPr>
      <w:proofErr w:type="gramStart"/>
      <w:r w:rsidRPr="00362C9C">
        <w:rPr>
          <w:rFonts w:ascii="Courier New" w:eastAsia="Times New Roman" w:hAnsi="Courier New" w:cs="Courier New"/>
          <w:color w:val="000000"/>
          <w:szCs w:val="20"/>
          <w:bdr w:val="none" w:sz="0" w:space="0" w:color="auto" w:frame="1"/>
        </w:rPr>
        <w:t>data</w:t>
      </w:r>
      <w:proofErr w:type="gramEnd"/>
      <w:r w:rsidRPr="00362C9C">
        <w:rPr>
          <w:rFonts w:ascii="Courier New" w:eastAsia="Times New Roman" w:hAnsi="Courier New" w:cs="Courier New"/>
          <w:color w:val="000000"/>
          <w:szCs w:val="20"/>
          <w:bdr w:val="none" w:sz="0" w:space="0" w:color="auto" w:frame="1"/>
        </w:rPr>
        <w:t xml:space="preserve">:  </w:t>
      </w:r>
      <w:proofErr w:type="spellStart"/>
      <w:r w:rsidRPr="00362C9C">
        <w:rPr>
          <w:rFonts w:ascii="Courier New" w:eastAsia="Times New Roman" w:hAnsi="Courier New" w:cs="Courier New"/>
          <w:color w:val="000000"/>
          <w:szCs w:val="20"/>
          <w:bdr w:val="none" w:sz="0" w:space="0" w:color="auto" w:frame="1"/>
        </w:rPr>
        <w:t>sm</w:t>
      </w:r>
      <w:proofErr w:type="spellEnd"/>
      <w:r w:rsidRPr="00362C9C">
        <w:rPr>
          <w:rFonts w:ascii="Courier New" w:eastAsia="Times New Roman" w:hAnsi="Courier New" w:cs="Courier New"/>
          <w:color w:val="000000"/>
          <w:szCs w:val="20"/>
          <w:bdr w:val="none" w:sz="0" w:space="0" w:color="auto" w:frame="1"/>
        </w:rPr>
        <w:t xml:space="preserve"> out of total</w:t>
      </w:r>
    </w:p>
    <w:p w:rsidR="00362C9C" w:rsidRPr="00362C9C" w:rsidRDefault="00362C9C" w:rsidP="0036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32"/>
        <w:rPr>
          <w:rFonts w:ascii="Courier New" w:eastAsia="Times New Roman" w:hAnsi="Courier New" w:cs="Courier New"/>
          <w:color w:val="000000"/>
          <w:szCs w:val="20"/>
          <w:bdr w:val="none" w:sz="0" w:space="0" w:color="auto" w:frame="1"/>
        </w:rPr>
      </w:pPr>
      <w:r w:rsidRPr="00362C9C">
        <w:rPr>
          <w:rFonts w:ascii="Courier New" w:eastAsia="Times New Roman" w:hAnsi="Courier New" w:cs="Courier New"/>
          <w:color w:val="000000"/>
          <w:szCs w:val="20"/>
          <w:bdr w:val="none" w:sz="0" w:space="0" w:color="auto" w:frame="1"/>
        </w:rPr>
        <w:t xml:space="preserve">X-squared = 33.795, </w:t>
      </w:r>
      <w:proofErr w:type="spellStart"/>
      <w:proofErr w:type="gramStart"/>
      <w:r w:rsidRPr="00362C9C">
        <w:rPr>
          <w:rFonts w:ascii="Courier New" w:eastAsia="Times New Roman" w:hAnsi="Courier New" w:cs="Courier New"/>
          <w:color w:val="000000"/>
          <w:szCs w:val="20"/>
          <w:bdr w:val="none" w:sz="0" w:space="0" w:color="auto" w:frame="1"/>
        </w:rPr>
        <w:t>df</w:t>
      </w:r>
      <w:proofErr w:type="spellEnd"/>
      <w:proofErr w:type="gramEnd"/>
      <w:r w:rsidRPr="00362C9C">
        <w:rPr>
          <w:rFonts w:ascii="Courier New" w:eastAsia="Times New Roman" w:hAnsi="Courier New" w:cs="Courier New"/>
          <w:color w:val="000000"/>
          <w:szCs w:val="20"/>
          <w:bdr w:val="none" w:sz="0" w:space="0" w:color="auto" w:frame="1"/>
        </w:rPr>
        <w:t xml:space="preserve"> = 1, p-value = 6.125e-09</w:t>
      </w:r>
    </w:p>
    <w:p w:rsidR="00362C9C" w:rsidRPr="00362C9C" w:rsidRDefault="00362C9C" w:rsidP="0036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32"/>
        <w:rPr>
          <w:rFonts w:ascii="Courier New" w:eastAsia="Times New Roman" w:hAnsi="Courier New" w:cs="Courier New"/>
          <w:color w:val="000000"/>
          <w:szCs w:val="20"/>
          <w:bdr w:val="none" w:sz="0" w:space="0" w:color="auto" w:frame="1"/>
        </w:rPr>
      </w:pPr>
      <w:proofErr w:type="gramStart"/>
      <w:r w:rsidRPr="00362C9C">
        <w:rPr>
          <w:rFonts w:ascii="Courier New" w:eastAsia="Times New Roman" w:hAnsi="Courier New" w:cs="Courier New"/>
          <w:color w:val="000000"/>
          <w:szCs w:val="20"/>
          <w:bdr w:val="none" w:sz="0" w:space="0" w:color="auto" w:frame="1"/>
        </w:rPr>
        <w:t>alternative</w:t>
      </w:r>
      <w:proofErr w:type="gramEnd"/>
      <w:r w:rsidRPr="00362C9C">
        <w:rPr>
          <w:rFonts w:ascii="Courier New" w:eastAsia="Times New Roman" w:hAnsi="Courier New" w:cs="Courier New"/>
          <w:color w:val="000000"/>
          <w:szCs w:val="20"/>
          <w:bdr w:val="none" w:sz="0" w:space="0" w:color="auto" w:frame="1"/>
        </w:rPr>
        <w:t xml:space="preserve"> hypothesis: </w:t>
      </w:r>
      <w:proofErr w:type="spellStart"/>
      <w:r w:rsidRPr="00362C9C">
        <w:rPr>
          <w:rFonts w:ascii="Courier New" w:eastAsia="Times New Roman" w:hAnsi="Courier New" w:cs="Courier New"/>
          <w:color w:val="000000"/>
          <w:szCs w:val="20"/>
          <w:bdr w:val="none" w:sz="0" w:space="0" w:color="auto" w:frame="1"/>
        </w:rPr>
        <w:t>two.sided</w:t>
      </w:r>
      <w:proofErr w:type="spellEnd"/>
    </w:p>
    <w:p w:rsidR="00362C9C" w:rsidRPr="00362C9C" w:rsidRDefault="00362C9C" w:rsidP="0036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32"/>
        <w:rPr>
          <w:rFonts w:ascii="Courier New" w:eastAsia="Times New Roman" w:hAnsi="Courier New" w:cs="Courier New"/>
          <w:color w:val="000000"/>
          <w:szCs w:val="20"/>
          <w:bdr w:val="none" w:sz="0" w:space="0" w:color="auto" w:frame="1"/>
        </w:rPr>
      </w:pPr>
      <w:r w:rsidRPr="00362C9C">
        <w:rPr>
          <w:rFonts w:ascii="Courier New" w:eastAsia="Times New Roman" w:hAnsi="Courier New" w:cs="Courier New"/>
          <w:color w:val="000000"/>
          <w:szCs w:val="20"/>
          <w:bdr w:val="none" w:sz="0" w:space="0" w:color="auto" w:frame="1"/>
        </w:rPr>
        <w:t>95 percent confidence interval:</w:t>
      </w:r>
    </w:p>
    <w:p w:rsidR="00362C9C" w:rsidRPr="00362C9C" w:rsidRDefault="00362C9C" w:rsidP="0036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32"/>
        <w:rPr>
          <w:rFonts w:ascii="Courier New" w:eastAsia="Times New Roman" w:hAnsi="Courier New" w:cs="Courier New"/>
          <w:color w:val="000000"/>
          <w:szCs w:val="20"/>
          <w:bdr w:val="none" w:sz="0" w:space="0" w:color="auto" w:frame="1"/>
        </w:rPr>
      </w:pPr>
      <w:r w:rsidRPr="00362C9C">
        <w:rPr>
          <w:rFonts w:ascii="Courier New" w:eastAsia="Times New Roman" w:hAnsi="Courier New" w:cs="Courier New"/>
          <w:color w:val="000000"/>
          <w:szCs w:val="20"/>
          <w:bdr w:val="none" w:sz="0" w:space="0" w:color="auto" w:frame="1"/>
        </w:rPr>
        <w:t xml:space="preserve"> 0.02466874 0.04966246</w:t>
      </w:r>
    </w:p>
    <w:p w:rsidR="00362C9C" w:rsidRPr="00362C9C" w:rsidRDefault="00362C9C" w:rsidP="0036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32"/>
        <w:rPr>
          <w:rFonts w:ascii="Courier New" w:eastAsia="Times New Roman" w:hAnsi="Courier New" w:cs="Courier New"/>
          <w:color w:val="000000"/>
          <w:szCs w:val="20"/>
          <w:bdr w:val="none" w:sz="0" w:space="0" w:color="auto" w:frame="1"/>
        </w:rPr>
      </w:pPr>
      <w:proofErr w:type="gramStart"/>
      <w:r w:rsidRPr="00362C9C">
        <w:rPr>
          <w:rFonts w:ascii="Courier New" w:eastAsia="Times New Roman" w:hAnsi="Courier New" w:cs="Courier New"/>
          <w:color w:val="000000"/>
          <w:szCs w:val="20"/>
          <w:bdr w:val="none" w:sz="0" w:space="0" w:color="auto" w:frame="1"/>
        </w:rPr>
        <w:t>sample</w:t>
      </w:r>
      <w:proofErr w:type="gramEnd"/>
      <w:r w:rsidRPr="00362C9C">
        <w:rPr>
          <w:rFonts w:ascii="Courier New" w:eastAsia="Times New Roman" w:hAnsi="Courier New" w:cs="Courier New"/>
          <w:color w:val="000000"/>
          <w:szCs w:val="20"/>
          <w:bdr w:val="none" w:sz="0" w:space="0" w:color="auto" w:frame="1"/>
        </w:rPr>
        <w:t xml:space="preserve"> estimates:</w:t>
      </w:r>
    </w:p>
    <w:p w:rsidR="00362C9C" w:rsidRPr="00362C9C" w:rsidRDefault="00362C9C" w:rsidP="0036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32"/>
        <w:rPr>
          <w:rFonts w:ascii="Courier New" w:eastAsia="Times New Roman" w:hAnsi="Courier New" w:cs="Courier New"/>
          <w:color w:val="000000"/>
          <w:szCs w:val="20"/>
          <w:bdr w:val="none" w:sz="0" w:space="0" w:color="auto" w:frame="1"/>
        </w:rPr>
      </w:pPr>
      <w:r w:rsidRPr="00362C9C">
        <w:rPr>
          <w:rFonts w:ascii="Courier New" w:eastAsia="Times New Roman" w:hAnsi="Courier New" w:cs="Courier New"/>
          <w:color w:val="000000"/>
          <w:szCs w:val="20"/>
          <w:bdr w:val="none" w:sz="0" w:space="0" w:color="auto" w:frame="1"/>
        </w:rPr>
        <w:t xml:space="preserve">   </w:t>
      </w:r>
      <w:proofErr w:type="gramStart"/>
      <w:r w:rsidRPr="00362C9C">
        <w:rPr>
          <w:rFonts w:ascii="Courier New" w:eastAsia="Times New Roman" w:hAnsi="Courier New" w:cs="Courier New"/>
          <w:color w:val="000000"/>
          <w:szCs w:val="20"/>
          <w:bdr w:val="none" w:sz="0" w:space="0" w:color="auto" w:frame="1"/>
        </w:rPr>
        <w:t>prop</w:t>
      </w:r>
      <w:proofErr w:type="gramEnd"/>
      <w:r w:rsidRPr="00362C9C">
        <w:rPr>
          <w:rFonts w:ascii="Courier New" w:eastAsia="Times New Roman" w:hAnsi="Courier New" w:cs="Courier New"/>
          <w:color w:val="000000"/>
          <w:szCs w:val="20"/>
          <w:bdr w:val="none" w:sz="0" w:space="0" w:color="auto" w:frame="1"/>
        </w:rPr>
        <w:t xml:space="preserve"> 1    prop 2 </w:t>
      </w:r>
    </w:p>
    <w:p w:rsidR="00362C9C" w:rsidRPr="00362C9C" w:rsidRDefault="00362C9C" w:rsidP="0036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32"/>
        <w:rPr>
          <w:rFonts w:ascii="Lucida Console" w:eastAsia="Times New Roman" w:hAnsi="Lucida Console" w:cs="Courier New"/>
          <w:color w:val="000000"/>
          <w:sz w:val="20"/>
          <w:szCs w:val="20"/>
        </w:rPr>
      </w:pPr>
      <w:r w:rsidRPr="00362C9C">
        <w:rPr>
          <w:rFonts w:ascii="Courier New" w:eastAsia="Times New Roman" w:hAnsi="Courier New" w:cs="Courier New"/>
          <w:color w:val="000000"/>
          <w:szCs w:val="20"/>
          <w:bdr w:val="none" w:sz="0" w:space="0" w:color="auto" w:frame="1"/>
        </w:rPr>
        <w:t xml:space="preserve">0.1630222 0.1258566 </w:t>
      </w:r>
    </w:p>
    <w:p w:rsidR="005C077C" w:rsidRDefault="005C077C" w:rsidP="00346B09">
      <w:pPr>
        <w:pStyle w:val="ListParagraph"/>
        <w:ind w:left="1440"/>
      </w:pPr>
      <w:r>
        <w:t>Again, the p-value is quite small, and the 0.95 confidence interval indicates a range of 2.5 to 5%, leading to a reasonably strong conclusion below.</w:t>
      </w:r>
    </w:p>
    <w:p w:rsidR="00196FD4" w:rsidRPr="005C077C" w:rsidRDefault="0054139A" w:rsidP="005C077C">
      <w:pPr>
        <w:pStyle w:val="ListParagraph"/>
        <w:ind w:left="1440" w:firstLine="720"/>
        <w:rPr>
          <w:i/>
        </w:rPr>
      </w:pPr>
      <w:r w:rsidRPr="005C077C">
        <w:rPr>
          <w:i/>
        </w:rPr>
        <w:t>There is convincing evidence that the difference in proportions of male and female high school smokers in 2013 is not zero (two-sample test for equal proportions, p-</w:t>
      </w:r>
      <w:proofErr w:type="spellStart"/>
      <w:r w:rsidRPr="005C077C">
        <w:rPr>
          <w:i/>
        </w:rPr>
        <w:t>val</w:t>
      </w:r>
      <w:proofErr w:type="spellEnd"/>
      <w:r w:rsidRPr="005C077C">
        <w:rPr>
          <w:i/>
        </w:rPr>
        <w:t xml:space="preserve"> = 6.13e-9), and hence infer that male high-schoolers are more likely to smoke than </w:t>
      </w:r>
      <w:r w:rsidRPr="005C077C">
        <w:rPr>
          <w:i/>
        </w:rPr>
        <w:lastRenderedPageBreak/>
        <w:t>female high-schoolers. With 95% confidence, we estimate that the difference in proportions is (0.025, 0.05), a practical difference of between 2.5 and 5%.</w:t>
      </w:r>
    </w:p>
    <w:p w:rsidR="005C077C" w:rsidRDefault="005C077C" w:rsidP="00346B09">
      <w:pPr>
        <w:pStyle w:val="ListParagraph"/>
        <w:ind w:left="1440"/>
      </w:pPr>
      <w:r>
        <w:tab/>
        <w:t>In this case, the results appear to be both statistically and practically significant: given the notable health risks associated with smoking, 2.5 to 5% difference might justify a change in the approach of an awareness campaign regarding the ill effects of smoking, for example.</w:t>
      </w:r>
      <w:r w:rsidR="00D008E7">
        <w:t xml:space="preserve"> Furthermore, it might prompt a follow-on study to determine if this gap appears to be increasing or decreasing with respect to 2003 data.</w:t>
      </w:r>
    </w:p>
    <w:p w:rsidR="005C077C" w:rsidRDefault="005C077C" w:rsidP="00346B09">
      <w:pPr>
        <w:pStyle w:val="ListParagraph"/>
        <w:ind w:left="1440"/>
      </w:pPr>
    </w:p>
    <w:p w:rsidR="00561B63" w:rsidRDefault="00561B63" w:rsidP="00346B09">
      <w:pPr>
        <w:pStyle w:val="ListParagraph"/>
        <w:ind w:left="1440"/>
      </w:pPr>
      <w:r>
        <w:t xml:space="preserve">A second, albeit slightly more involved approach would be to convert the categorical data to ordinal data, with the new data indicating increasing frequency of smoking. </w:t>
      </w:r>
    </w:p>
    <w:p w:rsidR="00561B63" w:rsidRDefault="00561B63" w:rsidP="00E07B08">
      <w:pPr>
        <w:pStyle w:val="ListParagraph"/>
        <w:keepNext/>
        <w:ind w:left="1440"/>
      </w:pPr>
      <w:r>
        <w:rPr>
          <w:noProof/>
        </w:rPr>
        <w:drawing>
          <wp:inline distT="0" distB="0" distL="0" distR="0" wp14:anchorId="2EB6F27F" wp14:editId="2BEC877C">
            <wp:extent cx="2362200" cy="201115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242" cy="2019700"/>
                    </a:xfrm>
                    <a:prstGeom prst="rect">
                      <a:avLst/>
                    </a:prstGeom>
                  </pic:spPr>
                </pic:pic>
              </a:graphicData>
            </a:graphic>
          </wp:inline>
        </w:drawing>
      </w:r>
      <w:r w:rsidRPr="00561B63">
        <w:rPr>
          <w:noProof/>
        </w:rPr>
        <w:t xml:space="preserve"> </w:t>
      </w:r>
      <w:r>
        <w:rPr>
          <w:noProof/>
        </w:rPr>
        <w:drawing>
          <wp:inline distT="0" distB="0" distL="0" distR="0" wp14:anchorId="2FCF72BC" wp14:editId="129470C4">
            <wp:extent cx="2413290" cy="2054648"/>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9450" cy="2068407"/>
                    </a:xfrm>
                    <a:prstGeom prst="rect">
                      <a:avLst/>
                    </a:prstGeom>
                  </pic:spPr>
                </pic:pic>
              </a:graphicData>
            </a:graphic>
          </wp:inline>
        </w:drawing>
      </w:r>
    </w:p>
    <w:p w:rsidR="00E07B08" w:rsidRDefault="00E07B08" w:rsidP="00E07B08">
      <w:pPr>
        <w:pStyle w:val="Caption"/>
        <w:ind w:left="720" w:firstLine="720"/>
      </w:pPr>
      <w:r>
        <w:t xml:space="preserve">Figure </w:t>
      </w:r>
      <w:r>
        <w:fldChar w:fldCharType="begin"/>
      </w:r>
      <w:r>
        <w:instrText xml:space="preserve"> SEQ Figure \* ARABIC </w:instrText>
      </w:r>
      <w:r>
        <w:fldChar w:fldCharType="separate"/>
      </w:r>
      <w:r w:rsidR="006B7C3F">
        <w:rPr>
          <w:noProof/>
        </w:rPr>
        <w:t>7</w:t>
      </w:r>
      <w:r>
        <w:fldChar w:fldCharType="end"/>
      </w:r>
      <w:r>
        <w:t xml:space="preserve"> Bar charts of male and female frequency of smoking</w:t>
      </w:r>
    </w:p>
    <w:p w:rsidR="00196FD4" w:rsidRDefault="00561B63" w:rsidP="00346B09">
      <w:pPr>
        <w:pStyle w:val="ListParagraph"/>
        <w:ind w:left="1440"/>
      </w:pPr>
      <w:r>
        <w:t>Once again, tabular display of proportions allows a more detailed comparison, although the number of columns makes the comparison less straightforward.</w:t>
      </w:r>
    </w:p>
    <w:tbl>
      <w:tblPr>
        <w:tblStyle w:val="TableGrid"/>
        <w:tblW w:w="0" w:type="auto"/>
        <w:tblInd w:w="1440" w:type="dxa"/>
        <w:tblLook w:val="04A0" w:firstRow="1" w:lastRow="0" w:firstColumn="1" w:lastColumn="0" w:noHBand="0" w:noVBand="1"/>
      </w:tblPr>
      <w:tblGrid>
        <w:gridCol w:w="1044"/>
        <w:gridCol w:w="980"/>
        <w:gridCol w:w="981"/>
        <w:gridCol w:w="981"/>
        <w:gridCol w:w="981"/>
        <w:gridCol w:w="981"/>
        <w:gridCol w:w="981"/>
        <w:gridCol w:w="981"/>
      </w:tblGrid>
      <w:tr w:rsidR="00407F86" w:rsidTr="00407F86">
        <w:tc>
          <w:tcPr>
            <w:tcW w:w="1168" w:type="dxa"/>
          </w:tcPr>
          <w:p w:rsidR="00407F86" w:rsidRDefault="00407F86" w:rsidP="00346B09">
            <w:pPr>
              <w:pStyle w:val="ListParagraph"/>
              <w:ind w:left="0"/>
            </w:pPr>
          </w:p>
        </w:tc>
        <w:tc>
          <w:tcPr>
            <w:tcW w:w="1168" w:type="dxa"/>
          </w:tcPr>
          <w:p w:rsidR="00407F86" w:rsidRDefault="00407F86" w:rsidP="00346B09">
            <w:pPr>
              <w:pStyle w:val="ListParagraph"/>
              <w:ind w:left="0"/>
            </w:pPr>
            <w:r>
              <w:t>0</w:t>
            </w:r>
          </w:p>
        </w:tc>
        <w:tc>
          <w:tcPr>
            <w:tcW w:w="1169" w:type="dxa"/>
          </w:tcPr>
          <w:p w:rsidR="00407F86" w:rsidRDefault="00407F86" w:rsidP="00346B09">
            <w:pPr>
              <w:pStyle w:val="ListParagraph"/>
              <w:ind w:left="0"/>
            </w:pPr>
            <w:r>
              <w:t>1 or 2</w:t>
            </w:r>
          </w:p>
        </w:tc>
        <w:tc>
          <w:tcPr>
            <w:tcW w:w="1169" w:type="dxa"/>
          </w:tcPr>
          <w:p w:rsidR="00407F86" w:rsidRDefault="00407F86" w:rsidP="00346B09">
            <w:pPr>
              <w:pStyle w:val="ListParagraph"/>
              <w:ind w:left="0"/>
            </w:pPr>
            <w:r>
              <w:t>3 to 5</w:t>
            </w:r>
          </w:p>
        </w:tc>
        <w:tc>
          <w:tcPr>
            <w:tcW w:w="1169" w:type="dxa"/>
          </w:tcPr>
          <w:p w:rsidR="00407F86" w:rsidRDefault="00407F86" w:rsidP="00346B09">
            <w:pPr>
              <w:pStyle w:val="ListParagraph"/>
              <w:ind w:left="0"/>
            </w:pPr>
            <w:r>
              <w:t>6 to 9</w:t>
            </w:r>
          </w:p>
        </w:tc>
        <w:tc>
          <w:tcPr>
            <w:tcW w:w="1169" w:type="dxa"/>
          </w:tcPr>
          <w:p w:rsidR="00407F86" w:rsidRDefault="00407F86" w:rsidP="00346B09">
            <w:pPr>
              <w:pStyle w:val="ListParagraph"/>
              <w:ind w:left="0"/>
            </w:pPr>
            <w:r>
              <w:t>10 to 19</w:t>
            </w:r>
          </w:p>
        </w:tc>
        <w:tc>
          <w:tcPr>
            <w:tcW w:w="1169" w:type="dxa"/>
          </w:tcPr>
          <w:p w:rsidR="00407F86" w:rsidRDefault="00407F86" w:rsidP="00346B09">
            <w:pPr>
              <w:pStyle w:val="ListParagraph"/>
              <w:ind w:left="0"/>
            </w:pPr>
            <w:r>
              <w:t>20 to 29</w:t>
            </w:r>
          </w:p>
        </w:tc>
        <w:tc>
          <w:tcPr>
            <w:tcW w:w="1169" w:type="dxa"/>
          </w:tcPr>
          <w:p w:rsidR="00407F86" w:rsidRDefault="00407F86" w:rsidP="00346B09">
            <w:pPr>
              <w:pStyle w:val="ListParagraph"/>
              <w:ind w:left="0"/>
            </w:pPr>
            <w:r>
              <w:t>30</w:t>
            </w:r>
          </w:p>
        </w:tc>
      </w:tr>
      <w:tr w:rsidR="00407F86" w:rsidTr="00407F86">
        <w:tc>
          <w:tcPr>
            <w:tcW w:w="1168" w:type="dxa"/>
          </w:tcPr>
          <w:p w:rsidR="00407F86" w:rsidRDefault="00407F86" w:rsidP="00346B09">
            <w:pPr>
              <w:pStyle w:val="ListParagraph"/>
              <w:ind w:left="0"/>
            </w:pPr>
            <w:r>
              <w:t>Male</w:t>
            </w:r>
          </w:p>
        </w:tc>
        <w:tc>
          <w:tcPr>
            <w:tcW w:w="1168" w:type="dxa"/>
          </w:tcPr>
          <w:p w:rsidR="00407F86" w:rsidRDefault="00407F86" w:rsidP="00346B09">
            <w:pPr>
              <w:pStyle w:val="ListParagraph"/>
              <w:ind w:left="0"/>
            </w:pPr>
            <w:r>
              <w:t>0.837</w:t>
            </w:r>
          </w:p>
        </w:tc>
        <w:tc>
          <w:tcPr>
            <w:tcW w:w="1169" w:type="dxa"/>
          </w:tcPr>
          <w:p w:rsidR="00407F86" w:rsidRDefault="00407F86" w:rsidP="00346B09">
            <w:pPr>
              <w:pStyle w:val="ListParagraph"/>
              <w:ind w:left="0"/>
            </w:pPr>
            <w:r>
              <w:t>0.048</w:t>
            </w:r>
          </w:p>
        </w:tc>
        <w:tc>
          <w:tcPr>
            <w:tcW w:w="1169" w:type="dxa"/>
          </w:tcPr>
          <w:p w:rsidR="00407F86" w:rsidRDefault="00407F86" w:rsidP="00346B09">
            <w:pPr>
              <w:pStyle w:val="ListParagraph"/>
              <w:ind w:left="0"/>
            </w:pPr>
            <w:r>
              <w:t>0.021</w:t>
            </w:r>
          </w:p>
        </w:tc>
        <w:tc>
          <w:tcPr>
            <w:tcW w:w="1169" w:type="dxa"/>
          </w:tcPr>
          <w:p w:rsidR="00407F86" w:rsidRDefault="00407F86" w:rsidP="00346B09">
            <w:pPr>
              <w:pStyle w:val="ListParagraph"/>
              <w:ind w:left="0"/>
            </w:pPr>
            <w:r>
              <w:t>0.017</w:t>
            </w:r>
          </w:p>
        </w:tc>
        <w:tc>
          <w:tcPr>
            <w:tcW w:w="1169" w:type="dxa"/>
          </w:tcPr>
          <w:p w:rsidR="00407F86" w:rsidRDefault="00407F86" w:rsidP="00346B09">
            <w:pPr>
              <w:pStyle w:val="ListParagraph"/>
              <w:ind w:left="0"/>
            </w:pPr>
            <w:r>
              <w:t>0.019</w:t>
            </w:r>
          </w:p>
        </w:tc>
        <w:tc>
          <w:tcPr>
            <w:tcW w:w="1169" w:type="dxa"/>
          </w:tcPr>
          <w:p w:rsidR="00407F86" w:rsidRDefault="00407F86" w:rsidP="00346B09">
            <w:pPr>
              <w:pStyle w:val="ListParagraph"/>
              <w:ind w:left="0"/>
            </w:pPr>
            <w:r>
              <w:t>0.016</w:t>
            </w:r>
          </w:p>
        </w:tc>
        <w:tc>
          <w:tcPr>
            <w:tcW w:w="1169" w:type="dxa"/>
          </w:tcPr>
          <w:p w:rsidR="00407F86" w:rsidRDefault="00407F86" w:rsidP="00346B09">
            <w:pPr>
              <w:pStyle w:val="ListParagraph"/>
              <w:ind w:left="0"/>
            </w:pPr>
            <w:r>
              <w:t>0.042</w:t>
            </w:r>
          </w:p>
        </w:tc>
      </w:tr>
      <w:tr w:rsidR="00407F86" w:rsidTr="00407F86">
        <w:tc>
          <w:tcPr>
            <w:tcW w:w="1168" w:type="dxa"/>
          </w:tcPr>
          <w:p w:rsidR="00407F86" w:rsidRDefault="00407F86" w:rsidP="00346B09">
            <w:pPr>
              <w:pStyle w:val="ListParagraph"/>
              <w:ind w:left="0"/>
            </w:pPr>
            <w:r>
              <w:t>Female</w:t>
            </w:r>
          </w:p>
        </w:tc>
        <w:tc>
          <w:tcPr>
            <w:tcW w:w="1168" w:type="dxa"/>
          </w:tcPr>
          <w:p w:rsidR="00407F86" w:rsidRDefault="00407F86" w:rsidP="00346B09">
            <w:pPr>
              <w:pStyle w:val="ListParagraph"/>
              <w:ind w:left="0"/>
            </w:pPr>
            <w:r>
              <w:t>0.874</w:t>
            </w:r>
          </w:p>
        </w:tc>
        <w:tc>
          <w:tcPr>
            <w:tcW w:w="1169" w:type="dxa"/>
          </w:tcPr>
          <w:p w:rsidR="00407F86" w:rsidRDefault="00407F86" w:rsidP="00346B09">
            <w:pPr>
              <w:pStyle w:val="ListParagraph"/>
              <w:ind w:left="0"/>
            </w:pPr>
            <w:r>
              <w:t>0.041</w:t>
            </w:r>
          </w:p>
        </w:tc>
        <w:tc>
          <w:tcPr>
            <w:tcW w:w="1169" w:type="dxa"/>
          </w:tcPr>
          <w:p w:rsidR="00407F86" w:rsidRDefault="00407F86" w:rsidP="00346B09">
            <w:pPr>
              <w:pStyle w:val="ListParagraph"/>
              <w:ind w:left="0"/>
            </w:pPr>
            <w:r>
              <w:t>0.020</w:t>
            </w:r>
          </w:p>
        </w:tc>
        <w:tc>
          <w:tcPr>
            <w:tcW w:w="1169" w:type="dxa"/>
          </w:tcPr>
          <w:p w:rsidR="00407F86" w:rsidRDefault="00407F86" w:rsidP="00346B09">
            <w:pPr>
              <w:pStyle w:val="ListParagraph"/>
              <w:ind w:left="0"/>
            </w:pPr>
            <w:r>
              <w:t>0.012</w:t>
            </w:r>
          </w:p>
        </w:tc>
        <w:tc>
          <w:tcPr>
            <w:tcW w:w="1169" w:type="dxa"/>
          </w:tcPr>
          <w:p w:rsidR="00407F86" w:rsidRDefault="00407F86" w:rsidP="00346B09">
            <w:pPr>
              <w:pStyle w:val="ListParagraph"/>
              <w:ind w:left="0"/>
            </w:pPr>
            <w:r>
              <w:t>0.012</w:t>
            </w:r>
          </w:p>
        </w:tc>
        <w:tc>
          <w:tcPr>
            <w:tcW w:w="1169" w:type="dxa"/>
          </w:tcPr>
          <w:p w:rsidR="00407F86" w:rsidRDefault="00407F86" w:rsidP="00346B09">
            <w:pPr>
              <w:pStyle w:val="ListParagraph"/>
              <w:ind w:left="0"/>
            </w:pPr>
            <w:r>
              <w:t>0.014</w:t>
            </w:r>
          </w:p>
        </w:tc>
        <w:tc>
          <w:tcPr>
            <w:tcW w:w="1169" w:type="dxa"/>
          </w:tcPr>
          <w:p w:rsidR="00407F86" w:rsidRDefault="00407F86" w:rsidP="00617CDD">
            <w:pPr>
              <w:pStyle w:val="ListParagraph"/>
              <w:keepNext/>
              <w:ind w:left="0"/>
            </w:pPr>
            <w:r>
              <w:t>0.027</w:t>
            </w:r>
          </w:p>
        </w:tc>
      </w:tr>
    </w:tbl>
    <w:p w:rsidR="00561B63" w:rsidRDefault="00617CDD" w:rsidP="00617CDD">
      <w:pPr>
        <w:pStyle w:val="Caption"/>
        <w:ind w:left="720" w:firstLine="720"/>
      </w:pPr>
      <w:r>
        <w:t xml:space="preserve">Table </w:t>
      </w:r>
      <w:r>
        <w:fldChar w:fldCharType="begin"/>
      </w:r>
      <w:r>
        <w:instrText xml:space="preserve"> SEQ Table \* ARABIC </w:instrText>
      </w:r>
      <w:r>
        <w:fldChar w:fldCharType="separate"/>
      </w:r>
      <w:r w:rsidR="00F721B2">
        <w:rPr>
          <w:noProof/>
        </w:rPr>
        <w:t>6</w:t>
      </w:r>
      <w:r>
        <w:fldChar w:fldCharType="end"/>
      </w:r>
      <w:r>
        <w:t xml:space="preserve"> Percentages of male and female frequency of smoking</w:t>
      </w:r>
    </w:p>
    <w:p w:rsidR="003C6B52" w:rsidRDefault="00F26C81" w:rsidP="00346B09">
      <w:pPr>
        <w:pStyle w:val="ListParagraph"/>
        <w:ind w:left="1440"/>
      </w:pPr>
      <w:r>
        <w:t xml:space="preserve">A Chi-squared test for given probabilities can be performed </w:t>
      </w:r>
      <w:r w:rsidR="003C6B52">
        <w:t>to compare the male proportions to female proportions (termed “expected probabilities”) to determine the likelihood of equivalence between the two populations, the results of which follows, however this does not answer the original question but rather simply indicates a difference in populations.</w:t>
      </w:r>
    </w:p>
    <w:p w:rsidR="003C6B52" w:rsidRPr="003C6B52" w:rsidRDefault="003C6B52" w:rsidP="003C6B52">
      <w:pPr>
        <w:pStyle w:val="HTMLPreformatted"/>
        <w:shd w:val="clear" w:color="auto" w:fill="FFFFFF"/>
        <w:wordWrap w:val="0"/>
        <w:spacing w:line="225" w:lineRule="atLeast"/>
        <w:ind w:left="1440"/>
        <w:rPr>
          <w:rStyle w:val="gnkrckgcgsb"/>
          <w:color w:val="000000"/>
          <w:sz w:val="22"/>
          <w:bdr w:val="none" w:sz="0" w:space="0" w:color="auto" w:frame="1"/>
        </w:rPr>
      </w:pPr>
      <w:r w:rsidRPr="003C6B52">
        <w:rPr>
          <w:rStyle w:val="gnkrckgcgsb"/>
          <w:color w:val="000000"/>
          <w:sz w:val="22"/>
          <w:bdr w:val="none" w:sz="0" w:space="0" w:color="auto" w:frame="1"/>
        </w:rPr>
        <w:tab/>
        <w:t>Chi-squared test for given probabilities</w:t>
      </w:r>
    </w:p>
    <w:p w:rsidR="003C6B52" w:rsidRPr="003C6B52" w:rsidRDefault="003C6B52" w:rsidP="003C6B52">
      <w:pPr>
        <w:pStyle w:val="HTMLPreformatted"/>
        <w:shd w:val="clear" w:color="auto" w:fill="FFFFFF"/>
        <w:wordWrap w:val="0"/>
        <w:spacing w:line="225" w:lineRule="atLeast"/>
        <w:ind w:left="1440"/>
        <w:rPr>
          <w:rStyle w:val="gnkrckgcgsb"/>
          <w:color w:val="000000"/>
          <w:sz w:val="22"/>
          <w:bdr w:val="none" w:sz="0" w:space="0" w:color="auto" w:frame="1"/>
        </w:rPr>
      </w:pPr>
    </w:p>
    <w:p w:rsidR="003C6B52" w:rsidRDefault="003C6B52" w:rsidP="003C6B52">
      <w:pPr>
        <w:pStyle w:val="HTMLPreformatted"/>
        <w:shd w:val="clear" w:color="auto" w:fill="FFFFFF"/>
        <w:wordWrap w:val="0"/>
        <w:spacing w:line="225" w:lineRule="atLeast"/>
        <w:ind w:left="1440"/>
        <w:rPr>
          <w:rStyle w:val="gnkrckgcgsb"/>
          <w:color w:val="000000"/>
          <w:sz w:val="22"/>
          <w:bdr w:val="none" w:sz="0" w:space="0" w:color="auto" w:frame="1"/>
        </w:rPr>
      </w:pPr>
      <w:proofErr w:type="gramStart"/>
      <w:r w:rsidRPr="003C6B52">
        <w:rPr>
          <w:rStyle w:val="gnkrckgcgsb"/>
          <w:color w:val="000000"/>
          <w:sz w:val="22"/>
          <w:bdr w:val="none" w:sz="0" w:space="0" w:color="auto" w:frame="1"/>
        </w:rPr>
        <w:t>data</w:t>
      </w:r>
      <w:proofErr w:type="gramEnd"/>
      <w:r w:rsidRPr="003C6B52">
        <w:rPr>
          <w:rStyle w:val="gnkrckgcgsb"/>
          <w:color w:val="000000"/>
          <w:sz w:val="22"/>
          <w:bdr w:val="none" w:sz="0" w:space="0" w:color="auto" w:frame="1"/>
        </w:rPr>
        <w:t xml:space="preserve">:  table(x = yrbss_2013[yrbss_2013$sex == "Male", </w:t>
      </w:r>
    </w:p>
    <w:p w:rsidR="003C6B52" w:rsidRPr="003C6B52" w:rsidRDefault="003C6B52" w:rsidP="003C6B52">
      <w:pPr>
        <w:pStyle w:val="HTMLPreformatted"/>
        <w:shd w:val="clear" w:color="auto" w:fill="FFFFFF"/>
        <w:wordWrap w:val="0"/>
        <w:spacing w:line="225" w:lineRule="atLeast"/>
        <w:ind w:left="1440"/>
        <w:rPr>
          <w:rStyle w:val="gnkrckgcgsb"/>
          <w:color w:val="000000"/>
          <w:sz w:val="22"/>
          <w:bdr w:val="none" w:sz="0" w:space="0" w:color="auto" w:frame="1"/>
        </w:rPr>
      </w:pPr>
      <w:r w:rsidRPr="003C6B52">
        <w:rPr>
          <w:rStyle w:val="gnkrckgcgsb"/>
          <w:color w:val="000000"/>
          <w:sz w:val="22"/>
          <w:bdr w:val="none" w:sz="0" w:space="0" w:color="auto" w:frame="1"/>
        </w:rPr>
        <w:t>"</w:t>
      </w:r>
      <w:proofErr w:type="gramStart"/>
      <w:r w:rsidRPr="003C6B52">
        <w:rPr>
          <w:rStyle w:val="gnkrckgcgsb"/>
          <w:color w:val="000000"/>
          <w:sz w:val="22"/>
          <w:bdr w:val="none" w:sz="0" w:space="0" w:color="auto" w:frame="1"/>
        </w:rPr>
        <w:t>smoke</w:t>
      </w:r>
      <w:proofErr w:type="gramEnd"/>
      <w:r w:rsidRPr="003C6B52">
        <w:rPr>
          <w:rStyle w:val="gnkrckgcgsb"/>
          <w:color w:val="000000"/>
          <w:sz w:val="22"/>
          <w:bdr w:val="none" w:sz="0" w:space="0" w:color="auto" w:frame="1"/>
        </w:rPr>
        <w:t>"])</w:t>
      </w:r>
    </w:p>
    <w:p w:rsidR="003C6B52" w:rsidRDefault="003C6B52" w:rsidP="003C6B52">
      <w:pPr>
        <w:pStyle w:val="HTMLPreformatted"/>
        <w:shd w:val="clear" w:color="auto" w:fill="FFFFFF"/>
        <w:wordWrap w:val="0"/>
        <w:spacing w:line="225" w:lineRule="atLeast"/>
        <w:ind w:left="1440"/>
        <w:rPr>
          <w:rStyle w:val="gnkrckgcgsb"/>
          <w:rFonts w:ascii="Lucida Console" w:hAnsi="Lucida Console"/>
          <w:color w:val="000000"/>
          <w:bdr w:val="none" w:sz="0" w:space="0" w:color="auto" w:frame="1"/>
        </w:rPr>
      </w:pPr>
      <w:r w:rsidRPr="003C6B52">
        <w:rPr>
          <w:rStyle w:val="gnkrckgcgsb"/>
          <w:color w:val="000000"/>
          <w:sz w:val="22"/>
          <w:bdr w:val="none" w:sz="0" w:space="0" w:color="auto" w:frame="1"/>
        </w:rPr>
        <w:t xml:space="preserve">X-squared = 103.96, </w:t>
      </w:r>
      <w:proofErr w:type="spellStart"/>
      <w:proofErr w:type="gramStart"/>
      <w:r w:rsidRPr="003C6B52">
        <w:rPr>
          <w:rStyle w:val="gnkrckgcgsb"/>
          <w:color w:val="000000"/>
          <w:sz w:val="22"/>
          <w:bdr w:val="none" w:sz="0" w:space="0" w:color="auto" w:frame="1"/>
        </w:rPr>
        <w:t>df</w:t>
      </w:r>
      <w:proofErr w:type="spellEnd"/>
      <w:proofErr w:type="gramEnd"/>
      <w:r w:rsidRPr="003C6B52">
        <w:rPr>
          <w:rStyle w:val="gnkrckgcgsb"/>
          <w:color w:val="000000"/>
          <w:sz w:val="22"/>
          <w:bdr w:val="none" w:sz="0" w:space="0" w:color="auto" w:frame="1"/>
        </w:rPr>
        <w:t xml:space="preserve"> = 6, p-value &lt; 2.2e-16</w:t>
      </w:r>
    </w:p>
    <w:p w:rsidR="003C6B52" w:rsidRDefault="003C6B52" w:rsidP="00346B09">
      <w:pPr>
        <w:pStyle w:val="ListParagraph"/>
        <w:ind w:left="1440"/>
      </w:pPr>
    </w:p>
    <w:p w:rsidR="003C6B52" w:rsidRDefault="003C6B52" w:rsidP="00346B09">
      <w:pPr>
        <w:pStyle w:val="ListParagraph"/>
        <w:ind w:left="1440"/>
      </w:pPr>
      <w:r>
        <w:t>While the result above indicates a difference, the first approach more accurately answers the question posed, subject to the stated definitions of “smoker” and “non-smoker”.</w:t>
      </w:r>
    </w:p>
    <w:p w:rsidR="00561B63" w:rsidRDefault="00561B63" w:rsidP="00346B09">
      <w:pPr>
        <w:pStyle w:val="ListParagraph"/>
        <w:ind w:left="1440"/>
      </w:pPr>
    </w:p>
    <w:p w:rsidR="009721C2" w:rsidRDefault="009721C2" w:rsidP="009721C2">
      <w:pPr>
        <w:pStyle w:val="ListParagraph"/>
        <w:numPr>
          <w:ilvl w:val="1"/>
          <w:numId w:val="1"/>
        </w:numPr>
      </w:pPr>
      <w:r>
        <w:lastRenderedPageBreak/>
        <w:t>How much TV do high-schoolers watch?</w:t>
      </w:r>
    </w:p>
    <w:p w:rsidR="00486AF2" w:rsidRDefault="00A25193" w:rsidP="004A73F1">
      <w:pPr>
        <w:pStyle w:val="ListParagraph"/>
        <w:ind w:left="1440" w:firstLine="720"/>
      </w:pPr>
      <w:r>
        <w:t>Accurately answering the question in this case would require reporting some number that indicated amount of television watched by 2013 high-schoolers on an average school night, likely in hours. The data, however, are categorical in nature, and indicate ranges of television watched.</w:t>
      </w:r>
      <w:r w:rsidR="00486AF2">
        <w:t xml:space="preserve"> </w:t>
      </w:r>
    </w:p>
    <w:p w:rsidR="00595FB6" w:rsidRDefault="00486AF2" w:rsidP="008F3EE9">
      <w:pPr>
        <w:pStyle w:val="ListParagraph"/>
        <w:ind w:left="1440" w:firstLine="720"/>
      </w:pPr>
      <w:r>
        <w:t xml:space="preserve">The data could be transformed into </w:t>
      </w:r>
      <w:r w:rsidR="00595FB6">
        <w:t>a form more easily analyzed</w:t>
      </w:r>
      <w:r w:rsidR="008F3EE9">
        <w:t>, the most obvious transformation being the replacement of categories with hours, in integer form. There are a few issue with this approach, however.</w:t>
      </w:r>
    </w:p>
    <w:p w:rsidR="008F3EE9" w:rsidRDefault="008F3EE9" w:rsidP="008F3EE9">
      <w:pPr>
        <w:pStyle w:val="ListParagraph"/>
        <w:ind w:left="1440" w:firstLine="720"/>
      </w:pPr>
      <w:r>
        <w:t>The responses given represent ranges, and replacing them with integers can hide this fact, and lead to an approach analyzing the mean, which would have a loss of accuracy, given that watching 1 hour and 50 minutes of television might result in a response of 1 or 2 hours per day.</w:t>
      </w:r>
      <w:r w:rsidR="004D78A5">
        <w:t xml:space="preserve"> Furthermore, the extreme values would need to be handled:</w:t>
      </w:r>
    </w:p>
    <w:p w:rsidR="004D78A5" w:rsidRDefault="004D78A5" w:rsidP="004A1B03">
      <w:pPr>
        <w:pStyle w:val="ListParagraph"/>
        <w:numPr>
          <w:ilvl w:val="0"/>
          <w:numId w:val="7"/>
        </w:numPr>
      </w:pPr>
      <w:r>
        <w:t>“Less than 1 hour per day” doesn’t have an obvious integer value, and would need to be included in the “No TV” or “1 hour” bins.</w:t>
      </w:r>
    </w:p>
    <w:p w:rsidR="004D78A5" w:rsidRDefault="00121A50" w:rsidP="004A1B03">
      <w:pPr>
        <w:pStyle w:val="ListParagraph"/>
        <w:numPr>
          <w:ilvl w:val="0"/>
          <w:numId w:val="7"/>
        </w:numPr>
      </w:pPr>
      <w:r>
        <w:t>“5 or more hours per day” would likely be converted to an integer value of 5, which could lead to underestimating the mean if there were significant outliers of 6 or more hours.</w:t>
      </w:r>
    </w:p>
    <w:p w:rsidR="00121A50" w:rsidRDefault="00121A50" w:rsidP="00121A50">
      <w:pPr>
        <w:pStyle w:val="ListParagraph"/>
        <w:ind w:left="1440"/>
      </w:pPr>
    </w:p>
    <w:p w:rsidR="00121A50" w:rsidRDefault="00121A50" w:rsidP="00121A50">
      <w:pPr>
        <w:pStyle w:val="ListParagraph"/>
        <w:ind w:left="1440"/>
      </w:pPr>
      <w:r>
        <w:t>Given transformed data, two possible procedures are:</w:t>
      </w:r>
    </w:p>
    <w:p w:rsidR="00121A50" w:rsidRDefault="00121A50" w:rsidP="00121A50">
      <w:pPr>
        <w:pStyle w:val="ListParagraph"/>
        <w:numPr>
          <w:ilvl w:val="0"/>
          <w:numId w:val="5"/>
        </w:numPr>
      </w:pPr>
      <w:r>
        <w:t>One-sample t-test to infer the population mean</w:t>
      </w:r>
    </w:p>
    <w:p w:rsidR="00121A50" w:rsidRDefault="00121A50" w:rsidP="00121A50">
      <w:pPr>
        <w:pStyle w:val="ListParagraph"/>
        <w:numPr>
          <w:ilvl w:val="0"/>
          <w:numId w:val="5"/>
        </w:numPr>
      </w:pPr>
      <w:r>
        <w:t>Wilcoxon signed-rank test for centrality</w:t>
      </w:r>
    </w:p>
    <w:p w:rsidR="00121A50" w:rsidRDefault="00121A50" w:rsidP="00121A50">
      <w:pPr>
        <w:pStyle w:val="ListParagraph"/>
        <w:ind w:left="1440"/>
      </w:pPr>
    </w:p>
    <w:p w:rsidR="00121A50" w:rsidRDefault="00121A50" w:rsidP="00121A50">
      <w:pPr>
        <w:pStyle w:val="ListParagraph"/>
        <w:ind w:left="1440"/>
      </w:pPr>
      <w:r>
        <w:t xml:space="preserve">The problem with the first approach follows from the initial transformation, and is exacerbated by handling of the upper and lower bins. </w:t>
      </w:r>
    </w:p>
    <w:p w:rsidR="00121A50" w:rsidRDefault="00121A50" w:rsidP="006B7C3F">
      <w:pPr>
        <w:pStyle w:val="ListParagraph"/>
        <w:ind w:left="1440" w:firstLine="720"/>
      </w:pPr>
      <w:r>
        <w:t>The second approach requires that a median, or central, value be specified. Inspecting the distribution of responses could provide such a central value (e.g. “2 hours” or an ordinal value of 4)</w:t>
      </w:r>
      <w:r w:rsidR="00B272C2">
        <w:t>, after which the signed-rank test could proceed. However, this test answers the notion of “centrality” and assumes a symmetric distribution about this central value. Failing this test would provide unclear results: does the test fail because the central value is not in fact 2 hours, or is the distribution not symmetric about this value?</w:t>
      </w:r>
    </w:p>
    <w:p w:rsidR="00B272C2" w:rsidRDefault="00B272C2" w:rsidP="006B7C3F">
      <w:pPr>
        <w:pStyle w:val="ListParagraph"/>
        <w:ind w:left="1440" w:firstLine="720"/>
      </w:pPr>
      <w:r>
        <w:t>Given the discrepancy between the question posed and the data at hand, in this case a statistical test to infer to the general population might be less meaningful, and a better approach is to simply visualize the data and draw conclusions based on this visual summary.</w:t>
      </w:r>
      <w:r w:rsidR="00E4253E">
        <w:t xml:space="preserve"> Doing so, and including proportional data in the below table, the following observations can be made:</w:t>
      </w:r>
    </w:p>
    <w:p w:rsidR="00E4253E" w:rsidRDefault="00E4253E" w:rsidP="00E4253E">
      <w:pPr>
        <w:pStyle w:val="ListParagraph"/>
        <w:numPr>
          <w:ilvl w:val="0"/>
          <w:numId w:val="3"/>
        </w:numPr>
      </w:pPr>
      <w:r>
        <w:t>Over half of the respondents watch more 2 or more hours of television on an average school day. This seems quite high.</w:t>
      </w:r>
    </w:p>
    <w:p w:rsidR="00E4253E" w:rsidRDefault="00E4253E" w:rsidP="00E4253E">
      <w:pPr>
        <w:pStyle w:val="ListParagraph"/>
        <w:numPr>
          <w:ilvl w:val="1"/>
          <w:numId w:val="3"/>
        </w:numPr>
      </w:pPr>
      <w:r>
        <w:t>Furthermore, the percentage of respondents that watch 4 or more hours is also quite high (~20%).</w:t>
      </w:r>
    </w:p>
    <w:p w:rsidR="00E4253E" w:rsidRDefault="00E4253E" w:rsidP="00E4253E">
      <w:pPr>
        <w:pStyle w:val="ListParagraph"/>
        <w:numPr>
          <w:ilvl w:val="0"/>
          <w:numId w:val="3"/>
        </w:numPr>
      </w:pPr>
      <w:r>
        <w:t>The most common response is “2 hours per day”, although this is not dramatically different from other bins (~20% vs ~10-15% in other bins)</w:t>
      </w:r>
    </w:p>
    <w:p w:rsidR="00E4253E" w:rsidRDefault="00E4253E" w:rsidP="00E4253E">
      <w:pPr>
        <w:pStyle w:val="ListParagraph"/>
        <w:numPr>
          <w:ilvl w:val="1"/>
          <w:numId w:val="3"/>
        </w:numPr>
      </w:pPr>
      <w:r>
        <w:lastRenderedPageBreak/>
        <w:t>Including “less than 1 hour” with 0 hours would make this the highest bin, and close to 30%.</w:t>
      </w:r>
    </w:p>
    <w:p w:rsidR="006B7C3F" w:rsidRDefault="00121A50" w:rsidP="006B7C3F">
      <w:pPr>
        <w:pStyle w:val="ListParagraph"/>
        <w:keepNext/>
        <w:ind w:left="1440"/>
      </w:pPr>
      <w:r>
        <w:rPr>
          <w:noProof/>
        </w:rPr>
        <w:drawing>
          <wp:inline distT="0" distB="0" distL="0" distR="0" wp14:anchorId="7FC54002" wp14:editId="19DA81D4">
            <wp:extent cx="4803210" cy="4089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6115" cy="4091873"/>
                    </a:xfrm>
                    <a:prstGeom prst="rect">
                      <a:avLst/>
                    </a:prstGeom>
                  </pic:spPr>
                </pic:pic>
              </a:graphicData>
            </a:graphic>
          </wp:inline>
        </w:drawing>
      </w:r>
    </w:p>
    <w:p w:rsidR="00B1201D" w:rsidRDefault="006B7C3F" w:rsidP="006B7C3F">
      <w:pPr>
        <w:pStyle w:val="Caption"/>
        <w:ind w:left="720" w:firstLine="720"/>
      </w:pPr>
      <w:r>
        <w:t xml:space="preserve">Figure </w:t>
      </w:r>
      <w:r>
        <w:fldChar w:fldCharType="begin"/>
      </w:r>
      <w:r>
        <w:instrText xml:space="preserve"> SEQ Figure \* ARABIC </w:instrText>
      </w:r>
      <w:r>
        <w:fldChar w:fldCharType="separate"/>
      </w:r>
      <w:r>
        <w:rPr>
          <w:noProof/>
        </w:rPr>
        <w:t>8</w:t>
      </w:r>
      <w:r>
        <w:fldChar w:fldCharType="end"/>
      </w:r>
      <w:r>
        <w:t xml:space="preserve"> Bar chart of</w:t>
      </w:r>
      <w:bookmarkStart w:id="0" w:name="_GoBack"/>
      <w:bookmarkEnd w:id="0"/>
      <w:r>
        <w:t xml:space="preserve"> hours of TV on a school day</w:t>
      </w:r>
    </w:p>
    <w:p w:rsidR="00B1201D" w:rsidRDefault="00B1201D" w:rsidP="00B1201D">
      <w:pPr>
        <w:pStyle w:val="HTMLPreformatted"/>
        <w:shd w:val="clear" w:color="auto" w:fill="FFFFFF"/>
        <w:wordWrap w:val="0"/>
        <w:spacing w:line="225" w:lineRule="atLeast"/>
        <w:ind w:left="2160"/>
        <w:rPr>
          <w:rFonts w:ascii="Lucida Console" w:hAnsi="Lucida Console"/>
          <w:color w:val="000000"/>
        </w:rPr>
      </w:pPr>
    </w:p>
    <w:tbl>
      <w:tblPr>
        <w:tblStyle w:val="TableGrid"/>
        <w:tblW w:w="0" w:type="auto"/>
        <w:tblInd w:w="1440" w:type="dxa"/>
        <w:tblLook w:val="04A0" w:firstRow="1" w:lastRow="0" w:firstColumn="1" w:lastColumn="0" w:noHBand="0" w:noVBand="1"/>
      </w:tblPr>
      <w:tblGrid>
        <w:gridCol w:w="985"/>
        <w:gridCol w:w="1010"/>
        <w:gridCol w:w="986"/>
        <w:gridCol w:w="986"/>
        <w:gridCol w:w="986"/>
        <w:gridCol w:w="986"/>
        <w:gridCol w:w="1010"/>
      </w:tblGrid>
      <w:tr w:rsidR="00F721B2" w:rsidTr="00F721B2">
        <w:tc>
          <w:tcPr>
            <w:tcW w:w="985" w:type="dxa"/>
          </w:tcPr>
          <w:p w:rsidR="00F721B2" w:rsidRDefault="00F721B2" w:rsidP="00121A50">
            <w:pPr>
              <w:pStyle w:val="ListParagraph"/>
              <w:ind w:left="0"/>
            </w:pPr>
            <w:r>
              <w:t>0</w:t>
            </w:r>
          </w:p>
        </w:tc>
        <w:tc>
          <w:tcPr>
            <w:tcW w:w="1010" w:type="dxa"/>
          </w:tcPr>
          <w:p w:rsidR="00F721B2" w:rsidRDefault="00F721B2" w:rsidP="00121A50">
            <w:pPr>
              <w:pStyle w:val="ListParagraph"/>
              <w:ind w:left="0"/>
            </w:pPr>
            <w:r>
              <w:t>&lt;1</w:t>
            </w:r>
          </w:p>
        </w:tc>
        <w:tc>
          <w:tcPr>
            <w:tcW w:w="986" w:type="dxa"/>
          </w:tcPr>
          <w:p w:rsidR="00F721B2" w:rsidRDefault="00F721B2" w:rsidP="00121A50">
            <w:pPr>
              <w:pStyle w:val="ListParagraph"/>
              <w:ind w:left="0"/>
            </w:pPr>
            <w:r>
              <w:t>1</w:t>
            </w:r>
          </w:p>
        </w:tc>
        <w:tc>
          <w:tcPr>
            <w:tcW w:w="986" w:type="dxa"/>
          </w:tcPr>
          <w:p w:rsidR="00F721B2" w:rsidRDefault="00F721B2" w:rsidP="00121A50">
            <w:pPr>
              <w:pStyle w:val="ListParagraph"/>
              <w:ind w:left="0"/>
            </w:pPr>
            <w:r>
              <w:t>2</w:t>
            </w:r>
          </w:p>
        </w:tc>
        <w:tc>
          <w:tcPr>
            <w:tcW w:w="986" w:type="dxa"/>
          </w:tcPr>
          <w:p w:rsidR="00F721B2" w:rsidRDefault="00F721B2" w:rsidP="00121A50">
            <w:pPr>
              <w:pStyle w:val="ListParagraph"/>
              <w:ind w:left="0"/>
            </w:pPr>
            <w:r>
              <w:t>3</w:t>
            </w:r>
          </w:p>
        </w:tc>
        <w:tc>
          <w:tcPr>
            <w:tcW w:w="986" w:type="dxa"/>
          </w:tcPr>
          <w:p w:rsidR="00F721B2" w:rsidRDefault="00F721B2" w:rsidP="00121A50">
            <w:pPr>
              <w:pStyle w:val="ListParagraph"/>
              <w:ind w:left="0"/>
            </w:pPr>
            <w:r>
              <w:t>4</w:t>
            </w:r>
          </w:p>
        </w:tc>
        <w:tc>
          <w:tcPr>
            <w:tcW w:w="1010" w:type="dxa"/>
          </w:tcPr>
          <w:p w:rsidR="00F721B2" w:rsidRDefault="00F721B2" w:rsidP="00121A50">
            <w:pPr>
              <w:pStyle w:val="ListParagraph"/>
              <w:ind w:left="0"/>
            </w:pPr>
            <w:r>
              <w:t>5+</w:t>
            </w:r>
          </w:p>
        </w:tc>
      </w:tr>
      <w:tr w:rsidR="00F721B2" w:rsidTr="00F721B2">
        <w:tc>
          <w:tcPr>
            <w:tcW w:w="985" w:type="dxa"/>
          </w:tcPr>
          <w:p w:rsidR="00F721B2" w:rsidRDefault="00F721B2" w:rsidP="00121A50">
            <w:pPr>
              <w:pStyle w:val="ListParagraph"/>
              <w:ind w:left="0"/>
            </w:pPr>
            <w:r>
              <w:t>0.136</w:t>
            </w:r>
          </w:p>
        </w:tc>
        <w:tc>
          <w:tcPr>
            <w:tcW w:w="1010" w:type="dxa"/>
          </w:tcPr>
          <w:p w:rsidR="00F721B2" w:rsidRDefault="00F721B2" w:rsidP="00121A50">
            <w:pPr>
              <w:pStyle w:val="ListParagraph"/>
              <w:ind w:left="0"/>
            </w:pPr>
            <w:r>
              <w:t>0.164</w:t>
            </w:r>
          </w:p>
        </w:tc>
        <w:tc>
          <w:tcPr>
            <w:tcW w:w="986" w:type="dxa"/>
          </w:tcPr>
          <w:p w:rsidR="00F721B2" w:rsidRDefault="00F721B2" w:rsidP="00121A50">
            <w:pPr>
              <w:pStyle w:val="ListParagraph"/>
              <w:ind w:left="0"/>
            </w:pPr>
            <w:r>
              <w:t>0.135</w:t>
            </w:r>
          </w:p>
        </w:tc>
        <w:tc>
          <w:tcPr>
            <w:tcW w:w="986" w:type="dxa"/>
          </w:tcPr>
          <w:p w:rsidR="00F721B2" w:rsidRDefault="00F721B2" w:rsidP="00121A50">
            <w:pPr>
              <w:pStyle w:val="ListParagraph"/>
              <w:ind w:left="0"/>
            </w:pPr>
            <w:r>
              <w:t>0.207</w:t>
            </w:r>
          </w:p>
        </w:tc>
        <w:tc>
          <w:tcPr>
            <w:tcW w:w="986" w:type="dxa"/>
          </w:tcPr>
          <w:p w:rsidR="00F721B2" w:rsidRDefault="00F721B2" w:rsidP="00121A50">
            <w:pPr>
              <w:pStyle w:val="ListParagraph"/>
              <w:ind w:left="0"/>
            </w:pPr>
            <w:r>
              <w:t>0.162</w:t>
            </w:r>
          </w:p>
        </w:tc>
        <w:tc>
          <w:tcPr>
            <w:tcW w:w="986" w:type="dxa"/>
          </w:tcPr>
          <w:p w:rsidR="00F721B2" w:rsidRDefault="00F721B2" w:rsidP="00121A50">
            <w:pPr>
              <w:pStyle w:val="ListParagraph"/>
              <w:ind w:left="0"/>
            </w:pPr>
            <w:r>
              <w:t>0.079</w:t>
            </w:r>
          </w:p>
        </w:tc>
        <w:tc>
          <w:tcPr>
            <w:tcW w:w="1010" w:type="dxa"/>
          </w:tcPr>
          <w:p w:rsidR="00F721B2" w:rsidRDefault="00F721B2" w:rsidP="00F721B2">
            <w:pPr>
              <w:pStyle w:val="ListParagraph"/>
              <w:keepNext/>
              <w:ind w:left="0"/>
            </w:pPr>
            <w:r>
              <w:t>0.116</w:t>
            </w:r>
          </w:p>
        </w:tc>
      </w:tr>
    </w:tbl>
    <w:p w:rsidR="00F721B2" w:rsidRDefault="00F721B2" w:rsidP="00F721B2">
      <w:pPr>
        <w:pStyle w:val="Caption"/>
        <w:ind w:left="720" w:firstLine="720"/>
      </w:pPr>
      <w:r>
        <w:t xml:space="preserve">Table </w:t>
      </w:r>
      <w:r>
        <w:fldChar w:fldCharType="begin"/>
      </w:r>
      <w:r>
        <w:instrText xml:space="preserve"> SEQ Table \* ARABIC </w:instrText>
      </w:r>
      <w:r>
        <w:fldChar w:fldCharType="separate"/>
      </w:r>
      <w:r>
        <w:rPr>
          <w:noProof/>
        </w:rPr>
        <w:t>7</w:t>
      </w:r>
      <w:r>
        <w:fldChar w:fldCharType="end"/>
      </w:r>
      <w:r>
        <w:t xml:space="preserve"> Percentages of hours of television viewing</w:t>
      </w:r>
    </w:p>
    <w:p w:rsidR="00121A50" w:rsidRDefault="00121A50" w:rsidP="00121A50">
      <w:pPr>
        <w:pStyle w:val="ListParagraph"/>
        <w:ind w:left="1440"/>
      </w:pPr>
      <w:r>
        <w:t xml:space="preserve"> </w:t>
      </w:r>
    </w:p>
    <w:p w:rsidR="00121A50" w:rsidRDefault="00121A50" w:rsidP="00121A50"/>
    <w:p w:rsidR="00121A50" w:rsidRDefault="00121A50" w:rsidP="00121A50"/>
    <w:p w:rsidR="00486AF2" w:rsidRPr="001D4D3B" w:rsidRDefault="00486AF2" w:rsidP="00486AF2"/>
    <w:sectPr w:rsidR="00486AF2" w:rsidRPr="001D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70856"/>
    <w:multiLevelType w:val="hybridMultilevel"/>
    <w:tmpl w:val="0C7686AA"/>
    <w:lvl w:ilvl="0" w:tplc="BCD254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EE27ECB"/>
    <w:multiLevelType w:val="hybridMultilevel"/>
    <w:tmpl w:val="D83896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A9E7829"/>
    <w:multiLevelType w:val="hybridMultilevel"/>
    <w:tmpl w:val="7EC26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52C73"/>
    <w:multiLevelType w:val="hybridMultilevel"/>
    <w:tmpl w:val="03DC72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D5C7AD8"/>
    <w:multiLevelType w:val="hybridMultilevel"/>
    <w:tmpl w:val="D67022AA"/>
    <w:lvl w:ilvl="0" w:tplc="39A61F1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5F44B11"/>
    <w:multiLevelType w:val="hybridMultilevel"/>
    <w:tmpl w:val="0A9EB46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7505BA5"/>
    <w:multiLevelType w:val="hybridMultilevel"/>
    <w:tmpl w:val="2C844734"/>
    <w:lvl w:ilvl="0" w:tplc="5722086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3B"/>
    <w:rsid w:val="00001A13"/>
    <w:rsid w:val="00003A5C"/>
    <w:rsid w:val="000126EC"/>
    <w:rsid w:val="00012B76"/>
    <w:rsid w:val="00020F3E"/>
    <w:rsid w:val="000245D0"/>
    <w:rsid w:val="0002499E"/>
    <w:rsid w:val="00025379"/>
    <w:rsid w:val="000348E7"/>
    <w:rsid w:val="00035CA1"/>
    <w:rsid w:val="00051FAA"/>
    <w:rsid w:val="00055FFE"/>
    <w:rsid w:val="000572BF"/>
    <w:rsid w:val="0006033D"/>
    <w:rsid w:val="00060CA6"/>
    <w:rsid w:val="00071B34"/>
    <w:rsid w:val="00077A04"/>
    <w:rsid w:val="00085171"/>
    <w:rsid w:val="000919E8"/>
    <w:rsid w:val="00095E88"/>
    <w:rsid w:val="00097229"/>
    <w:rsid w:val="000A02FD"/>
    <w:rsid w:val="000A1B23"/>
    <w:rsid w:val="000B74CF"/>
    <w:rsid w:val="000B7772"/>
    <w:rsid w:val="000D4DBE"/>
    <w:rsid w:val="000D7087"/>
    <w:rsid w:val="000D7A95"/>
    <w:rsid w:val="000E0124"/>
    <w:rsid w:val="000F1C3A"/>
    <w:rsid w:val="00105410"/>
    <w:rsid w:val="001133B6"/>
    <w:rsid w:val="00121A50"/>
    <w:rsid w:val="00124037"/>
    <w:rsid w:val="0012514E"/>
    <w:rsid w:val="00126265"/>
    <w:rsid w:val="00132208"/>
    <w:rsid w:val="00136636"/>
    <w:rsid w:val="00144806"/>
    <w:rsid w:val="0017208F"/>
    <w:rsid w:val="00182245"/>
    <w:rsid w:val="0018514A"/>
    <w:rsid w:val="00193EED"/>
    <w:rsid w:val="0019594B"/>
    <w:rsid w:val="00196FD4"/>
    <w:rsid w:val="0019793A"/>
    <w:rsid w:val="001A35AD"/>
    <w:rsid w:val="001A49E5"/>
    <w:rsid w:val="001A4D59"/>
    <w:rsid w:val="001B0832"/>
    <w:rsid w:val="001B2F0A"/>
    <w:rsid w:val="001C1FEC"/>
    <w:rsid w:val="001C636D"/>
    <w:rsid w:val="001C7357"/>
    <w:rsid w:val="001D4D3B"/>
    <w:rsid w:val="001E3B89"/>
    <w:rsid w:val="001E52D1"/>
    <w:rsid w:val="001F399F"/>
    <w:rsid w:val="00204046"/>
    <w:rsid w:val="0021642C"/>
    <w:rsid w:val="00223CED"/>
    <w:rsid w:val="00230494"/>
    <w:rsid w:val="00231BE0"/>
    <w:rsid w:val="002323DC"/>
    <w:rsid w:val="00232870"/>
    <w:rsid w:val="002336F9"/>
    <w:rsid w:val="00240E17"/>
    <w:rsid w:val="002472A7"/>
    <w:rsid w:val="002510A6"/>
    <w:rsid w:val="00252011"/>
    <w:rsid w:val="002536D9"/>
    <w:rsid w:val="00253B20"/>
    <w:rsid w:val="00260225"/>
    <w:rsid w:val="00266D6B"/>
    <w:rsid w:val="00267074"/>
    <w:rsid w:val="0027207E"/>
    <w:rsid w:val="00275E97"/>
    <w:rsid w:val="00280AF3"/>
    <w:rsid w:val="002820C9"/>
    <w:rsid w:val="002832F4"/>
    <w:rsid w:val="002861C8"/>
    <w:rsid w:val="002924E4"/>
    <w:rsid w:val="002A7AFA"/>
    <w:rsid w:val="002C7824"/>
    <w:rsid w:val="002D06A2"/>
    <w:rsid w:val="002D5DBF"/>
    <w:rsid w:val="002E19F2"/>
    <w:rsid w:val="002E1C24"/>
    <w:rsid w:val="002F14A0"/>
    <w:rsid w:val="002F4288"/>
    <w:rsid w:val="0030000A"/>
    <w:rsid w:val="0030331E"/>
    <w:rsid w:val="00304465"/>
    <w:rsid w:val="00325534"/>
    <w:rsid w:val="003315A8"/>
    <w:rsid w:val="00331C3F"/>
    <w:rsid w:val="00332C3A"/>
    <w:rsid w:val="00335813"/>
    <w:rsid w:val="0033612E"/>
    <w:rsid w:val="003440FA"/>
    <w:rsid w:val="00346B09"/>
    <w:rsid w:val="003501D8"/>
    <w:rsid w:val="00351586"/>
    <w:rsid w:val="0035438C"/>
    <w:rsid w:val="00357BF1"/>
    <w:rsid w:val="00362C9C"/>
    <w:rsid w:val="00364F03"/>
    <w:rsid w:val="003650C0"/>
    <w:rsid w:val="00365FB4"/>
    <w:rsid w:val="00367DEE"/>
    <w:rsid w:val="00373768"/>
    <w:rsid w:val="00375915"/>
    <w:rsid w:val="00384330"/>
    <w:rsid w:val="003A3113"/>
    <w:rsid w:val="003C1298"/>
    <w:rsid w:val="003C614F"/>
    <w:rsid w:val="003C6B52"/>
    <w:rsid w:val="003D3638"/>
    <w:rsid w:val="003D58E7"/>
    <w:rsid w:val="003E1751"/>
    <w:rsid w:val="003E7CEB"/>
    <w:rsid w:val="003F602A"/>
    <w:rsid w:val="00400707"/>
    <w:rsid w:val="004021EF"/>
    <w:rsid w:val="00407CC2"/>
    <w:rsid w:val="00407F86"/>
    <w:rsid w:val="0041092A"/>
    <w:rsid w:val="00411F63"/>
    <w:rsid w:val="004129D8"/>
    <w:rsid w:val="00413846"/>
    <w:rsid w:val="00430C5F"/>
    <w:rsid w:val="0043222C"/>
    <w:rsid w:val="00432BC1"/>
    <w:rsid w:val="00440542"/>
    <w:rsid w:val="004530FA"/>
    <w:rsid w:val="0047287F"/>
    <w:rsid w:val="004728B9"/>
    <w:rsid w:val="00473F97"/>
    <w:rsid w:val="00476AFF"/>
    <w:rsid w:val="00476BDA"/>
    <w:rsid w:val="0047757C"/>
    <w:rsid w:val="00477F3E"/>
    <w:rsid w:val="004825BD"/>
    <w:rsid w:val="00486AF2"/>
    <w:rsid w:val="004A1521"/>
    <w:rsid w:val="004A1B03"/>
    <w:rsid w:val="004A387A"/>
    <w:rsid w:val="004A71B4"/>
    <w:rsid w:val="004A73F1"/>
    <w:rsid w:val="004A7CDC"/>
    <w:rsid w:val="004B3921"/>
    <w:rsid w:val="004C2C72"/>
    <w:rsid w:val="004D301A"/>
    <w:rsid w:val="004D78A5"/>
    <w:rsid w:val="004D7C92"/>
    <w:rsid w:val="004D7ED9"/>
    <w:rsid w:val="004E3323"/>
    <w:rsid w:val="004E488B"/>
    <w:rsid w:val="00521E74"/>
    <w:rsid w:val="005256BB"/>
    <w:rsid w:val="00527E22"/>
    <w:rsid w:val="00530448"/>
    <w:rsid w:val="00540D17"/>
    <w:rsid w:val="0054139A"/>
    <w:rsid w:val="00544A4E"/>
    <w:rsid w:val="005460F3"/>
    <w:rsid w:val="00560335"/>
    <w:rsid w:val="00560BDD"/>
    <w:rsid w:val="005615B7"/>
    <w:rsid w:val="00561B63"/>
    <w:rsid w:val="00566B77"/>
    <w:rsid w:val="005849B0"/>
    <w:rsid w:val="005938D5"/>
    <w:rsid w:val="00595FB6"/>
    <w:rsid w:val="00596F3E"/>
    <w:rsid w:val="00597104"/>
    <w:rsid w:val="005A5ADA"/>
    <w:rsid w:val="005C077C"/>
    <w:rsid w:val="005D1902"/>
    <w:rsid w:val="005F5C42"/>
    <w:rsid w:val="006039CA"/>
    <w:rsid w:val="00612E35"/>
    <w:rsid w:val="00617CDD"/>
    <w:rsid w:val="00624D11"/>
    <w:rsid w:val="00626866"/>
    <w:rsid w:val="0062730B"/>
    <w:rsid w:val="00633F97"/>
    <w:rsid w:val="006402F2"/>
    <w:rsid w:val="0064493A"/>
    <w:rsid w:val="00655A32"/>
    <w:rsid w:val="00660586"/>
    <w:rsid w:val="00661526"/>
    <w:rsid w:val="0066442E"/>
    <w:rsid w:val="006740F5"/>
    <w:rsid w:val="00697C61"/>
    <w:rsid w:val="006B7C3F"/>
    <w:rsid w:val="006C79EF"/>
    <w:rsid w:val="006F1D0D"/>
    <w:rsid w:val="006F2EEE"/>
    <w:rsid w:val="006F3E6A"/>
    <w:rsid w:val="006F5F9C"/>
    <w:rsid w:val="0070183D"/>
    <w:rsid w:val="00701EC6"/>
    <w:rsid w:val="00703975"/>
    <w:rsid w:val="00710387"/>
    <w:rsid w:val="0071276D"/>
    <w:rsid w:val="0072160A"/>
    <w:rsid w:val="00726C78"/>
    <w:rsid w:val="007277D3"/>
    <w:rsid w:val="00746455"/>
    <w:rsid w:val="007465AD"/>
    <w:rsid w:val="00747492"/>
    <w:rsid w:val="0075639E"/>
    <w:rsid w:val="00761886"/>
    <w:rsid w:val="00763665"/>
    <w:rsid w:val="00763F3A"/>
    <w:rsid w:val="007704C5"/>
    <w:rsid w:val="00775052"/>
    <w:rsid w:val="007764E1"/>
    <w:rsid w:val="00782743"/>
    <w:rsid w:val="0078382A"/>
    <w:rsid w:val="0078615B"/>
    <w:rsid w:val="00787149"/>
    <w:rsid w:val="00793D6A"/>
    <w:rsid w:val="007B3DBB"/>
    <w:rsid w:val="007B7FF0"/>
    <w:rsid w:val="007C21B2"/>
    <w:rsid w:val="007C44B4"/>
    <w:rsid w:val="007D1C6D"/>
    <w:rsid w:val="007D35A1"/>
    <w:rsid w:val="007D36FC"/>
    <w:rsid w:val="007E3258"/>
    <w:rsid w:val="007E3D34"/>
    <w:rsid w:val="008140CB"/>
    <w:rsid w:val="00821E49"/>
    <w:rsid w:val="0083593C"/>
    <w:rsid w:val="008379F6"/>
    <w:rsid w:val="00843B3A"/>
    <w:rsid w:val="00852A66"/>
    <w:rsid w:val="00862FCD"/>
    <w:rsid w:val="00863F92"/>
    <w:rsid w:val="00865349"/>
    <w:rsid w:val="00873074"/>
    <w:rsid w:val="00874D26"/>
    <w:rsid w:val="00876ED0"/>
    <w:rsid w:val="00882C10"/>
    <w:rsid w:val="00892232"/>
    <w:rsid w:val="008A3174"/>
    <w:rsid w:val="008B52E7"/>
    <w:rsid w:val="008C40A1"/>
    <w:rsid w:val="008D79ED"/>
    <w:rsid w:val="008E0FEC"/>
    <w:rsid w:val="008E2B9D"/>
    <w:rsid w:val="008E387F"/>
    <w:rsid w:val="008F0188"/>
    <w:rsid w:val="008F2C57"/>
    <w:rsid w:val="008F3EE9"/>
    <w:rsid w:val="00906257"/>
    <w:rsid w:val="009064DD"/>
    <w:rsid w:val="00907D7C"/>
    <w:rsid w:val="00923613"/>
    <w:rsid w:val="009350B4"/>
    <w:rsid w:val="00941D58"/>
    <w:rsid w:val="009449F9"/>
    <w:rsid w:val="00955214"/>
    <w:rsid w:val="00957C53"/>
    <w:rsid w:val="00966119"/>
    <w:rsid w:val="00972047"/>
    <w:rsid w:val="009721C2"/>
    <w:rsid w:val="00977771"/>
    <w:rsid w:val="00981FE6"/>
    <w:rsid w:val="00984260"/>
    <w:rsid w:val="009A05BA"/>
    <w:rsid w:val="009C0E05"/>
    <w:rsid w:val="009C600F"/>
    <w:rsid w:val="009D6488"/>
    <w:rsid w:val="009E22E3"/>
    <w:rsid w:val="009E25A3"/>
    <w:rsid w:val="009E5856"/>
    <w:rsid w:val="009E5E86"/>
    <w:rsid w:val="009F1BE9"/>
    <w:rsid w:val="009F46DE"/>
    <w:rsid w:val="009F63CE"/>
    <w:rsid w:val="009F731C"/>
    <w:rsid w:val="009F7875"/>
    <w:rsid w:val="00A02629"/>
    <w:rsid w:val="00A06424"/>
    <w:rsid w:val="00A067C7"/>
    <w:rsid w:val="00A15FFC"/>
    <w:rsid w:val="00A25193"/>
    <w:rsid w:val="00A303C1"/>
    <w:rsid w:val="00A34035"/>
    <w:rsid w:val="00A40FBF"/>
    <w:rsid w:val="00A433DD"/>
    <w:rsid w:val="00A43E99"/>
    <w:rsid w:val="00A46976"/>
    <w:rsid w:val="00A64BBF"/>
    <w:rsid w:val="00A67AF8"/>
    <w:rsid w:val="00A706A1"/>
    <w:rsid w:val="00A80648"/>
    <w:rsid w:val="00A8339A"/>
    <w:rsid w:val="00A85EF0"/>
    <w:rsid w:val="00A96EDF"/>
    <w:rsid w:val="00AB50C4"/>
    <w:rsid w:val="00AE2697"/>
    <w:rsid w:val="00AE4FAF"/>
    <w:rsid w:val="00AF125D"/>
    <w:rsid w:val="00AF2766"/>
    <w:rsid w:val="00AF3244"/>
    <w:rsid w:val="00AF7901"/>
    <w:rsid w:val="00B000A5"/>
    <w:rsid w:val="00B03628"/>
    <w:rsid w:val="00B04BB5"/>
    <w:rsid w:val="00B11D9A"/>
    <w:rsid w:val="00B1201D"/>
    <w:rsid w:val="00B13633"/>
    <w:rsid w:val="00B14147"/>
    <w:rsid w:val="00B20F4D"/>
    <w:rsid w:val="00B21223"/>
    <w:rsid w:val="00B21C19"/>
    <w:rsid w:val="00B263FF"/>
    <w:rsid w:val="00B272C2"/>
    <w:rsid w:val="00B37AFE"/>
    <w:rsid w:val="00B52177"/>
    <w:rsid w:val="00B52B7E"/>
    <w:rsid w:val="00B5417A"/>
    <w:rsid w:val="00B60E34"/>
    <w:rsid w:val="00B80DEB"/>
    <w:rsid w:val="00B91453"/>
    <w:rsid w:val="00B916C4"/>
    <w:rsid w:val="00B94CBD"/>
    <w:rsid w:val="00B95F8C"/>
    <w:rsid w:val="00BA0A9D"/>
    <w:rsid w:val="00BA4D32"/>
    <w:rsid w:val="00BC0AAC"/>
    <w:rsid w:val="00BC30C5"/>
    <w:rsid w:val="00BC4BEC"/>
    <w:rsid w:val="00BD2E9E"/>
    <w:rsid w:val="00BD5CDE"/>
    <w:rsid w:val="00BD5DB4"/>
    <w:rsid w:val="00C01919"/>
    <w:rsid w:val="00C068E5"/>
    <w:rsid w:val="00C152EF"/>
    <w:rsid w:val="00C208E1"/>
    <w:rsid w:val="00C256AA"/>
    <w:rsid w:val="00C27708"/>
    <w:rsid w:val="00C3008D"/>
    <w:rsid w:val="00C350EC"/>
    <w:rsid w:val="00C40D6E"/>
    <w:rsid w:val="00C41252"/>
    <w:rsid w:val="00C42B3E"/>
    <w:rsid w:val="00C4406C"/>
    <w:rsid w:val="00C46D26"/>
    <w:rsid w:val="00C57264"/>
    <w:rsid w:val="00C577F0"/>
    <w:rsid w:val="00C662D2"/>
    <w:rsid w:val="00C707D4"/>
    <w:rsid w:val="00C726C7"/>
    <w:rsid w:val="00C72809"/>
    <w:rsid w:val="00C7569F"/>
    <w:rsid w:val="00C75B83"/>
    <w:rsid w:val="00C903B2"/>
    <w:rsid w:val="00C941FA"/>
    <w:rsid w:val="00CB2DF0"/>
    <w:rsid w:val="00CC5B0C"/>
    <w:rsid w:val="00CE07A1"/>
    <w:rsid w:val="00CE373D"/>
    <w:rsid w:val="00CF0AB1"/>
    <w:rsid w:val="00CF1A68"/>
    <w:rsid w:val="00D008E7"/>
    <w:rsid w:val="00D00980"/>
    <w:rsid w:val="00D05297"/>
    <w:rsid w:val="00D074F9"/>
    <w:rsid w:val="00D22FD5"/>
    <w:rsid w:val="00D31CF9"/>
    <w:rsid w:val="00D364BF"/>
    <w:rsid w:val="00D36631"/>
    <w:rsid w:val="00D511B6"/>
    <w:rsid w:val="00D52B41"/>
    <w:rsid w:val="00D604D8"/>
    <w:rsid w:val="00D62196"/>
    <w:rsid w:val="00D63938"/>
    <w:rsid w:val="00D64674"/>
    <w:rsid w:val="00D65637"/>
    <w:rsid w:val="00D658AD"/>
    <w:rsid w:val="00D65BF6"/>
    <w:rsid w:val="00D6634F"/>
    <w:rsid w:val="00D74F8D"/>
    <w:rsid w:val="00D77E2D"/>
    <w:rsid w:val="00D77FE2"/>
    <w:rsid w:val="00D957B9"/>
    <w:rsid w:val="00DA31BB"/>
    <w:rsid w:val="00DB3478"/>
    <w:rsid w:val="00DC34F5"/>
    <w:rsid w:val="00DC5663"/>
    <w:rsid w:val="00DE42C7"/>
    <w:rsid w:val="00E042CF"/>
    <w:rsid w:val="00E046E6"/>
    <w:rsid w:val="00E05F99"/>
    <w:rsid w:val="00E07B08"/>
    <w:rsid w:val="00E11394"/>
    <w:rsid w:val="00E137B4"/>
    <w:rsid w:val="00E16E01"/>
    <w:rsid w:val="00E35B91"/>
    <w:rsid w:val="00E4253E"/>
    <w:rsid w:val="00E54D2F"/>
    <w:rsid w:val="00E54D6C"/>
    <w:rsid w:val="00E60C4D"/>
    <w:rsid w:val="00E709DA"/>
    <w:rsid w:val="00E72C47"/>
    <w:rsid w:val="00E755E9"/>
    <w:rsid w:val="00E75D36"/>
    <w:rsid w:val="00E7602F"/>
    <w:rsid w:val="00E81670"/>
    <w:rsid w:val="00E83CD4"/>
    <w:rsid w:val="00E85791"/>
    <w:rsid w:val="00E87B3E"/>
    <w:rsid w:val="00EA565D"/>
    <w:rsid w:val="00EB2159"/>
    <w:rsid w:val="00EB4B08"/>
    <w:rsid w:val="00EB686A"/>
    <w:rsid w:val="00EB708F"/>
    <w:rsid w:val="00EE0445"/>
    <w:rsid w:val="00EE18FB"/>
    <w:rsid w:val="00EE29C0"/>
    <w:rsid w:val="00F13311"/>
    <w:rsid w:val="00F14D70"/>
    <w:rsid w:val="00F16BFA"/>
    <w:rsid w:val="00F23D9F"/>
    <w:rsid w:val="00F26C81"/>
    <w:rsid w:val="00F372A2"/>
    <w:rsid w:val="00F55D14"/>
    <w:rsid w:val="00F57028"/>
    <w:rsid w:val="00F5781B"/>
    <w:rsid w:val="00F5798B"/>
    <w:rsid w:val="00F71A30"/>
    <w:rsid w:val="00F721B2"/>
    <w:rsid w:val="00F75247"/>
    <w:rsid w:val="00F75AB6"/>
    <w:rsid w:val="00F81D69"/>
    <w:rsid w:val="00F84E9E"/>
    <w:rsid w:val="00F8679C"/>
    <w:rsid w:val="00F93C1E"/>
    <w:rsid w:val="00FA6E82"/>
    <w:rsid w:val="00FB0A62"/>
    <w:rsid w:val="00FC31D5"/>
    <w:rsid w:val="00FE0ADE"/>
    <w:rsid w:val="00FE3ED6"/>
    <w:rsid w:val="00FE608F"/>
    <w:rsid w:val="00FF1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76EF9-CE6C-49C6-857E-F26C6E18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D3B"/>
    <w:pPr>
      <w:ind w:left="720"/>
      <w:contextualSpacing/>
    </w:pPr>
  </w:style>
  <w:style w:type="paragraph" w:styleId="HTMLPreformatted">
    <w:name w:val="HTML Preformatted"/>
    <w:basedOn w:val="Normal"/>
    <w:link w:val="HTMLPreformattedChar"/>
    <w:uiPriority w:val="99"/>
    <w:semiHidden/>
    <w:unhideWhenUsed/>
    <w:rsid w:val="001D4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D3B"/>
    <w:rPr>
      <w:rFonts w:ascii="Courier New" w:eastAsia="Times New Roman" w:hAnsi="Courier New" w:cs="Courier New"/>
      <w:sz w:val="20"/>
      <w:szCs w:val="20"/>
    </w:rPr>
  </w:style>
  <w:style w:type="character" w:customStyle="1" w:styleId="gnkrckgcgsb">
    <w:name w:val="gnkrckgcgsb"/>
    <w:basedOn w:val="DefaultParagraphFont"/>
    <w:rsid w:val="001D4D3B"/>
  </w:style>
  <w:style w:type="table" w:styleId="TableGrid">
    <w:name w:val="Table Grid"/>
    <w:basedOn w:val="TableNormal"/>
    <w:uiPriority w:val="39"/>
    <w:rsid w:val="00873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30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927062">
      <w:bodyDiv w:val="1"/>
      <w:marLeft w:val="0"/>
      <w:marRight w:val="0"/>
      <w:marTop w:val="0"/>
      <w:marBottom w:val="0"/>
      <w:divBdr>
        <w:top w:val="none" w:sz="0" w:space="0" w:color="auto"/>
        <w:left w:val="none" w:sz="0" w:space="0" w:color="auto"/>
        <w:bottom w:val="none" w:sz="0" w:space="0" w:color="auto"/>
        <w:right w:val="none" w:sz="0" w:space="0" w:color="auto"/>
      </w:divBdr>
    </w:div>
    <w:div w:id="305398262">
      <w:bodyDiv w:val="1"/>
      <w:marLeft w:val="0"/>
      <w:marRight w:val="0"/>
      <w:marTop w:val="0"/>
      <w:marBottom w:val="0"/>
      <w:divBdr>
        <w:top w:val="none" w:sz="0" w:space="0" w:color="auto"/>
        <w:left w:val="none" w:sz="0" w:space="0" w:color="auto"/>
        <w:bottom w:val="none" w:sz="0" w:space="0" w:color="auto"/>
        <w:right w:val="none" w:sz="0" w:space="0" w:color="auto"/>
      </w:divBdr>
    </w:div>
    <w:div w:id="314720849">
      <w:bodyDiv w:val="1"/>
      <w:marLeft w:val="0"/>
      <w:marRight w:val="0"/>
      <w:marTop w:val="0"/>
      <w:marBottom w:val="0"/>
      <w:divBdr>
        <w:top w:val="none" w:sz="0" w:space="0" w:color="auto"/>
        <w:left w:val="none" w:sz="0" w:space="0" w:color="auto"/>
        <w:bottom w:val="none" w:sz="0" w:space="0" w:color="auto"/>
        <w:right w:val="none" w:sz="0" w:space="0" w:color="auto"/>
      </w:divBdr>
    </w:div>
    <w:div w:id="372197897">
      <w:bodyDiv w:val="1"/>
      <w:marLeft w:val="0"/>
      <w:marRight w:val="0"/>
      <w:marTop w:val="0"/>
      <w:marBottom w:val="0"/>
      <w:divBdr>
        <w:top w:val="none" w:sz="0" w:space="0" w:color="auto"/>
        <w:left w:val="none" w:sz="0" w:space="0" w:color="auto"/>
        <w:bottom w:val="none" w:sz="0" w:space="0" w:color="auto"/>
        <w:right w:val="none" w:sz="0" w:space="0" w:color="auto"/>
      </w:divBdr>
    </w:div>
    <w:div w:id="1352562550">
      <w:bodyDiv w:val="1"/>
      <w:marLeft w:val="0"/>
      <w:marRight w:val="0"/>
      <w:marTop w:val="0"/>
      <w:marBottom w:val="0"/>
      <w:divBdr>
        <w:top w:val="none" w:sz="0" w:space="0" w:color="auto"/>
        <w:left w:val="none" w:sz="0" w:space="0" w:color="auto"/>
        <w:bottom w:val="none" w:sz="0" w:space="0" w:color="auto"/>
        <w:right w:val="none" w:sz="0" w:space="0" w:color="auto"/>
      </w:divBdr>
    </w:div>
    <w:div w:id="1377194720">
      <w:bodyDiv w:val="1"/>
      <w:marLeft w:val="0"/>
      <w:marRight w:val="0"/>
      <w:marTop w:val="0"/>
      <w:marBottom w:val="0"/>
      <w:divBdr>
        <w:top w:val="none" w:sz="0" w:space="0" w:color="auto"/>
        <w:left w:val="none" w:sz="0" w:space="0" w:color="auto"/>
        <w:bottom w:val="none" w:sz="0" w:space="0" w:color="auto"/>
        <w:right w:val="none" w:sz="0" w:space="0" w:color="auto"/>
      </w:divBdr>
    </w:div>
    <w:div w:id="1471707465">
      <w:bodyDiv w:val="1"/>
      <w:marLeft w:val="0"/>
      <w:marRight w:val="0"/>
      <w:marTop w:val="0"/>
      <w:marBottom w:val="0"/>
      <w:divBdr>
        <w:top w:val="none" w:sz="0" w:space="0" w:color="auto"/>
        <w:left w:val="none" w:sz="0" w:space="0" w:color="auto"/>
        <w:bottom w:val="none" w:sz="0" w:space="0" w:color="auto"/>
        <w:right w:val="none" w:sz="0" w:space="0" w:color="auto"/>
      </w:divBdr>
    </w:div>
    <w:div w:id="1477533674">
      <w:bodyDiv w:val="1"/>
      <w:marLeft w:val="0"/>
      <w:marRight w:val="0"/>
      <w:marTop w:val="0"/>
      <w:marBottom w:val="0"/>
      <w:divBdr>
        <w:top w:val="none" w:sz="0" w:space="0" w:color="auto"/>
        <w:left w:val="none" w:sz="0" w:space="0" w:color="auto"/>
        <w:bottom w:val="none" w:sz="0" w:space="0" w:color="auto"/>
        <w:right w:val="none" w:sz="0" w:space="0" w:color="auto"/>
      </w:divBdr>
    </w:div>
    <w:div w:id="1866362352">
      <w:bodyDiv w:val="1"/>
      <w:marLeft w:val="0"/>
      <w:marRight w:val="0"/>
      <w:marTop w:val="0"/>
      <w:marBottom w:val="0"/>
      <w:divBdr>
        <w:top w:val="none" w:sz="0" w:space="0" w:color="auto"/>
        <w:left w:val="none" w:sz="0" w:space="0" w:color="auto"/>
        <w:bottom w:val="none" w:sz="0" w:space="0" w:color="auto"/>
        <w:right w:val="none" w:sz="0" w:space="0" w:color="auto"/>
      </w:divBdr>
    </w:div>
    <w:div w:id="206163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ED97F-1BDD-4374-8B92-D3DC2B87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5858</TotalTime>
  <Pages>10</Pages>
  <Words>2642</Words>
  <Characters>13698</Characters>
  <Application>Microsoft Office Word</Application>
  <DocSecurity>0</DocSecurity>
  <Lines>362</Lines>
  <Paragraphs>193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Ourso, Philip</dc:creator>
  <cp:keywords>CTPClassification=CTP_NT</cp:keywords>
  <dc:description/>
  <cp:lastModifiedBy>Ourso, Philip</cp:lastModifiedBy>
  <cp:revision>87</cp:revision>
  <cp:lastPrinted>2018-12-01T20:31:00Z</cp:lastPrinted>
  <dcterms:created xsi:type="dcterms:W3CDTF">2018-11-28T04:53:00Z</dcterms:created>
  <dcterms:modified xsi:type="dcterms:W3CDTF">2018-12-02T18:07:00Z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ef51e2b7-173a-4a0b-882b-99bd80b6ac0a</vt:lpwstr>
  </property>
  <property fmtid="{D5CDD505-2E9C-101B-9397-08002B2CF9AE}" pid="3" name="CTP_TimeStamp">
    <vt:lpwstr>2018-12-02 18:07:57Z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