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TechCorp Internal Policy &amp; Engineering Handbook</w:t>
      </w:r>
    </w:p>
    <w:p>
      <w:pPr>
        <w:jc w:val="center"/>
      </w:pPr>
      <w:r>
        <w:t xml:space="preserve">Version 3.2 — Confidential</w:t>
      </w:r>
    </w:p>
    <w:p/>
    <w:p>
      <w:pPr>
        <w:pStyle w:val="Heading1"/>
      </w:pPr>
      <w:r>
        <w:t xml:space="preserve">1. Refund and Billing Policy</w:t>
      </w:r>
    </w:p>
    <w:p>
      <w:pPr>
        <w:pStyle w:val="Heading2"/>
      </w:pPr>
      <w:r>
        <w:t xml:space="preserve">1.1 Standard Refund Window</w:t>
      </w:r>
    </w:p>
    <w:p>
      <w:r>
        <w:t xml:space="preserve">Customers who purchase any TechCorp subscription plan are eligible for a full refund within 14 days of the initial purchase date. Refund requests submitted after 14 days but within 30 days are eligible for a 50% partial refund. No refunds are issued after 30 days from the purchase date. All refund requests must be submitted through the customer portal at billing.techcorp.io or by contacting support@techcorp.io. Processing time for approved refunds is 5–7 business days.</w:t>
      </w:r>
    </w:p>
    <w:p/>
    <w:p>
      <w:pPr>
        <w:pStyle w:val="Heading2"/>
      </w:pPr>
      <w:r>
        <w:t xml:space="preserve">1.2 Annual Plan Cancellations</w:t>
      </w:r>
    </w:p>
    <w:p>
      <w:r>
        <w:t xml:space="preserve">Customers on annual plans who cancel within the first 30 days receive a full refund for the unused portion of their subscription. Cancellations after 30 days are non-refundable, but customers retain access until the end of the billing period. Downgrades from annual to monthly plans take effect at the next renewal date. To cancel an annual plan, customers must submit a written cancellation request via the portal — phone cancellations are not accepted for annual plans.</w:t>
      </w:r>
    </w:p>
    <w:p/>
    <w:p>
      <w:pPr>
        <w:pStyle w:val="Heading2"/>
      </w:pPr>
      <w:r>
        <w:t xml:space="preserve">1.3 Enterprise Contract Billing</w:t>
      </w:r>
    </w:p>
    <w:p>
      <w:r>
        <w:t xml:space="preserve">Enterprise contracts are invoiced monthly in arrears. Payment terms are Net-30 from the invoice date. Late payments accrue interest at 1.5% per month on the outstanding balance. Enterprise accounts with overdue balances exceeding 60 days may have services suspended. Disputed invoices must be raised in writing within 10 business days of receipt. Accepted payment methods for enterprise accounts are bank transfer, ACH, and corporate credit card only.</w:t>
      </w:r>
    </w:p>
    <w:p/>
    <w:p>
      <w:pPr>
        <w:pStyle w:val="Heading1"/>
      </w:pPr>
      <w:r>
        <w:t xml:space="preserve">2. Password and Authentication Policy</w:t>
      </w:r>
    </w:p>
    <w:p>
      <w:pPr>
        <w:pStyle w:val="Heading2"/>
      </w:pPr>
      <w:r>
        <w:t xml:space="preserve">2.1 Password Requirements</w:t>
      </w:r>
    </w:p>
    <w:p>
      <w:r>
        <w:t xml:space="preserve">All TechCorp employee accounts must use passwords that meet the following requirements: minimum 12 characters in length, at least one uppercase letter, at least one lowercase letter, at least one numeric digit, and at least one special character from the set: !@#$%^&amp;*(). Passwords must be changed every 90 days. Reuse of the last 10 passwords is prohibited. Passwords must not contain the employee's username, first name, last name, or the word 'TechCorp'.</w:t>
      </w:r>
    </w:p>
    <w:p/>
    <w:p>
      <w:pPr>
        <w:pStyle w:val="Heading2"/>
      </w:pPr>
      <w:r>
        <w:t xml:space="preserve">2.2 Multi-Factor Authentication</w:t>
      </w:r>
    </w:p>
    <w:p>
      <w:r>
        <w:t xml:space="preserve">Multi-factor authentication (MFA) is mandatory for all employee accounts without exception. Approved MFA methods are: TOTP authenticator apps (Google Authenticator, Authy, Microsoft Authenticator), hardware security keys (FIDO2/WebAuthn compliant), and SMS OTP as a fallback only when the primary method is unavailable. Biometric authentication may be used on approved mobile devices. MFA bypass codes are 12 characters long, single-use, and must be stored in the company password manager — printing or emailing bypass codes is strictly prohibited.</w:t>
      </w:r>
    </w:p>
    <w:p/>
    <w:p>
      <w:pPr>
        <w:pStyle w:val="Heading2"/>
      </w:pPr>
      <w:r>
        <w:t xml:space="preserve">2.3 Account Lockout Policy</w:t>
      </w:r>
    </w:p>
    <w:p>
      <w:r>
        <w:t xml:space="preserve">Employee accounts are automatically locked after 5 consecutive failed login attempts. Locked accounts remain locked for 30 minutes before automatic unlock is available. Immediate manual unlock requires approval from the employee's direct manager and must be logged by the IT helpdesk. Admin accounts are locked after 3 consecutive failed attempts and require IT Security team approval for manual unlock — no automatic unlock applies to admin accounts.</w:t>
      </w:r>
    </w:p>
    <w:p/>
    <w:p>
      <w:pPr>
        <w:pStyle w:val="Heading1"/>
      </w:pPr>
      <w:r>
        <w:t xml:space="preserve">3. On-Call and Incident Response</w:t>
      </w:r>
    </w:p>
    <w:p>
      <w:pPr>
        <w:pStyle w:val="Heading2"/>
      </w:pPr>
      <w:r>
        <w:t xml:space="preserve">3.1 On-Call Rotation Schedule</w:t>
      </w:r>
    </w:p>
    <w:p>
      <w:r>
        <w:t xml:space="preserve">Engineering teams follow a weekly on-call rotation. Each engineer is expected to participate in on-call duty once every 6 weeks per team. On-call shifts run from Monday 09:00 UTC to the following Monday 09:00 UTC. The primary on-call engineer is responsible for acknowledging all PagerDuty alerts within 5 minutes. If the primary does not acknowledge within 5 minutes, the alert escalates automatically to the secondary on-call engineer. Compensation for on-call duty is an additional $200 per week for primary and $100 per week for secondary, paid in the following payroll cycle.</w:t>
      </w:r>
    </w:p>
    <w:p/>
    <w:p>
      <w:pPr>
        <w:pStyle w:val="Heading2"/>
      </w:pPr>
      <w:r>
        <w:t xml:space="preserve">3.2 Incident Severity Levels</w:t>
      </w:r>
    </w:p>
    <w:p>
      <w:r>
        <w:t xml:space="preserve">TechCorp defines four incident severity levels. SEV-1 (Critical): complete service outage affecting all customers, requires immediate response within 5 minutes, all hands on deck, CEO notified within 15 minutes. SEV-2 (Major): partial outage or significant degradation affecting more than 20% of customers, response required within 15 minutes, VP Engineering notified. SEV-3 (Minor): degraded performance affecting less than 20% of customers, response within 1 hour, team lead notified. SEV-4 (Low): cosmetic issues or minor bugs with no user impact, handled in normal sprint cycle, no on-call escalation required.</w:t>
      </w:r>
    </w:p>
    <w:p/>
    <w:p>
      <w:pPr>
        <w:pStyle w:val="Heading2"/>
      </w:pPr>
      <w:r>
        <w:t xml:space="preserve">3.3 Post-Incident Review Process</w:t>
      </w:r>
    </w:p>
    <w:p>
      <w:r>
        <w:t xml:space="preserve">All SEV-1 and SEV-2 incidents require a post-incident review (PIR) to be completed within 5 business days of resolution. The PIR document must include: a timeline of events, root cause analysis, contributing factors, customer impact assessment, and a list of action items with owners and due dates. PIRs are written by the incident commander and reviewed by the VP Engineering. The PIR template is available in the internal wiki. Blameless culture is mandatory — PIRs must not name individuals as root causes. Action items from PIRs are tracked in Jira under the project key PIR.</w:t>
      </w:r>
    </w:p>
    <w:p/>
    <w:p>
      <w:pPr>
        <w:pStyle w:val="Heading1"/>
      </w:pPr>
      <w:r>
        <w:t xml:space="preserve">4. Data Retention and Privacy</w:t>
      </w:r>
    </w:p>
    <w:p>
      <w:pPr>
        <w:pStyle w:val="Heading2"/>
      </w:pPr>
      <w:r>
        <w:t xml:space="preserve">4.1 Customer Data Retention</w:t>
      </w:r>
    </w:p>
    <w:p>
      <w:r>
        <w:t xml:space="preserve">Customer personal data is retained for the duration of the active subscription plus an additional 90 days after account closure to allow for data export requests. After the 90-day grace period, all personally identifiable information (PII) is permanently deleted from production systems within 30 days. Aggregated, anonymised analytics data may be retained indefinitely. Customers may request immediate deletion of their data by submitting a Data Subject Access Request (DSAR) via privacy@techcorp.io. DSAR requests must be fulfilled within 30 days per GDPR Article 17 requirements.</w:t>
      </w:r>
    </w:p>
    <w:p/>
    <w:p>
      <w:pPr>
        <w:pStyle w:val="Heading2"/>
      </w:pPr>
      <w:r>
        <w:t xml:space="preserve">4.2 Backup Retention Policy</w:t>
      </w:r>
    </w:p>
    <w:p>
      <w:r>
        <w:t xml:space="preserve">Database backups are performed daily at 02:00 UTC and retained for 30 days for production databases. Weekly snapshots are retained for 12 months. Monthly snapshots are retained for 7 years to comply with financial record-keeping regulations. Backups are encrypted at rest using AES-256 and stored in geographically separated AWS S3 buckets in us-east-1 and eu-west-1 regions. Backup restoration tests are conducted quarterly and results logged in the compliance dashboard.</w:t>
      </w:r>
    </w:p>
    <w:p/>
    <w:p>
      <w:pPr>
        <w:pStyle w:val="Heading2"/>
      </w:pPr>
      <w:r>
        <w:t xml:space="preserve">4.3 GDPR and Compliance</w:t>
      </w:r>
    </w:p>
    <w:p>
      <w:r>
        <w:t xml:space="preserve">TechCorp is a data processor under GDPR for EU customer data. The Data Protection Officer (DPO) is Sarah Chen, reachable at dpo@techcorp.io. All new product features that process personal data require a Data Protection Impact Assessment (DPIA) before launch. Third-party vendors with access to customer data must sign a Data Processing Agreement (DPA) before integration. Annual GDPR compliance audits are conducted by external auditors. Security incidents affecting EU customer data must be reported to the relevant supervisory authority within 72 hours.</w:t>
      </w:r>
    </w:p>
    <w:p/>
    <w:p>
      <w:pPr>
        <w:pStyle w:val="Heading1"/>
      </w:pPr>
      <w:r>
        <w:t xml:space="preserve">5. Deployment and Release Process</w:t>
      </w:r>
    </w:p>
    <w:p>
      <w:pPr>
        <w:pStyle w:val="Heading2"/>
      </w:pPr>
      <w:r>
        <w:t xml:space="preserve">5.1 Deployment Pipeline</w:t>
      </w:r>
    </w:p>
    <w:p>
      <w:r>
        <w:t xml:space="preserve">All code changes must pass through the following pipeline stages before reaching production: unit tests (coverage threshold 80%), integration tests, security scanning via Snyk, code review approval from at least 2 engineers, staging environment deployment and smoke tests, and canary deployment to 5% of production traffic for 30 minutes before full rollout. Deployments to production are only permitted Monday through Thursday between 10:00 and 16:00 UTC. No deployments are permitted on Fridays, weekends, or the 3 days preceding a public holiday.</w:t>
      </w:r>
    </w:p>
    <w:p/>
    <w:p>
      <w:pPr>
        <w:pStyle w:val="Heading2"/>
      </w:pPr>
      <w:r>
        <w:t xml:space="preserve">5.2 Rollback Procedure</w:t>
      </w:r>
    </w:p>
    <w:p>
      <w:r>
        <w:t xml:space="preserve">If a deployment causes a SEV-1 or SEV-2 incident, the on-call engineer must initiate a rollback within 10 minutes of incident declaration. Rollbacks are performed using the ArgoCD dashboard by selecting the previous known-good release tag. The rollback must be completed within 20 minutes of initiation. If rollback does not resolve the incident within 20 minutes, the incident commander must escalate to a hotfix path. All rollbacks must be documented in the deployment log with reason, initiating engineer, and timestamp.</w:t>
      </w:r>
    </w:p>
    <w:p/>
    <w:p>
      <w:pPr>
        <w:pStyle w:val="Heading2"/>
      </w:pPr>
      <w:r>
        <w:t xml:space="preserve">5.3 Feature Flags</w:t>
      </w:r>
    </w:p>
    <w:p>
      <w:r>
        <w:t xml:space="preserve">New features must be gated behind feature flags using the LaunchDarkly integration. Feature flags allow gradual rollout, A/B testing, and instant kill-switch capability without a redeployment. Feature flags must be named using the format: feature_&lt;team&gt;_&lt;description&gt; (e.g. feature_payments_new_checkout_flow). All feature flags must have an owner, a creation date, and a planned removal date not exceeding 90 days from creation. Stale flags older than 90 days are automatically disabled and flagged for removal in the weekly engineering meeting.</w:t>
      </w:r>
    </w:p>
    <w:p/>
    <w:p>
      <w:pPr>
        <w:pStyle w:val="Heading1"/>
      </w:pPr>
      <w:r>
        <w:t xml:space="preserve">6. Engineering Compensation and Levelling</w:t>
      </w:r>
    </w:p>
    <w:p>
      <w:pPr>
        <w:pStyle w:val="Heading2"/>
      </w:pPr>
      <w:r>
        <w:t xml:space="preserve">6.1 Engineering Levels and Salary Bands</w:t>
      </w:r>
    </w:p>
    <w:p>
      <w:r>
        <w:t xml:space="preserve">TechCorp uses a 7-level engineering ladder: L1 (Junior Engineer, $85,000–$105,000), L2 (Engineer, $105,000–$130,000), L3 (Senior Engineer, $130,000–$165,000), L4 (Staff Engineer, $165,000–$205,000), L5 (Principal Engineer, $205,000–$260,000), L6 (Distinguished Engineer, $260,000–$330,000), L7 (Fellow, $330,000+). All figures are base salary in USD. Total compensation includes a performance bonus of 10–20% of base salary and equity refreshes reviewed annually. Salary bands are reviewed and adjusted each January.</w:t>
      </w:r>
    </w:p>
    <w:p/>
    <w:p>
      <w:pPr>
        <w:pStyle w:val="Heading2"/>
      </w:pPr>
      <w:r>
        <w:t xml:space="preserve">6.2 Promotion Process</w:t>
      </w:r>
    </w:p>
    <w:p>
      <w:r>
        <w:t xml:space="preserve">Promotions from L1 to L4 are evaluated twice per year during the performance review cycles in June and December. Promotions from L4 to L5 and above require a promotion packet reviewed by a cross-functional committee including the VP Engineering, two Principal Engineers, and the employee's skip-level manager. The promotion packet must document impact, scope, technical leadership, and 360-degree feedback. Promotions at L5 and above require a minimum of 18 months in the current level. Compensation adjustments from promotions are effective on the first of the month following the promotion decision.</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2026-08-29T06:53:58.799Z</dcterms:created>
  <dcterms:modified xsi:type="dcterms:W3CDTF">2026-08-29T06:53:58.813Z</dcterms:modified>
</cp:coreProperties>
</file>

<file path=docProps/custom.xml><?xml version="1.0" encoding="utf-8"?>
<Properties xmlns="http://schemas.openxmlformats.org/officeDocument/2006/custom-properties" xmlns:vt="http://schemas.openxmlformats.org/officeDocument/2006/docPropsVTypes"/>
</file>