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3"/>
      </w:pPr>
      <w:r>
        <w:rPr>
          <w:b/>
          <w:i/>
        </w:rPr>
        <w:t>Subsection Details</w:t>
      </w:r>
    </w:p>
    <w:tbl>
      <w:tblPr>
        <w:tblW w:type="auto" w:w="0"/>
        <w:tblLook w:firstColumn="1" w:firstRow="1" w:lastColumn="0" w:lastRow="0" w:noHBand="0" w:noVBand="1" w:val="04A0"/>
      </w:tblPr>
      <w:tblGrid>
  </w:tblGrid>
    </w:tbl>
    <w:p>
      <w:r>
        <w:drawing>
          <wp:inline xmlns:a="http://schemas.openxmlformats.org/drawingml/2006/main" xmlns:pic="http://schemas.openxmlformats.org/drawingml/2006/picture">
            <wp:extent cx="3251200" cy="325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a footer.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Document</dc:title>
  <dc:subject/>
  <dc:creator>John Doe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