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spacing w:before="720" w:after="200" w:line="276" w:lineRule="auto"/>
        <w:jc w:val="left"/>
      </w:pPr>
      <w:r>
        <w:rPr>
          <w:rFonts w:ascii="Microsoft JhengHei" w:hAnsi="Microsoft JhengHei" w:eastAsia="Microsoft JhengHei" w:cs="Microsoft JhengHei"/>
          <w:b/>
          <w:color w:val="000000"/>
          <w:sz w:val="40"/>
        </w:rPr>
        <w:t>台股多因子 XGBoost 輪動與波動率風控量化交易系統 PRD</w:t>
      </w:r>
    </w:p>
    <w:p>
      <w:pPr>
        <w:keepNext w:val="0"/>
        <w:spacing w:before="0" w:after="320" w:line="300" w:lineRule="auto"/>
      </w:pPr>
      <w:r>
        <w:rPr>
          <w:rFonts w:ascii="Microsoft JhengHei" w:hAnsi="Microsoft JhengHei" w:eastAsia="Microsoft JhengHei" w:cs="Microsoft JhengHei"/>
          <w:b w:val="0"/>
          <w:color w:val="1F2937"/>
          <w:sz w:val="25"/>
        </w:rPr>
        <w:t>產品需求文件 版本 1.0</w:t>
      </w:r>
    </w:p>
    <w:p>
      <w:pPr>
        <w:keepNext w:val="0"/>
        <w:spacing w:before="0" w:after="240" w:line="324" w:lineRule="auto"/>
      </w:pPr>
      <w:r>
        <w:rPr>
          <w:rFonts w:ascii="Microsoft JhengHei" w:hAnsi="Microsoft JhengHei" w:eastAsia="Microsoft JhengHei" w:cs="Microsoft JhengHei"/>
          <w:color w:val="1F2937"/>
          <w:sz w:val="20"/>
        </w:rPr>
        <w:t>本文件定義一套以台股上市櫃股票為研究宇宙的 Long-only 量化研究與投組管理系統。首版以兩週完成可重現研究流程為目標，將資料可得時間、樣本偏誤、模型驗證、交易執行、成本與風險控制納入同一條可追溯的研究管線。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232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7343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內容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文件版本</w:t>
            </w:r>
          </w:p>
        </w:tc>
        <w:tc>
          <w:tcPr>
            <w:tcW w:type="dxa" w:w="734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v1.0</w:t>
            </w:r>
          </w:p>
        </w:tc>
      </w:tr>
      <w:tr>
        <w:trPr>
          <w:cantSplit/>
        </w:trPr>
        <w:tc>
          <w:tcPr>
            <w:tcW w:type="dxa" w:w="2232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產品類型</w:t>
            </w:r>
          </w:p>
        </w:tc>
        <w:tc>
          <w:tcPr>
            <w:tcW w:type="dxa" w:w="7343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AI Quant Research and Portfolio System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目標使用者</w:t>
            </w:r>
          </w:p>
        </w:tc>
        <w:tc>
          <w:tcPr>
            <w:tcW w:type="dxa" w:w="734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AI 量化投資分析師與量化研究員</w:t>
            </w:r>
          </w:p>
        </w:tc>
      </w:tr>
      <w:tr>
        <w:trPr>
          <w:cantSplit/>
        </w:trPr>
        <w:tc>
          <w:tcPr>
            <w:tcW w:type="dxa" w:w="2232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首版開發期</w:t>
            </w:r>
          </w:p>
        </w:tc>
        <w:tc>
          <w:tcPr>
            <w:tcW w:type="dxa" w:w="7343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14 天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核心技術</w:t>
            </w:r>
          </w:p>
        </w:tc>
        <w:tc>
          <w:tcPr>
            <w:tcW w:type="dxa" w:w="734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Python、SQLite、FinMind、XGBoost、Optuna、VectorBT、Streamlit</w:t>
            </w:r>
          </w:p>
        </w:tc>
      </w:tr>
      <w:tr>
        <w:trPr>
          <w:cantSplit/>
        </w:trPr>
        <w:tc>
          <w:tcPr>
            <w:tcW w:type="dxa" w:w="2232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投資範圍</w:t>
            </w:r>
          </w:p>
        </w:tc>
        <w:tc>
          <w:tcPr>
            <w:tcW w:type="dxa" w:w="7343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台股上市櫃股票，Long-only 月度換倉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20" w:after="120" w:line="276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9"/>
        </w:rPr>
        <w:t>一 產品願景與範圍</w:t>
      </w:r>
    </w:p>
    <w:p>
      <w:pPr>
        <w:keepNext w:val="0"/>
        <w:spacing w:before="0" w:after="100" w:line="324" w:lineRule="auto"/>
      </w:pPr>
      <w:r>
        <w:rPr>
          <w:rFonts w:ascii="Microsoft JhengHei" w:hAnsi="Microsoft JhengHei" w:eastAsia="Microsoft JhengHei" w:cs="Microsoft JhengHei"/>
          <w:color w:val="1F2937"/>
          <w:sz w:val="20"/>
        </w:rPr>
        <w:t>產品以每月月底可取得的市場與公司資訊建立橫截面特徵，預測未來 20 個交易日進入高報酬群組的機率，再將預測轉換為受風險約束的 Top 15 股票投組。系統的主要產出是可重現的 OOS 研究結果、可檢視的持股與風險資訊，以及可展示於 GitHub 與面試情境的研究成果。</w:t>
      </w:r>
    </w:p>
    <w:p>
      <w:pPr>
        <w:pStyle w:val="Heading2"/>
        <w:keepNext/>
        <w:spacing w:before="200" w:after="80" w:line="276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3"/>
        </w:rPr>
        <w:t>首版範圍</w:t>
      </w:r>
    </w:p>
    <w:p>
      <w:pPr>
        <w:pStyle w:val="ListBullet"/>
        <w:keepNext w:val="0"/>
        <w:spacing w:before="0" w:after="40" w:line="300" w:lineRule="auto"/>
      </w:pPr>
      <w:r>
        <w:rPr>
          <w:rFonts w:ascii="Microsoft JhengHei" w:hAnsi="Microsoft JhengHei" w:eastAsia="Microsoft JhengHei" w:cs="Microsoft JhengHei"/>
          <w:color w:val="1F2937"/>
          <w:sz w:val="20"/>
        </w:rPr>
        <w:t>台股上市櫃股票的歷史資料擷取、清理與 SQLite 儲存。</w:t>
      </w:r>
    </w:p>
    <w:p>
      <w:pPr>
        <w:pStyle w:val="ListBullet"/>
        <w:keepNext w:val="0"/>
        <w:spacing w:before="0" w:after="40" w:line="300" w:lineRule="auto"/>
      </w:pPr>
      <w:r>
        <w:rPr>
          <w:rFonts w:ascii="Microsoft JhengHei" w:hAnsi="Microsoft JhengHei" w:eastAsia="Microsoft JhengHei" w:cs="Microsoft JhengHei"/>
          <w:color w:val="1F2937"/>
          <w:sz w:val="20"/>
        </w:rPr>
        <w:t>依公告或可得日期建立 Point-in-Time 資料集與月度特徵。</w:t>
      </w:r>
    </w:p>
    <w:p>
      <w:pPr>
        <w:pStyle w:val="ListBullet"/>
        <w:keepNext w:val="0"/>
        <w:spacing w:before="0" w:after="40" w:line="300" w:lineRule="auto"/>
      </w:pPr>
      <w:r>
        <w:rPr>
          <w:rFonts w:ascii="Microsoft JhengHei" w:hAnsi="Microsoft JhengHei" w:eastAsia="Microsoft JhengHei" w:cs="Microsoft JhengHei"/>
          <w:color w:val="1F2937"/>
          <w:sz w:val="20"/>
        </w:rPr>
        <w:t>XGBClassifier、基準模型、Walk-forward 驗證與 OOS 績效串接。</w:t>
      </w:r>
    </w:p>
    <w:p>
      <w:pPr>
        <w:pStyle w:val="ListBullet"/>
        <w:keepNext w:val="0"/>
        <w:spacing w:before="0" w:after="40" w:line="300" w:lineRule="auto"/>
      </w:pPr>
      <w:r>
        <w:rPr>
          <w:rFonts w:ascii="Microsoft JhengHei" w:hAnsi="Microsoft JhengHei" w:eastAsia="Microsoft JhengHei" w:cs="Microsoft JhengHei"/>
          <w:color w:val="1F2937"/>
          <w:sz w:val="20"/>
        </w:rPr>
        <w:t>Top 15 選股、排名緩衝區、反波動權重、組合波動率目標與市場濾網。</w:t>
      </w:r>
    </w:p>
    <w:p>
      <w:pPr>
        <w:pStyle w:val="ListBullet"/>
        <w:keepNext w:val="0"/>
        <w:spacing w:before="0" w:after="40" w:line="300" w:lineRule="auto"/>
      </w:pPr>
      <w:r>
        <w:rPr>
          <w:rFonts w:ascii="Microsoft JhengHei" w:hAnsi="Microsoft JhengHei" w:eastAsia="Microsoft JhengHei" w:cs="Microsoft JhengHei"/>
          <w:color w:val="1F2937"/>
          <w:sz w:val="20"/>
        </w:rPr>
        <w:t>納入手續費、交易稅與滑價的 VectorBT 回測，以及 Streamlit 研究看板。</w:t>
      </w:r>
    </w:p>
    <w:p>
      <w:pPr>
        <w:pStyle w:val="Heading2"/>
        <w:keepNext/>
        <w:spacing w:before="200" w:after="80" w:line="276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3"/>
        </w:rPr>
        <w:t>首版不包含</w:t>
      </w:r>
    </w:p>
    <w:p>
      <w:pPr>
        <w:pStyle w:val="ListBullet"/>
        <w:keepNext w:val="0"/>
        <w:spacing w:before="0" w:after="40" w:line="300" w:lineRule="auto"/>
      </w:pPr>
      <w:r>
        <w:rPr>
          <w:rFonts w:ascii="Microsoft JhengHei" w:hAnsi="Microsoft JhengHei" w:eastAsia="Microsoft JhengHei" w:cs="Microsoft JhengHei"/>
          <w:color w:val="1F2937"/>
          <w:sz w:val="20"/>
        </w:rPr>
        <w:t>當沖、直接放空個股、券源管理或券商下單串接。</w:t>
      </w:r>
    </w:p>
    <w:p>
      <w:pPr>
        <w:pStyle w:val="ListBullet"/>
        <w:keepNext w:val="0"/>
        <w:spacing w:before="0" w:after="40" w:line="300" w:lineRule="auto"/>
      </w:pPr>
      <w:r>
        <w:rPr>
          <w:rFonts w:ascii="Microsoft JhengHei" w:hAnsi="Microsoft JhengHei" w:eastAsia="Microsoft JhengHei" w:cs="Microsoft JhengHei"/>
          <w:color w:val="1F2937"/>
          <w:sz w:val="20"/>
        </w:rPr>
        <w:t>以 LSTM 預測單一股票收盤價。</w:t>
      </w:r>
    </w:p>
    <w:p>
      <w:pPr>
        <w:pStyle w:val="ListBullet"/>
        <w:keepNext w:val="0"/>
        <w:spacing w:before="0" w:after="40" w:line="300" w:lineRule="auto"/>
      </w:pPr>
      <w:r>
        <w:rPr>
          <w:rFonts w:ascii="Microsoft JhengHei" w:hAnsi="Microsoft JhengHei" w:eastAsia="Microsoft JhengHei" w:cs="Microsoft JhengHei"/>
          <w:color w:val="1F2937"/>
          <w:sz w:val="20"/>
        </w:rPr>
        <w:t>把台指期 Beta 對沖納入主策略。該項目僅保留為後續研究。</w:t>
      </w:r>
    </w:p>
    <w:p>
      <w:pPr>
        <w:pStyle w:val="ListBullet"/>
        <w:keepNext w:val="0"/>
        <w:spacing w:before="0" w:after="40" w:line="300" w:lineRule="auto"/>
      </w:pPr>
      <w:r>
        <w:rPr>
          <w:rFonts w:ascii="Microsoft JhengHei" w:hAnsi="Microsoft JhengHei" w:eastAsia="Microsoft JhengHei" w:cs="Microsoft JhengHei"/>
          <w:color w:val="1F2937"/>
          <w:sz w:val="20"/>
        </w:rPr>
        <w:t>以最佳化方式搜尋 Top N 或市場濾網門檻後直接宣告為正式策略。</w:t>
      </w:r>
    </w:p>
    <w:p>
      <w:pPr>
        <w:pStyle w:val="Heading1"/>
        <w:keepNext/>
        <w:spacing w:before="320" w:after="120" w:line="276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9"/>
        </w:rPr>
        <w:t>二 使用者與主要使用情境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232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7343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內容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主要使用者</w:t>
            </w:r>
          </w:p>
        </w:tc>
        <w:tc>
          <w:tcPr>
            <w:tcW w:type="dxa" w:w="734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AI 量化投資分析師或量化研究員。</w:t>
            </w:r>
          </w:p>
        </w:tc>
      </w:tr>
      <w:tr>
        <w:trPr>
          <w:cantSplit/>
        </w:trPr>
        <w:tc>
          <w:tcPr>
            <w:tcW w:type="dxa" w:w="2232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研究情境</w:t>
            </w:r>
          </w:p>
        </w:tc>
        <w:tc>
          <w:tcPr>
            <w:tcW w:type="dxa" w:w="7343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檢查資料、因子、模型預測、交叉驗證與 OOS 結果，判斷模型是否帶來可交易的增量價值。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投組情境</w:t>
            </w:r>
          </w:p>
        </w:tc>
        <w:tc>
          <w:tcPr>
            <w:tcW w:type="dxa" w:w="734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在月度換倉前檢視排名、目標權重、曝險、個股波動、Beta 與換手率。</w:t>
            </w:r>
          </w:p>
        </w:tc>
      </w:tr>
      <w:tr>
        <w:trPr>
          <w:cantSplit/>
        </w:trPr>
        <w:tc>
          <w:tcPr>
            <w:tcW w:type="dxa" w:w="2232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展示情境</w:t>
            </w:r>
          </w:p>
        </w:tc>
        <w:tc>
          <w:tcPr>
            <w:tcW w:type="dxa" w:w="7343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以 Dashboard、README、研究筆記與一頁式報告向面試官說明研究設計、結果與限制。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20" w:after="120" w:line="276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9"/>
        </w:rPr>
        <w:t>三 成功標準</w:t>
      </w:r>
    </w:p>
    <w:p>
      <w:pPr>
        <w:keepNext w:val="0"/>
        <w:spacing w:before="0" w:after="100" w:line="324" w:lineRule="auto"/>
      </w:pPr>
      <w:r>
        <w:rPr>
          <w:rFonts w:ascii="Microsoft JhengHei" w:hAnsi="Microsoft JhengHei" w:eastAsia="Microsoft JhengHei" w:cs="Microsoft JhengHei"/>
          <w:color w:val="1F2937"/>
          <w:sz w:val="20"/>
        </w:rPr>
        <w:t>首版成功與否以研究流程正確、結果可重現及 OOS 測試完整揭露為準，而不是以達成某一個績效數字為唯一門檻。研究參考門檻必須在實驗前定義，且不得用 Test 資料反覆調整。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655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類別</w:t>
            </w:r>
          </w:p>
        </w:tc>
        <w:tc>
          <w:tcPr>
            <w:tcW w:type="dxa" w:w="5112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成功條件</w:t>
            </w:r>
          </w:p>
        </w:tc>
        <w:tc>
          <w:tcPr>
            <w:tcW w:type="dxa" w:w="2808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驗證方式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資料完整性</w:t>
            </w:r>
          </w:p>
        </w:tc>
        <w:tc>
          <w:tcPr>
            <w:tcW w:type="dxa" w:w="51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價格、財報與籌碼資料均保留可得日期，資料查詢不使用未公布資訊。</w:t>
            </w:r>
          </w:p>
        </w:tc>
        <w:tc>
          <w:tcPr>
            <w:tcW w:type="dxa" w:w="28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資料欄位檢查與 Point-in-Time join 測試。</w:t>
            </w:r>
          </w:p>
        </w:tc>
      </w:tr>
      <w:tr>
        <w:trPr>
          <w:cantSplit/>
        </w:trPr>
        <w:tc>
          <w:tcPr>
            <w:tcW w:type="dxa" w:w="1655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研究嚴謹性</w:t>
            </w:r>
          </w:p>
        </w:tc>
        <w:tc>
          <w:tcPr>
            <w:tcW w:type="dxa" w:w="5112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每個日期完整切分至 Train、Validation 或 Test；資料切割含 Purge。</w:t>
            </w:r>
          </w:p>
        </w:tc>
        <w:tc>
          <w:tcPr>
            <w:tcW w:type="dxa" w:w="2808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Walk-forward 切割紀錄與單元測試。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交易可行性</w:t>
            </w:r>
          </w:p>
        </w:tc>
        <w:tc>
          <w:tcPr>
            <w:tcW w:type="dxa" w:w="51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訊號於月底收盤後產生，於次一交易日開盤成交，並逐筆計入成本。</w:t>
            </w:r>
          </w:p>
        </w:tc>
        <w:tc>
          <w:tcPr>
            <w:tcW w:type="dxa" w:w="28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回測訂單與交易日檢查。</w:t>
            </w:r>
          </w:p>
        </w:tc>
      </w:tr>
      <w:tr>
        <w:trPr>
          <w:cantSplit/>
        </w:trPr>
        <w:tc>
          <w:tcPr>
            <w:tcW w:type="dxa" w:w="1655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風險控制</w:t>
            </w:r>
          </w:p>
        </w:tc>
        <w:tc>
          <w:tcPr>
            <w:tcW w:type="dxa" w:w="5112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個股權重、總曝險與投組波動控制均受預先定義規則約束。</w:t>
            </w:r>
          </w:p>
        </w:tc>
        <w:tc>
          <w:tcPr>
            <w:tcW w:type="dxa" w:w="2808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投組約束與風險看板。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可重現性</w:t>
            </w:r>
          </w:p>
        </w:tc>
        <w:tc>
          <w:tcPr>
            <w:tcW w:type="dxa" w:w="51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程式、資料庫 schema、設定檔與版本資訊均可還原同一輪研究。</w:t>
            </w:r>
          </w:p>
        </w:tc>
        <w:tc>
          <w:tcPr>
            <w:tcW w:type="dxa" w:w="28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Git、requirements、run log 與固定 random state。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80" w:line="276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3"/>
        </w:rPr>
        <w:t>研究參考門檻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15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04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預先定義門檻</w:t>
            </w:r>
          </w:p>
        </w:tc>
        <w:tc>
          <w:tcPr>
            <w:tcW w:type="dxa" w:w="5256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使用原則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Sharpe</w:t>
            </w:r>
          </w:p>
        </w:tc>
        <w:tc>
          <w:tcPr>
            <w:tcW w:type="dxa" w:w="2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&gt; 1.1</w:t>
            </w:r>
          </w:p>
        </w:tc>
        <w:tc>
          <w:tcPr>
            <w:tcW w:type="dxa" w:w="52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作為觀察門檻，不作為調整 Test 結果的依據。</w:t>
            </w:r>
          </w:p>
        </w:tc>
      </w:tr>
      <w:tr>
        <w:trPr>
          <w:cantSplit/>
        </w:trPr>
        <w:tc>
          <w:tcPr>
            <w:tcW w:type="dxa" w:w="2015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最大回撤</w:t>
            </w:r>
          </w:p>
        </w:tc>
        <w:tc>
          <w:tcPr>
            <w:tcW w:type="dxa" w:w="2304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不低於 -25%</w:t>
            </w:r>
          </w:p>
        </w:tc>
        <w:tc>
          <w:tcPr>
            <w:tcW w:type="dxa" w:w="5256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以淨成本 OOS 績效計算。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月換手率</w:t>
            </w:r>
          </w:p>
        </w:tc>
        <w:tc>
          <w:tcPr>
            <w:tcW w:type="dxa" w:w="2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&lt; 60%</w:t>
            </w:r>
          </w:p>
        </w:tc>
        <w:tc>
          <w:tcPr>
            <w:tcW w:type="dxa" w:w="52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需與排名緩衝區及成本結果一併解讀。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20" w:after="120" w:line="276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9"/>
        </w:rPr>
        <w:t>四 投資策略規格</w:t>
      </w:r>
    </w:p>
    <w:p>
      <w:pPr>
        <w:pStyle w:val="Heading2"/>
        <w:keepNext/>
        <w:spacing w:before="200" w:after="80" w:line="276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3"/>
        </w:rPr>
        <w:t>投資宇宙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232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343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規格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市場</w:t>
            </w:r>
          </w:p>
        </w:tc>
        <w:tc>
          <w:tcPr>
            <w:tcW w:type="dxa" w:w="734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台灣上市與上櫃股票。</w:t>
            </w:r>
          </w:p>
        </w:tc>
      </w:tr>
      <w:tr>
        <w:trPr>
          <w:cantSplit/>
        </w:trPr>
        <w:tc>
          <w:tcPr>
            <w:tcW w:type="dxa" w:w="2232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可交易條件</w:t>
            </w:r>
          </w:p>
        </w:tc>
        <w:tc>
          <w:tcPr>
            <w:tcW w:type="dxa" w:w="7343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於每個 rebalance date 以當時資訊判定：市值大於新台幣 50 億元、過去 20 日平均成交金額大於新台幣 2,000 萬元、股價高於 10 元。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排除條件</w:t>
            </w:r>
          </w:p>
        </w:tc>
        <w:tc>
          <w:tcPr>
            <w:tcW w:type="dxa" w:w="734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KY、處置、全額交割、資料無效或無法正常交易之股票。</w:t>
            </w:r>
          </w:p>
        </w:tc>
      </w:tr>
      <w:tr>
        <w:trPr>
          <w:cantSplit/>
        </w:trPr>
        <w:tc>
          <w:tcPr>
            <w:tcW w:type="dxa" w:w="2232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偏誤控制</w:t>
            </w:r>
          </w:p>
        </w:tc>
        <w:tc>
          <w:tcPr>
            <w:tcW w:type="dxa" w:w="7343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使用每個月份實際存在且可交易的歷史股票集合，避免以今日股票回測過去所造成的 Survivorship Bias。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80" w:line="276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3"/>
        </w:rPr>
        <w:t>訊號與選股</w:t>
      </w:r>
    </w:p>
    <w:p>
      <w:pPr>
        <w:pStyle w:val="ListNumber"/>
        <w:keepNext w:val="0"/>
        <w:spacing w:before="0" w:after="40" w:line="300" w:lineRule="auto"/>
      </w:pPr>
      <w:r>
        <w:rPr>
          <w:rFonts w:ascii="Microsoft JhengHei" w:hAnsi="Microsoft JhengHei" w:eastAsia="Microsoft JhengHei" w:cs="Microsoft JhengHei"/>
          <w:color w:val="1F2937"/>
          <w:sz w:val="20"/>
        </w:rPr>
        <w:t>在月底收盤後，以當日可得資料計算全部股票的特徵與預測機率。</w:t>
      </w:r>
    </w:p>
    <w:p>
      <w:pPr>
        <w:pStyle w:val="ListNumber"/>
        <w:keepNext w:val="0"/>
        <w:spacing w:before="0" w:after="40" w:line="300" w:lineRule="auto"/>
      </w:pPr>
      <w:r>
        <w:rPr>
          <w:rFonts w:ascii="Microsoft JhengHei" w:hAnsi="Microsoft JhengHei" w:eastAsia="Microsoft JhengHei" w:cs="Microsoft JhengHei"/>
          <w:color w:val="1F2937"/>
          <w:sz w:val="20"/>
        </w:rPr>
        <w:t>依預測機率進行橫截面排序，選擇排名前 15 名作為新進候選標的。</w:t>
      </w:r>
    </w:p>
    <w:p>
      <w:pPr>
        <w:pStyle w:val="ListNumber"/>
        <w:keepNext w:val="0"/>
        <w:spacing w:before="0" w:after="40" w:line="300" w:lineRule="auto"/>
      </w:pPr>
      <w:r>
        <w:rPr>
          <w:rFonts w:ascii="Microsoft JhengHei" w:hAnsi="Microsoft JhengHei" w:eastAsia="Microsoft JhengHei" w:cs="Microsoft JhengHei"/>
          <w:color w:val="1F2937"/>
          <w:sz w:val="20"/>
        </w:rPr>
        <w:t>既有持股在排名 30 名內可續抱；排名大於 30 名才退出。此規則降低月度排名微幅變動造成的無效換手。</w:t>
      </w:r>
    </w:p>
    <w:p>
      <w:pPr>
        <w:pStyle w:val="ListNumber"/>
        <w:keepNext w:val="0"/>
        <w:spacing w:before="0" w:after="40" w:line="300" w:lineRule="auto"/>
      </w:pPr>
      <w:r>
        <w:rPr>
          <w:rFonts w:ascii="Microsoft JhengHei" w:hAnsi="Microsoft JhengHei" w:eastAsia="Microsoft JhengHei" w:cs="Microsoft JhengHei"/>
          <w:color w:val="1F2937"/>
          <w:sz w:val="20"/>
        </w:rPr>
        <w:t>次一交易日開盤依目標權重執行調整，並保留所有訊號、訂單與部位紀錄。</w:t>
      </w:r>
    </w:p>
    <w:p>
      <w:pPr>
        <w:pStyle w:val="Heading2"/>
        <w:keepNext/>
        <w:spacing w:before="200" w:after="80" w:line="276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3"/>
        </w:rPr>
        <w:t>主策略限制</w:t>
      </w:r>
    </w:p>
    <w:p>
      <w:pPr>
        <w:pStyle w:val="ListBullet"/>
        <w:keepNext w:val="0"/>
        <w:spacing w:before="0" w:after="40" w:line="300" w:lineRule="auto"/>
      </w:pPr>
      <w:r>
        <w:rPr>
          <w:rFonts w:ascii="Microsoft JhengHei" w:hAnsi="Microsoft JhengHei" w:eastAsia="Microsoft JhengHei" w:cs="Microsoft JhengHei"/>
          <w:color w:val="1F2937"/>
          <w:sz w:val="20"/>
        </w:rPr>
        <w:t>主策略維持 Long-only，總股票曝險不得超過 100%。</w:t>
      </w:r>
    </w:p>
    <w:p>
      <w:pPr>
        <w:pStyle w:val="ListBullet"/>
        <w:keepNext w:val="0"/>
        <w:spacing w:before="0" w:after="40" w:line="300" w:lineRule="auto"/>
      </w:pPr>
      <w:r>
        <w:rPr>
          <w:rFonts w:ascii="Microsoft JhengHei" w:hAnsi="Microsoft JhengHei" w:eastAsia="Microsoft JhengHei" w:cs="Microsoft JhengHei"/>
          <w:color w:val="1F2937"/>
          <w:sz w:val="20"/>
        </w:rPr>
        <w:t>個別股票初版權重上限固定為 10%，以防低波動股票因反波動加權而過度集中。</w:t>
      </w:r>
    </w:p>
    <w:p>
      <w:pPr>
        <w:pStyle w:val="ListBullet"/>
        <w:keepNext w:val="0"/>
        <w:spacing w:before="0" w:after="40" w:line="300" w:lineRule="auto"/>
      </w:pPr>
      <w:r>
        <w:rPr>
          <w:rFonts w:ascii="Microsoft JhengHei" w:hAnsi="Microsoft JhengHei" w:eastAsia="Microsoft JhengHei" w:cs="Microsoft JhengHei"/>
          <w:color w:val="1F2937"/>
          <w:sz w:val="20"/>
        </w:rPr>
        <w:t>台指期 Beta 對沖僅作研究延伸；若研究，口數以投組 Beta、投組市值與期貨名目價值估算。</w:t>
      </w:r>
    </w:p>
    <w:p>
      <w:pPr>
        <w:pStyle w:val="Heading1"/>
        <w:keepNext/>
        <w:spacing w:before="320" w:after="120" w:line="276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9"/>
        </w:rPr>
        <w:t>五 資料架構與 Point in Time 規則</w:t>
      </w:r>
    </w:p>
    <w:p>
      <w:pPr>
        <w:pStyle w:val="Heading2"/>
        <w:keepNext/>
        <w:spacing w:before="200" w:after="80" w:line="276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3"/>
        </w:rPr>
        <w:t>資料來源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584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優先序</w:t>
            </w:r>
          </w:p>
        </w:tc>
        <w:tc>
          <w:tcPr>
            <w:tcW w:type="dxa" w:w="2160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來源</w:t>
            </w:r>
          </w:p>
        </w:tc>
        <w:tc>
          <w:tcPr>
            <w:tcW w:type="dxa" w:w="5832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主要</w:t>
            </w:r>
          </w:p>
        </w:tc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FinMind</w:t>
            </w:r>
          </w:p>
        </w:tc>
        <w:tc>
          <w:tcPr>
            <w:tcW w:type="dxa" w:w="58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股價、財報、三大法人買賣超與必要籌碼資料。</w:t>
            </w:r>
          </w:p>
        </w:tc>
      </w:tr>
      <w:tr>
        <w:trPr>
          <w:cantSplit/>
        </w:trPr>
        <w:tc>
          <w:tcPr>
            <w:tcW w:type="dxa" w:w="1584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備援</w:t>
            </w:r>
          </w:p>
        </w:tc>
        <w:tc>
          <w:tcPr>
            <w:tcW w:type="dxa" w:w="2160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yfinance</w:t>
            </w:r>
          </w:p>
        </w:tc>
        <w:tc>
          <w:tcPr>
            <w:tcW w:type="dxa" w:w="5832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有限度補足市場價格資料或進行交叉檢查。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80" w:line="276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3"/>
        </w:rPr>
        <w:t>Point in Time 資料規則</w:t>
      </w:r>
    </w:p>
    <w:p>
      <w:pPr>
        <w:keepNext w:val="0"/>
        <w:spacing w:before="0" w:after="100" w:line="324" w:lineRule="auto"/>
      </w:pPr>
      <w:r>
        <w:rPr>
          <w:rFonts w:ascii="Microsoft JhengHei" w:hAnsi="Microsoft JhengHei" w:eastAsia="Microsoft JhengHei" w:cs="Microsoft JhengHei"/>
          <w:color w:val="1F2937"/>
          <w:sz w:val="20"/>
        </w:rPr>
        <w:t>所有非價格資料都必須保留 report_period、announcement_date 與 available_date。特徵引擎只能連結 available_date 小於或等於 rebalance_date 的資料；財報落後一季不是充分條件，實際公告或可得日期才是可使用時間。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15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欄位</w:t>
            </w:r>
          </w:p>
        </w:tc>
        <w:tc>
          <w:tcPr>
            <w:tcW w:type="dxa" w:w="3528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4031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規則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report_period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資料所屬的財報或營收期間。</w:t>
            </w:r>
          </w:p>
        </w:tc>
        <w:tc>
          <w:tcPr>
            <w:tcW w:type="dxa" w:w="40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供追溯資料內容，不直接代表市場得知時間。</w:t>
            </w:r>
          </w:p>
        </w:tc>
      </w:tr>
      <w:tr>
        <w:trPr>
          <w:cantSplit/>
        </w:trPr>
        <w:tc>
          <w:tcPr>
            <w:tcW w:type="dxa" w:w="2015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announcement_date</w:t>
            </w:r>
          </w:p>
        </w:tc>
        <w:tc>
          <w:tcPr>
            <w:tcW w:type="dxa" w:w="3528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公司或資料供應商公布日期。</w:t>
            </w:r>
          </w:p>
        </w:tc>
        <w:tc>
          <w:tcPr>
            <w:tcW w:type="dxa" w:w="4031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保留原始公告時間。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available_date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系統可安全使用資料的日期。</w:t>
            </w:r>
          </w:p>
        </w:tc>
        <w:tc>
          <w:tcPr>
            <w:tcW w:type="dxa" w:w="40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必須小於或等於 rebalance_date。</w:t>
            </w:r>
          </w:p>
        </w:tc>
      </w:tr>
      <w:tr>
        <w:trPr>
          <w:cantSplit/>
        </w:trPr>
        <w:tc>
          <w:tcPr>
            <w:tcW w:type="dxa" w:w="2015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rebalance_date</w:t>
            </w:r>
          </w:p>
        </w:tc>
        <w:tc>
          <w:tcPr>
            <w:tcW w:type="dxa" w:w="3528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每月建構訊號與投組的日期。</w:t>
            </w:r>
          </w:p>
        </w:tc>
        <w:tc>
          <w:tcPr>
            <w:tcW w:type="dxa" w:w="4031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只使用當日已可得資料。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80" w:line="276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3"/>
        </w:rPr>
        <w:t>SQLite 資料表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699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資料表</w:t>
            </w:r>
          </w:p>
        </w:tc>
        <w:tc>
          <w:tcPr>
            <w:tcW w:type="dxa" w:w="2951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主要內容</w:t>
            </w:r>
          </w:p>
        </w:tc>
        <w:tc>
          <w:tcPr>
            <w:tcW w:type="dxa" w:w="4968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關鍵欄位</w:t>
            </w:r>
          </w:p>
        </w:tc>
      </w:tr>
      <w:tr>
        <w:trPr>
          <w:cantSplit/>
        </w:trPr>
        <w:tc>
          <w:tcPr>
            <w:tcW w:type="dxa" w:w="169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6"/>
              </w:rPr>
              <w:t>stocks</w:t>
            </w:r>
          </w:p>
        </w:tc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6"/>
              </w:rPr>
              <w:t>證券主檔與上市狀態。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6"/>
              </w:rPr>
              <w:t>stock_id、market、listed_date、delisted_date、industry</w:t>
            </w:r>
          </w:p>
        </w:tc>
      </w:tr>
      <w:tr>
        <w:trPr>
          <w:cantSplit/>
        </w:trPr>
        <w:tc>
          <w:tcPr>
            <w:tcW w:type="dxa" w:w="1699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6"/>
              </w:rPr>
              <w:t>prices</w:t>
            </w:r>
          </w:p>
        </w:tc>
        <w:tc>
          <w:tcPr>
            <w:tcW w:type="dxa" w:w="2951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6"/>
              </w:rPr>
              <w:t>日 OHLCV 與成交金額。</w:t>
            </w:r>
          </w:p>
        </w:tc>
        <w:tc>
          <w:tcPr>
            <w:tcW w:type="dxa" w:w="4968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6"/>
              </w:rPr>
              <w:t>date、stock_id、open、high、low、close、volume、traded_value</w:t>
            </w:r>
          </w:p>
        </w:tc>
      </w:tr>
      <w:tr>
        <w:trPr>
          <w:cantSplit/>
        </w:trPr>
        <w:tc>
          <w:tcPr>
            <w:tcW w:type="dxa" w:w="169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6"/>
              </w:rPr>
              <w:t>financials</w:t>
            </w:r>
          </w:p>
        </w:tc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6"/>
              </w:rPr>
              <w:t>財報與營收資料。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6"/>
              </w:rPr>
              <w:t>stock_id、report_period、announcement_date、available_date</w:t>
            </w:r>
          </w:p>
        </w:tc>
      </w:tr>
      <w:tr>
        <w:trPr>
          <w:cantSplit/>
        </w:trPr>
        <w:tc>
          <w:tcPr>
            <w:tcW w:type="dxa" w:w="1699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6"/>
              </w:rPr>
              <w:t>institutional</w:t>
            </w:r>
          </w:p>
        </w:tc>
        <w:tc>
          <w:tcPr>
            <w:tcW w:type="dxa" w:w="2951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6"/>
              </w:rPr>
              <w:t>法人與籌碼資料。</w:t>
            </w:r>
          </w:p>
        </w:tc>
        <w:tc>
          <w:tcPr>
            <w:tcW w:type="dxa" w:w="4968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6"/>
              </w:rPr>
              <w:t>date、stock_id、foreign_net_buy、trust_net_buy</w:t>
            </w:r>
          </w:p>
        </w:tc>
      </w:tr>
      <w:tr>
        <w:trPr>
          <w:cantSplit/>
        </w:trPr>
        <w:tc>
          <w:tcPr>
            <w:tcW w:type="dxa" w:w="169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6"/>
              </w:rPr>
              <w:t>features</w:t>
            </w:r>
          </w:p>
        </w:tc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6"/>
              </w:rPr>
              <w:t>月度特徵資料集。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6"/>
              </w:rPr>
              <w:t>rebalance_date、stock_id、feature_version</w:t>
            </w:r>
          </w:p>
        </w:tc>
      </w:tr>
      <w:tr>
        <w:trPr>
          <w:cantSplit/>
        </w:trPr>
        <w:tc>
          <w:tcPr>
            <w:tcW w:type="dxa" w:w="1699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6"/>
              </w:rPr>
              <w:t>predictions</w:t>
            </w:r>
          </w:p>
        </w:tc>
        <w:tc>
          <w:tcPr>
            <w:tcW w:type="dxa" w:w="2951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6"/>
              </w:rPr>
              <w:t>模型分數與排名。</w:t>
            </w:r>
          </w:p>
        </w:tc>
        <w:tc>
          <w:tcPr>
            <w:tcW w:type="dxa" w:w="4968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6"/>
              </w:rPr>
              <w:t>date、stock_id、prediction、rank、model_version</w:t>
            </w:r>
          </w:p>
        </w:tc>
      </w:tr>
      <w:tr>
        <w:trPr>
          <w:cantSplit/>
        </w:trPr>
        <w:tc>
          <w:tcPr>
            <w:tcW w:type="dxa" w:w="169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6"/>
              </w:rPr>
              <w:t>signals</w:t>
            </w:r>
          </w:p>
        </w:tc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6"/>
              </w:rPr>
              <w:t>策略訊號與目標權重。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6"/>
              </w:rPr>
              <w:t>date、stock_id、signal、target_weight、rank</w:t>
            </w:r>
          </w:p>
        </w:tc>
      </w:tr>
      <w:tr>
        <w:trPr>
          <w:cantSplit/>
        </w:trPr>
        <w:tc>
          <w:tcPr>
            <w:tcW w:type="dxa" w:w="1699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6"/>
              </w:rPr>
              <w:t>positions</w:t>
            </w:r>
          </w:p>
        </w:tc>
        <w:tc>
          <w:tcPr>
            <w:tcW w:type="dxa" w:w="2951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6"/>
              </w:rPr>
              <w:t>實際持倉快照。</w:t>
            </w:r>
          </w:p>
        </w:tc>
        <w:tc>
          <w:tcPr>
            <w:tcW w:type="dxa" w:w="4968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6"/>
              </w:rPr>
              <w:t>date、stock_id、weight、shares、market_value</w:t>
            </w:r>
          </w:p>
        </w:tc>
      </w:tr>
      <w:tr>
        <w:trPr>
          <w:cantSplit/>
        </w:trPr>
        <w:tc>
          <w:tcPr>
            <w:tcW w:type="dxa" w:w="169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6"/>
              </w:rPr>
              <w:t>orders</w:t>
            </w:r>
          </w:p>
        </w:tc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6"/>
              </w:rPr>
              <w:t>回測與實盤模擬訂單。</w:t>
            </w:r>
          </w:p>
        </w:tc>
        <w:tc>
          <w:tcPr>
            <w:tcW w:type="dxa" w:w="49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6"/>
              </w:rPr>
              <w:t>signal_date、execution_date、side、quantity、price、cost</w:t>
            </w:r>
          </w:p>
        </w:tc>
      </w:tr>
      <w:tr>
        <w:trPr>
          <w:cantSplit/>
        </w:trPr>
        <w:tc>
          <w:tcPr>
            <w:tcW w:type="dxa" w:w="1699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6"/>
              </w:rPr>
              <w:t>portfolio_daily</w:t>
            </w:r>
          </w:p>
        </w:tc>
        <w:tc>
          <w:tcPr>
            <w:tcW w:type="dxa" w:w="2951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6"/>
              </w:rPr>
              <w:t>每日投組帳面與風險資料。</w:t>
            </w:r>
          </w:p>
        </w:tc>
        <w:tc>
          <w:tcPr>
            <w:tcW w:type="dxa" w:w="4968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6"/>
              </w:rPr>
              <w:t>date、nav、exposure、volatility、drawdown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20" w:after="120" w:line="276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9"/>
        </w:rPr>
        <w:t>六 因子工程與資料前處理</w:t>
      </w:r>
    </w:p>
    <w:p>
      <w:pPr>
        <w:keepNext w:val="0"/>
        <w:spacing w:before="0" w:after="100" w:line="324" w:lineRule="auto"/>
      </w:pPr>
      <w:r>
        <w:rPr>
          <w:rFonts w:ascii="Microsoft JhengHei" w:hAnsi="Microsoft JhengHei" w:eastAsia="Microsoft JhengHei" w:cs="Microsoft JhengHei"/>
          <w:color w:val="1F2937"/>
          <w:sz w:val="20"/>
        </w:rPr>
        <w:t>首版使用約 30 個因子，涵蓋動能、價值、品質與成長、風險、法人與籌碼、規模與流動性。完整因子字典見附錄。每個月份都在可交易宇宙內做橫截面處理，避免跨期標準化扭曲當時的相對訊號。</w:t>
      </w:r>
    </w:p>
    <w:p>
      <w:pPr>
        <w:pStyle w:val="ListNumber"/>
        <w:keepNext w:val="0"/>
        <w:spacing w:before="0" w:after="40" w:line="300" w:lineRule="auto"/>
      </w:pPr>
      <w:r>
        <w:rPr>
          <w:rFonts w:ascii="Microsoft JhengHei" w:hAnsi="Microsoft JhengHei" w:eastAsia="Microsoft JhengHei" w:cs="Microsoft JhengHei"/>
          <w:color w:val="1F2937"/>
          <w:sz w:val="20"/>
        </w:rPr>
        <w:t>對原始因子做 1% 與 99% 縮尾，降低極端值對模型的影響。</w:t>
      </w:r>
    </w:p>
    <w:p>
      <w:pPr>
        <w:pStyle w:val="ListNumber"/>
        <w:keepNext w:val="0"/>
        <w:spacing w:before="0" w:after="40" w:line="300" w:lineRule="auto"/>
      </w:pPr>
      <w:r>
        <w:rPr>
          <w:rFonts w:ascii="Microsoft JhengHei" w:hAnsi="Microsoft JhengHei" w:eastAsia="Microsoft JhengHei" w:cs="Microsoft JhengHei"/>
          <w:color w:val="1F2937"/>
          <w:sz w:val="20"/>
        </w:rPr>
        <w:t>將因子轉為橫截面排名並標準化。</w:t>
      </w:r>
    </w:p>
    <w:p>
      <w:pPr>
        <w:pStyle w:val="ListNumber"/>
        <w:keepNext w:val="0"/>
        <w:spacing w:before="0" w:after="40" w:line="300" w:lineRule="auto"/>
      </w:pPr>
      <w:r>
        <w:rPr>
          <w:rFonts w:ascii="Microsoft JhengHei" w:hAnsi="Microsoft JhengHei" w:eastAsia="Microsoft JhengHei" w:cs="Microsoft JhengHei"/>
          <w:color w:val="1F2937"/>
          <w:sz w:val="20"/>
        </w:rPr>
        <w:t>當絕對相關係數大於 0.85 時，只保留一個具代表性的因子。</w:t>
      </w:r>
    </w:p>
    <w:p>
      <w:pPr>
        <w:pStyle w:val="ListNumber"/>
        <w:keepNext w:val="0"/>
        <w:spacing w:before="0" w:after="40" w:line="300" w:lineRule="auto"/>
      </w:pPr>
      <w:r>
        <w:rPr>
          <w:rFonts w:ascii="Microsoft JhengHei" w:hAnsi="Microsoft JhengHei" w:eastAsia="Microsoft JhengHei" w:cs="Microsoft JhengHei"/>
          <w:color w:val="1F2937"/>
          <w:sz w:val="20"/>
        </w:rPr>
        <w:t>財務資料採 Point-in-Time forward fill；負值估值指標採橫截面中性或中位數處理，並保留 missing_flag。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160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因子群組</w:t>
            </w:r>
          </w:p>
        </w:tc>
        <w:tc>
          <w:tcPr>
            <w:tcW w:type="dxa" w:w="1007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數量</w:t>
            </w:r>
          </w:p>
        </w:tc>
        <w:tc>
          <w:tcPr>
            <w:tcW w:type="dxa" w:w="6451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代表性因子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動能與技術</w:t>
            </w:r>
          </w:p>
        </w:tc>
        <w:tc>
          <w:tcPr>
            <w:tcW w:type="dxa" w:w="100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8</w:t>
            </w:r>
          </w:p>
        </w:tc>
        <w:tc>
          <w:tcPr>
            <w:tcW w:type="dxa" w:w="64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Momentum 20D、60D、120D、RSI14、MA20／MA60、量能比。</w:t>
            </w:r>
          </w:p>
        </w:tc>
      </w:tr>
      <w:tr>
        <w:trPr>
          <w:cantSplit/>
        </w:trPr>
        <w:tc>
          <w:tcPr>
            <w:tcW w:type="dxa" w:w="2160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價值</w:t>
            </w:r>
          </w:p>
        </w:tc>
        <w:tc>
          <w:tcPr>
            <w:tcW w:type="dxa" w:w="1007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6451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Earnings Yield、Book-to-Market、Sales Yield、Dividend Yield。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品質與成長</w:t>
            </w:r>
          </w:p>
        </w:tc>
        <w:tc>
          <w:tcPr>
            <w:tcW w:type="dxa" w:w="100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64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ROE、ROA、Revenue YoY、Operating Income QoQ、Accrual／Assets。</w:t>
            </w:r>
          </w:p>
        </w:tc>
      </w:tr>
      <w:tr>
        <w:trPr>
          <w:cantSplit/>
        </w:trPr>
        <w:tc>
          <w:tcPr>
            <w:tcW w:type="dxa" w:w="2160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風險</w:t>
            </w:r>
          </w:p>
        </w:tc>
        <w:tc>
          <w:tcPr>
            <w:tcW w:type="dxa" w:w="1007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6451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Volatility 60D、Beta 60D、Max Drawdown 120D、Turnover 60D。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法人與籌碼</w:t>
            </w:r>
          </w:p>
        </w:tc>
        <w:tc>
          <w:tcPr>
            <w:tcW w:type="dxa" w:w="100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64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外資與投信買賣超、融資餘額變化、Close／60D High。</w:t>
            </w:r>
          </w:p>
        </w:tc>
      </w:tr>
      <w:tr>
        <w:trPr>
          <w:cantSplit/>
        </w:trPr>
        <w:tc>
          <w:tcPr>
            <w:tcW w:type="dxa" w:w="2160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規模與流動性</w:t>
            </w:r>
          </w:p>
        </w:tc>
        <w:tc>
          <w:tcPr>
            <w:tcW w:type="dxa" w:w="1007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6451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Log Market Cap、Amihud Illiquidity。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補充因子</w:t>
            </w:r>
          </w:p>
        </w:tc>
        <w:tc>
          <w:tcPr>
            <w:tcW w:type="dxa" w:w="100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64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券資比、營業利益率、營收月增率。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20" w:after="120" w:line="276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9"/>
        </w:rPr>
        <w:t>七 標籤 模型與最佳化</w:t>
      </w:r>
    </w:p>
    <w:p>
      <w:pPr>
        <w:pStyle w:val="Heading2"/>
        <w:keepNext/>
        <w:spacing w:before="200" w:after="80" w:line="276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3"/>
        </w:rPr>
        <w:t>標籤定義</w:t>
      </w:r>
    </w:p>
    <w:p>
      <w:pPr>
        <w:keepNext w:val="0"/>
        <w:spacing w:before="0" w:after="100" w:line="324" w:lineRule="auto"/>
      </w:pPr>
      <w:r>
        <w:rPr>
          <w:rFonts w:ascii="Microsoft JhengHei" w:hAnsi="Microsoft JhengHei" w:eastAsia="Microsoft JhengHei" w:cs="Microsoft JhengHei"/>
          <w:color w:val="1F2937"/>
          <w:sz w:val="20"/>
        </w:rPr>
        <w:t>在每一個 rebalance date，計算未來 20 個交易日報酬並做橫截面排序。最高五分位標示為 1，其餘標示為 0。主模型輸出 P Top Quintile，再依機率排序形成選股名單。</w:t>
      </w:r>
    </w:p>
    <w:p>
      <w:pPr>
        <w:pStyle w:val="Heading2"/>
        <w:keepNext/>
        <w:spacing w:before="200" w:after="80" w:line="276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3"/>
        </w:rPr>
        <w:t>模型設計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448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模型</w:t>
            </w:r>
          </w:p>
        </w:tc>
        <w:tc>
          <w:tcPr>
            <w:tcW w:type="dxa" w:w="2088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5112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輸出或比較目的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XGBClassifier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主模型</w:t>
            </w:r>
          </w:p>
        </w:tc>
        <w:tc>
          <w:tcPr>
            <w:tcW w:type="dxa" w:w="51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預測進入未來高報酬五分位的機率。</w:t>
            </w:r>
          </w:p>
        </w:tc>
      </w:tr>
      <w:tr>
        <w:trPr>
          <w:cantSplit/>
        </w:trPr>
        <w:tc>
          <w:tcPr>
            <w:tcW w:type="dxa" w:w="2448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Momentum 20D</w:t>
            </w:r>
          </w:p>
        </w:tc>
        <w:tc>
          <w:tcPr>
            <w:tcW w:type="dxa" w:w="2088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基準模型</w:t>
            </w:r>
          </w:p>
        </w:tc>
        <w:tc>
          <w:tcPr>
            <w:tcW w:type="dxa" w:w="5112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確認單一動能訊號的基本表現。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Momentum 20D 加 60D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基準模型</w:t>
            </w:r>
          </w:p>
        </w:tc>
        <w:tc>
          <w:tcPr>
            <w:tcW w:type="dxa" w:w="51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比較短中期動能的增量。</w:t>
            </w:r>
          </w:p>
        </w:tc>
      </w:tr>
      <w:tr>
        <w:trPr>
          <w:cantSplit/>
        </w:trPr>
        <w:tc>
          <w:tcPr>
            <w:tcW w:type="dxa" w:w="2448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等權因子排名</w:t>
            </w:r>
          </w:p>
        </w:tc>
        <w:tc>
          <w:tcPr>
            <w:tcW w:type="dxa" w:w="2088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基準模型</w:t>
            </w:r>
          </w:p>
        </w:tc>
        <w:tc>
          <w:tcPr>
            <w:tcW w:type="dxa" w:w="5112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比較非機器學習的多因子做法。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Logistic Regression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簡單模型對照</w:t>
            </w:r>
          </w:p>
        </w:tc>
        <w:tc>
          <w:tcPr>
            <w:tcW w:type="dxa" w:w="51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檢視非線性複雜度是否真正帶來價值。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80" w:line="276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3"/>
        </w:rPr>
        <w:t>Optuna 設計</w:t>
      </w:r>
    </w:p>
    <w:p>
      <w:pPr>
        <w:keepNext w:val="0"/>
        <w:spacing w:before="0" w:after="100" w:line="324" w:lineRule="auto"/>
      </w:pPr>
      <w:r>
        <w:rPr>
          <w:rFonts w:ascii="Microsoft JhengHei" w:hAnsi="Microsoft JhengHei" w:eastAsia="Microsoft JhengHei" w:cs="Microsoft JhengHei"/>
          <w:color w:val="1F2937"/>
          <w:sz w:val="20"/>
        </w:rPr>
        <w:t>Optuna 於 Validation 期間執行 50 次 trials，調整 max_depth、learning_rate、n_estimators、subsample、colsample_bytree、min_child_weight、reg_alpha 與 reg_lambda。主要目標為 Validation Mean Rank IC，Top 15 投組報酬僅作次要觀察。Test 資料不得參與調參。</w:t>
      </w:r>
    </w:p>
    <w:p>
      <w:pPr>
        <w:pStyle w:val="Heading1"/>
        <w:keepNext/>
        <w:spacing w:before="320" w:after="120" w:line="276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9"/>
        </w:rPr>
        <w:t>八 Walk Forward 驗證與 OOS 報告</w:t>
      </w:r>
    </w:p>
    <w:p>
      <w:pPr>
        <w:keepNext w:val="0"/>
        <w:spacing w:before="0" w:after="100" w:line="324" w:lineRule="auto"/>
      </w:pPr>
      <w:r>
        <w:rPr>
          <w:rFonts w:ascii="Microsoft JhengHei" w:hAnsi="Microsoft JhengHei" w:eastAsia="Microsoft JhengHei" w:cs="Microsoft JhengHei"/>
          <w:color w:val="1F2937"/>
          <w:sz w:val="20"/>
        </w:rPr>
        <w:t>資料以日期為單位切分，同一月份的全部股票必須位於相同資料集，不得將同月股票拆分至 Train、Validation 與 Test。由於資料為股票橫截面加上時間序列，資料列數不能被誤解為完全獨立樣本數。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944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階段</w:t>
            </w:r>
          </w:p>
        </w:tc>
        <w:tc>
          <w:tcPr>
            <w:tcW w:type="dxa" w:w="2160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期間</w:t>
            </w:r>
          </w:p>
        </w:tc>
        <w:tc>
          <w:tcPr>
            <w:tcW w:type="dxa" w:w="5544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目的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Train</w:t>
            </w:r>
          </w:p>
        </w:tc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4 年</w:t>
            </w:r>
          </w:p>
        </w:tc>
        <w:tc>
          <w:tcPr>
            <w:tcW w:type="dxa" w:w="55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擬合模型與建立特徵處理流程。</w:t>
            </w:r>
          </w:p>
        </w:tc>
      </w:tr>
      <w:tr>
        <w:trPr>
          <w:cantSplit/>
        </w:trPr>
        <w:tc>
          <w:tcPr>
            <w:tcW w:type="dxa" w:w="1944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Validation</w:t>
            </w:r>
          </w:p>
        </w:tc>
        <w:tc>
          <w:tcPr>
            <w:tcW w:type="dxa" w:w="2160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1 年</w:t>
            </w:r>
          </w:p>
        </w:tc>
        <w:tc>
          <w:tcPr>
            <w:tcW w:type="dxa" w:w="5544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以 Rank IC 為主要目標進行 Optuna 調參。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Test</w:t>
            </w:r>
          </w:p>
        </w:tc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1 年</w:t>
            </w:r>
          </w:p>
        </w:tc>
        <w:tc>
          <w:tcPr>
            <w:tcW w:type="dxa" w:w="55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以完全未參與調參的資料檢視結果。</w:t>
            </w:r>
          </w:p>
        </w:tc>
      </w:tr>
      <w:tr>
        <w:trPr>
          <w:cantSplit/>
        </w:trPr>
        <w:tc>
          <w:tcPr>
            <w:tcW w:type="dxa" w:w="1944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Purge</w:t>
            </w:r>
          </w:p>
        </w:tc>
        <w:tc>
          <w:tcPr>
            <w:tcW w:type="dxa" w:w="2160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20 個交易日</w:t>
            </w:r>
          </w:p>
        </w:tc>
        <w:tc>
          <w:tcPr>
            <w:tcW w:type="dxa" w:w="5544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依標籤預測期刪除相鄰資訊窗口，避免 label overlap。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24" w:lineRule="auto"/>
      </w:pPr>
      <w:r>
        <w:rPr>
          <w:rFonts w:ascii="Microsoft JhengHei" w:hAnsi="Microsoft JhengHei" w:eastAsia="Microsoft JhengHei" w:cs="Microsoft JhengHei"/>
          <w:color w:val="1F2937"/>
          <w:sz w:val="20"/>
        </w:rPr>
        <w:t>折數以資料可用年度決定。範例為 Train 2015 至 2018、Validation 2019、Test 2020，之後每次向前滾動一年。最終策略績效只呈現串接後的 OOS Test 曲線與各 Fold 指標，不以 In-Sample equity curve 作為策略績效。</w:t>
      </w:r>
    </w:p>
    <w:p>
      <w:pPr>
        <w:pStyle w:val="Heading2"/>
        <w:keepNext/>
        <w:spacing w:before="200" w:after="80" w:line="276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3"/>
        </w:rPr>
        <w:t>必要報告</w:t>
      </w:r>
    </w:p>
    <w:p>
      <w:pPr>
        <w:pStyle w:val="ListBullet"/>
        <w:keepNext w:val="0"/>
        <w:spacing w:before="0" w:after="40" w:line="300" w:lineRule="auto"/>
      </w:pPr>
      <w:r>
        <w:rPr>
          <w:rFonts w:ascii="Microsoft JhengHei" w:hAnsi="Microsoft JhengHei" w:eastAsia="Microsoft JhengHei" w:cs="Microsoft JhengHei"/>
          <w:color w:val="1F2937"/>
          <w:sz w:val="20"/>
        </w:rPr>
        <w:t>每個 Fold 的 CAGR、Sharpe、Sortino、Max Drawdown、Turnover 與 Rank IC。</w:t>
      </w:r>
    </w:p>
    <w:p>
      <w:pPr>
        <w:pStyle w:val="ListBullet"/>
        <w:keepNext w:val="0"/>
        <w:spacing w:before="0" w:after="40" w:line="300" w:lineRule="auto"/>
      </w:pPr>
      <w:r>
        <w:rPr>
          <w:rFonts w:ascii="Microsoft JhengHei" w:hAnsi="Microsoft JhengHei" w:eastAsia="Microsoft JhengHei" w:cs="Microsoft JhengHei"/>
          <w:color w:val="1F2937"/>
          <w:sz w:val="20"/>
        </w:rPr>
        <w:t>成本前與成本後的 OOS 績效比較。</w:t>
      </w:r>
    </w:p>
    <w:p>
      <w:pPr>
        <w:pStyle w:val="ListBullet"/>
        <w:keepNext w:val="0"/>
        <w:spacing w:before="0" w:after="40" w:line="300" w:lineRule="auto"/>
      </w:pPr>
      <w:r>
        <w:rPr>
          <w:rFonts w:ascii="Microsoft JhengHei" w:hAnsi="Microsoft JhengHei" w:eastAsia="Microsoft JhengHei" w:cs="Microsoft JhengHei"/>
          <w:color w:val="1F2937"/>
          <w:sz w:val="20"/>
        </w:rPr>
        <w:t>Top 10、15、20、30 的參數敏感度，以及因子群組與模型的 ablation 比較。</w:t>
      </w:r>
    </w:p>
    <w:p>
      <w:pPr>
        <w:pStyle w:val="ListBullet"/>
        <w:keepNext w:val="0"/>
        <w:spacing w:before="0" w:after="40" w:line="300" w:lineRule="auto"/>
      </w:pPr>
      <w:r>
        <w:rPr>
          <w:rFonts w:ascii="Microsoft JhengHei" w:hAnsi="Microsoft JhengHei" w:eastAsia="Microsoft JhengHei" w:cs="Microsoft JhengHei"/>
          <w:color w:val="1F2937"/>
          <w:sz w:val="20"/>
        </w:rPr>
        <w:t>SHAP Top 10、每月 IC、rolling IC 與 ICIR。SHAP 僅描述模型特徵重要性，不等同因子收益歸因。</w:t>
      </w:r>
    </w:p>
    <w:p>
      <w:pPr>
        <w:pStyle w:val="Heading1"/>
        <w:keepNext/>
        <w:spacing w:before="320" w:after="120" w:line="276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9"/>
        </w:rPr>
        <w:t>九 投組建構與風險管理</w:t>
      </w:r>
    </w:p>
    <w:p>
      <w:pPr>
        <w:pStyle w:val="Heading2"/>
        <w:keepNext/>
        <w:spacing w:before="200" w:after="80" w:line="276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3"/>
        </w:rPr>
        <w:t>權重與曝險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72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控制層</w:t>
            </w:r>
          </w:p>
        </w:tc>
        <w:tc>
          <w:tcPr>
            <w:tcW w:type="dxa" w:w="4680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規則</w:t>
            </w:r>
          </w:p>
        </w:tc>
        <w:tc>
          <w:tcPr>
            <w:tcW w:type="dxa" w:w="3096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目的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反波動權重</w:t>
            </w:r>
          </w:p>
        </w:tc>
        <w:tc>
          <w:tcPr>
            <w:tcW w:type="dxa" w:w="46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w raw i 等於 1 除以個股 60 日年化波動率，正規化後形成相對權重。</w:t>
            </w:r>
          </w:p>
        </w:tc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降低單一高波動股票對投組的支配。</w:t>
            </w:r>
          </w:p>
        </w:tc>
      </w:tr>
      <w:tr>
        <w:trPr>
          <w:cantSplit/>
        </w:trPr>
        <w:tc>
          <w:tcPr>
            <w:tcW w:type="dxa" w:w="1872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個股上限</w:t>
            </w:r>
          </w:p>
        </w:tc>
        <w:tc>
          <w:tcPr>
            <w:tcW w:type="dxa" w:w="4680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初版固定每檔最高 10%。</w:t>
            </w:r>
          </w:p>
        </w:tc>
        <w:tc>
          <w:tcPr>
            <w:tcW w:type="dxa" w:w="3096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降低低波動股票或集中產業的集中風險。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組合波動率</w:t>
            </w:r>
          </w:p>
        </w:tc>
        <w:tc>
          <w:tcPr>
            <w:tcW w:type="dxa" w:w="46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以 sigma p 等於 sqrt w transpose Sigma w 計算，總曝險等於 min 1 與 15% 除以 sigma p。</w:t>
            </w:r>
          </w:p>
        </w:tc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使 15% 年化波動目標真正作用在投組層級。</w:t>
            </w:r>
          </w:p>
        </w:tc>
      </w:tr>
      <w:tr>
        <w:trPr>
          <w:cantSplit/>
        </w:trPr>
        <w:tc>
          <w:tcPr>
            <w:tcW w:type="dxa" w:w="1872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市場濾網</w:t>
            </w:r>
          </w:p>
        </w:tc>
        <w:tc>
          <w:tcPr>
            <w:tcW w:type="dxa" w:w="4680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TAIEX 高於 MA60 時允許 100% 曝險；低於或等於 MA60 時最高 50%。</w:t>
            </w:r>
          </w:p>
        </w:tc>
        <w:tc>
          <w:tcPr>
            <w:tcW w:type="dxa" w:w="3096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在弱勢市場降低股票總曝險。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24" w:lineRule="auto"/>
      </w:pPr>
      <w:r>
        <w:rPr>
          <w:rFonts w:ascii="Microsoft JhengHei" w:hAnsi="Microsoft JhengHei" w:eastAsia="Microsoft JhengHei" w:cs="Microsoft JhengHei"/>
          <w:color w:val="1F2937"/>
          <w:sz w:val="20"/>
        </w:rPr>
        <w:t>反波動權重只決定相對配置，不能單獨視為波動率目標。系統必須以組合協方差矩陣估算 sigma p，再決定股票總曝險與現金比例；這也能處理 Top 15 同屬高相關產業時個股波動率偏低但投組風險偏高的情況。</w:t>
      </w:r>
    </w:p>
    <w:p>
      <w:pPr>
        <w:pStyle w:val="Heading1"/>
        <w:keepNext/>
        <w:spacing w:before="320" w:after="120" w:line="276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9"/>
        </w:rPr>
        <w:t>十 交易執行與成本模型</w:t>
      </w:r>
    </w:p>
    <w:p>
      <w:pPr>
        <w:pStyle w:val="Heading2"/>
        <w:keepNext/>
        <w:spacing w:before="200" w:after="80" w:line="276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3"/>
        </w:rPr>
        <w:t>執行時間</w:t>
      </w:r>
    </w:p>
    <w:p>
      <w:pPr>
        <w:keepNext w:val="0"/>
        <w:spacing w:before="0" w:after="100" w:line="324" w:lineRule="auto"/>
      </w:pPr>
      <w:r>
        <w:rPr>
          <w:rFonts w:ascii="Microsoft JhengHei" w:hAnsi="Microsoft JhengHei" w:eastAsia="Microsoft JhengHei" w:cs="Microsoft JhengHei"/>
          <w:color w:val="1F2937"/>
          <w:sz w:val="20"/>
        </w:rPr>
        <w:t>月底收盤後計算特徵、產生預測並建構目標投組；所有訂單在次一交易日開盤模擬成交。訊號於收盤產生後不得以同一個收盤價成交，否則會產生前視偏誤。</w:t>
      </w:r>
    </w:p>
    <w:p>
      <w:pPr>
        <w:pStyle w:val="Heading2"/>
        <w:keepNext/>
        <w:spacing w:before="200" w:after="80" w:line="276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3"/>
        </w:rPr>
        <w:t>成本假設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88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成本項目</w:t>
            </w:r>
          </w:p>
        </w:tc>
        <w:tc>
          <w:tcPr>
            <w:tcW w:type="dxa" w:w="2232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假設</w:t>
            </w:r>
          </w:p>
        </w:tc>
        <w:tc>
          <w:tcPr>
            <w:tcW w:type="dxa" w:w="5328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建模方式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買進手續費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0.1425%</w:t>
            </w:r>
          </w:p>
        </w:tc>
        <w:tc>
          <w:tcPr>
            <w:tcW w:type="dxa" w:w="5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按每一筆買單成交金額計算。</w:t>
            </w:r>
          </w:p>
        </w:tc>
      </w:tr>
      <w:tr>
        <w:trPr>
          <w:cantSplit/>
        </w:trPr>
        <w:tc>
          <w:tcPr>
            <w:tcW w:type="dxa" w:w="2088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賣出手續費</w:t>
            </w:r>
          </w:p>
        </w:tc>
        <w:tc>
          <w:tcPr>
            <w:tcW w:type="dxa" w:w="2232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0.1425%</w:t>
            </w:r>
          </w:p>
        </w:tc>
        <w:tc>
          <w:tcPr>
            <w:tcW w:type="dxa" w:w="5328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按每一筆賣單成交金額計算。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賣出交易稅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0.3%</w:t>
            </w:r>
          </w:p>
        </w:tc>
        <w:tc>
          <w:tcPr>
            <w:tcW w:type="dxa" w:w="5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僅於賣出時按成交金額計算。</w:t>
            </w:r>
          </w:p>
        </w:tc>
      </w:tr>
      <w:tr>
        <w:trPr>
          <w:cantSplit/>
        </w:trPr>
        <w:tc>
          <w:tcPr>
            <w:tcW w:type="dxa" w:w="2088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滑價</w:t>
            </w:r>
          </w:p>
        </w:tc>
        <w:tc>
          <w:tcPr>
            <w:tcW w:type="dxa" w:w="2232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初始為單邊 0.1%</w:t>
            </w:r>
          </w:p>
        </w:tc>
        <w:tc>
          <w:tcPr>
            <w:tcW w:type="dxa" w:w="5328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以價格百分比按每筆買賣單分開建模。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24" w:lineRule="auto"/>
      </w:pPr>
      <w:r>
        <w:rPr>
          <w:rFonts w:ascii="Microsoft JhengHei" w:hAnsi="Microsoft JhengHei" w:eastAsia="Microsoft JhengHei" w:cs="Microsoft JhengHei"/>
          <w:color w:val="1F2937"/>
          <w:sz w:val="20"/>
        </w:rPr>
        <w:t>若以單邊 0.1% 滑價計算，理論 round-trip 成本約為 0.785%。回測不得只用固定 round-trip 成本扣除績效，而應依實際換手與每筆訂單計算。成本敏感度至少比較單邊滑價 0.05%、0.10%、0.20% 與 0.30% 下的 CAGR、Sharpe、Max Drawdown 與 Turnover。</w:t>
      </w:r>
    </w:p>
    <w:p>
      <w:pPr>
        <w:pStyle w:val="Heading1"/>
        <w:keepNext/>
        <w:spacing w:before="320" w:after="120" w:line="276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9"/>
        </w:rPr>
        <w:t>十一 看板 報告與日常管線</w:t>
      </w:r>
    </w:p>
    <w:p>
      <w:pPr>
        <w:pStyle w:val="Heading2"/>
        <w:keepNext/>
        <w:spacing w:before="200" w:after="80" w:line="276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3"/>
        </w:rPr>
        <w:t>Streamlit 看板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015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頁面</w:t>
            </w:r>
          </w:p>
        </w:tc>
        <w:tc>
          <w:tcPr>
            <w:tcW w:type="dxa" w:w="7632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必要內容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總覽</w:t>
            </w:r>
          </w:p>
        </w:tc>
        <w:tc>
          <w:tcPr>
            <w:tcW w:type="dxa" w:w="76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CAGR、Sharpe、Sortino、Max Drawdown、Turnover、IC、Equity Curve、Drawdown 與月報酬熱圖。</w:t>
            </w:r>
          </w:p>
        </w:tc>
      </w:tr>
      <w:tr>
        <w:trPr>
          <w:cantSplit/>
        </w:trPr>
        <w:tc>
          <w:tcPr>
            <w:tcW w:type="dxa" w:w="2015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投組</w:t>
            </w:r>
          </w:p>
        </w:tc>
        <w:tc>
          <w:tcPr>
            <w:tcW w:type="dxa" w:w="7632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當前持股、排名、預測機率、權重、個股波動率與 Beta。</w:t>
            </w:r>
          </w:p>
        </w:tc>
      </w:tr>
      <w:tr>
        <w:trPr>
          <w:cantSplit/>
        </w:trPr>
        <w:tc>
          <w:tcPr>
            <w:tcW w:type="dxa" w:w="201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模型</w:t>
            </w:r>
          </w:p>
        </w:tc>
        <w:tc>
          <w:tcPr>
            <w:tcW w:type="dxa" w:w="76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SHAP Top 10、Feature Importance、Monthly IC 與預測分布。</w:t>
            </w:r>
          </w:p>
        </w:tc>
      </w:tr>
      <w:tr>
        <w:trPr>
          <w:cantSplit/>
        </w:trPr>
        <w:tc>
          <w:tcPr>
            <w:tcW w:type="dxa" w:w="2015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風險</w:t>
            </w:r>
          </w:p>
        </w:tc>
        <w:tc>
          <w:tcPr>
            <w:tcW w:type="dxa" w:w="7632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投組曝險、投組波動率、個股權重、MDD、Turnover 與市場 regime。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80" w:line="276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3"/>
        </w:rPr>
        <w:t>日常管線</w:t>
      </w:r>
    </w:p>
    <w:p>
      <w:pPr>
        <w:keepNext w:val="0"/>
        <w:spacing w:before="0" w:after="100" w:line="324" w:lineRule="auto"/>
      </w:pPr>
      <w:r>
        <w:rPr>
          <w:rFonts w:ascii="Microsoft JhengHei" w:hAnsi="Microsoft JhengHei" w:eastAsia="Microsoft JhengHei" w:cs="Microsoft JhengHei"/>
          <w:color w:val="1F2937"/>
          <w:sz w:val="20"/>
        </w:rPr>
        <w:t>系統每天 09:00 執行 ETL、資料驗證、SQLite 更新、特徵更新、預測、現有持倉檢查與風險告警。每日更新資料不代表每日換倉，策略換倉頻率仍固定為每月一次。</w:t>
      </w:r>
    </w:p>
    <w:p>
      <w:pPr>
        <w:pStyle w:val="Heading2"/>
        <w:keepNext/>
        <w:spacing w:before="200" w:after="80" w:line="276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3"/>
        </w:rPr>
        <w:t>加分功能</w:t>
      </w:r>
    </w:p>
    <w:p>
      <w:pPr>
        <w:pStyle w:val="ListBullet"/>
        <w:keepNext w:val="0"/>
        <w:spacing w:before="0" w:after="40" w:line="300" w:lineRule="auto"/>
      </w:pPr>
      <w:r>
        <w:rPr>
          <w:rFonts w:ascii="Microsoft JhengHei" w:hAnsi="Microsoft JhengHei" w:eastAsia="Microsoft JhengHei" w:cs="Microsoft JhengHei"/>
          <w:color w:val="1F2937"/>
          <w:sz w:val="20"/>
        </w:rPr>
        <w:t>Telegram 推播 Top 15、風險警示、缺漏資料與管線失敗通知。</w:t>
      </w:r>
    </w:p>
    <w:p>
      <w:pPr>
        <w:pStyle w:val="ListBullet"/>
        <w:keepNext w:val="0"/>
        <w:spacing w:before="0" w:after="40" w:line="300" w:lineRule="auto"/>
      </w:pPr>
      <w:r>
        <w:rPr>
          <w:rFonts w:ascii="Microsoft JhengHei" w:hAnsi="Microsoft JhengHei" w:eastAsia="Microsoft JhengHei" w:cs="Microsoft JhengHei"/>
          <w:color w:val="1F2937"/>
          <w:sz w:val="20"/>
        </w:rPr>
        <w:t>Gemini API 依 Top 15、SHAP、市場 regime、投組風險與公司公告產出約 200 字中文摘要。</w:t>
      </w:r>
    </w:p>
    <w:p>
      <w:pPr>
        <w:pStyle w:val="ListBullet"/>
        <w:keepNext w:val="0"/>
        <w:spacing w:before="0" w:after="40" w:line="300" w:lineRule="auto"/>
      </w:pPr>
      <w:r>
        <w:rPr>
          <w:rFonts w:ascii="Microsoft JhengHei" w:hAnsi="Microsoft JhengHei" w:eastAsia="Microsoft JhengHei" w:cs="Microsoft JhengHei"/>
          <w:color w:val="1F2937"/>
          <w:sz w:val="20"/>
        </w:rPr>
        <w:t>LLM 僅可做摘要、解釋與報告產生；買賣與部位大小必須由 deterministic pipeline 決定。</w:t>
      </w:r>
    </w:p>
    <w:p>
      <w:pPr>
        <w:pStyle w:val="Heading1"/>
        <w:keepNext/>
        <w:spacing w:before="320" w:after="120" w:line="276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9"/>
        </w:rPr>
        <w:t>十二 系統架構與專案結構</w:t>
      </w:r>
    </w:p>
    <w:p>
      <w:pPr>
        <w:pStyle w:val="Heading2"/>
        <w:keepNext/>
        <w:spacing w:before="200" w:after="80" w:line="276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3"/>
        </w:rPr>
        <w:t>資料與研究流程</w:t>
      </w:r>
    </w:p>
    <w:p>
      <w:pPr>
        <w:keepNext w:val="0"/>
        <w:spacing w:before="0" w:after="100" w:line="324" w:lineRule="auto"/>
      </w:pPr>
      <w:r>
        <w:rPr>
          <w:rFonts w:ascii="Microsoft JhengHei" w:hAnsi="Microsoft JhengHei" w:eastAsia="Microsoft JhengHei" w:cs="Microsoft JhengHei"/>
          <w:color w:val="1F2937"/>
          <w:sz w:val="20"/>
        </w:rPr>
        <w:t>FinMind 進入 ETL 後寫入 SQLite。Point-in-Time 資料層提供給特徵引擎，模型產生股票排名與訊號；投組層套用排名緩衝區、波動率控制與市場濾網，再送入含交易成本的 VectorBT 回測。OOS 結果輸出至 Streamlit、研究報告與 GitHub。</w:t>
      </w:r>
    </w:p>
    <w:p>
      <w:pPr>
        <w:pStyle w:val="Heading2"/>
        <w:keepNext/>
        <w:spacing w:before="200" w:after="80" w:line="276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3"/>
        </w:rPr>
        <w:t>建議目錄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160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目錄</w:t>
            </w:r>
          </w:p>
        </w:tc>
        <w:tc>
          <w:tcPr>
            <w:tcW w:type="dxa" w:w="7488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內容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database</w:t>
            </w:r>
          </w:p>
        </w:tc>
        <w:tc>
          <w:tcPr>
            <w:tcW w:type="dxa" w:w="74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schema.sql 與 SQLite 檔案。</w:t>
            </w:r>
          </w:p>
        </w:tc>
      </w:tr>
      <w:tr>
        <w:trPr>
          <w:cantSplit/>
        </w:trPr>
        <w:tc>
          <w:tcPr>
            <w:tcW w:type="dxa" w:w="2160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notebooks</w:t>
            </w:r>
          </w:p>
        </w:tc>
        <w:tc>
          <w:tcPr>
            <w:tcW w:type="dxa" w:w="7488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資料探索、因子分析、模型訓練與 Walk-forward 研究筆記。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src</w:t>
            </w:r>
          </w:p>
        </w:tc>
        <w:tc>
          <w:tcPr>
            <w:tcW w:type="dxa" w:w="74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etl、database、universe、features、labels、model、optimization、walk_forward、portfolio、risk、backtest、metrics、report。</w:t>
            </w:r>
          </w:p>
        </w:tc>
      </w:tr>
      <w:tr>
        <w:trPr>
          <w:cantSplit/>
        </w:trPr>
        <w:tc>
          <w:tcPr>
            <w:tcW w:type="dxa" w:w="2160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tests</w:t>
            </w:r>
          </w:p>
        </w:tc>
        <w:tc>
          <w:tcPr>
            <w:tcW w:type="dxa" w:w="7488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features、labels、portfolio 與資料品質測試。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reports</w:t>
            </w:r>
          </w:p>
        </w:tc>
        <w:tc>
          <w:tcPr>
            <w:tcW w:type="dxa" w:w="74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performance.csv、factor_ic.csv 與一頁式 report.pdf。</w:t>
            </w:r>
          </w:p>
        </w:tc>
      </w:tr>
      <w:tr>
        <w:trPr>
          <w:cantSplit/>
        </w:trPr>
        <w:tc>
          <w:tcPr>
            <w:tcW w:type="dxa" w:w="2160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根目錄</w:t>
            </w:r>
          </w:p>
        </w:tc>
        <w:tc>
          <w:tcPr>
            <w:tcW w:type="dxa" w:w="7488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8"/>
              </w:rPr>
              <w:t>README.md、requirements.txt、config.yaml、app.py 與 GitHub workflow。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20" w:after="120" w:line="276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9"/>
        </w:rPr>
        <w:t>十三 測試 可追溯性與非功能需求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944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領域</w:t>
            </w:r>
          </w:p>
        </w:tc>
        <w:tc>
          <w:tcPr>
            <w:tcW w:type="dxa" w:w="7703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必要測試或控制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資料</w:t>
            </w:r>
          </w:p>
        </w:tc>
        <w:tc>
          <w:tcPr>
            <w:tcW w:type="dxa" w:w="770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缺值、重複資料、異常值、無效價格與資料結束日。</w:t>
            </w:r>
          </w:p>
        </w:tc>
      </w:tr>
      <w:tr>
        <w:trPr>
          <w:cantSplit/>
        </w:trPr>
        <w:tc>
          <w:tcPr>
            <w:tcW w:type="dxa" w:w="1944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特徵</w:t>
            </w:r>
          </w:p>
        </w:tc>
        <w:tc>
          <w:tcPr>
            <w:tcW w:type="dxa" w:w="7703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不可使用未來資料、同日期不可重複、財務資料必須通過 available_date 條件。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標籤</w:t>
            </w:r>
          </w:p>
        </w:tc>
        <w:tc>
          <w:tcPr>
            <w:tcW w:type="dxa" w:w="770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預測期必須為 20 個交易日，且不可與特徵或切割邊界洩漏。</w:t>
            </w:r>
          </w:p>
        </w:tc>
      </w:tr>
      <w:tr>
        <w:trPr>
          <w:cantSplit/>
        </w:trPr>
        <w:tc>
          <w:tcPr>
            <w:tcW w:type="dxa" w:w="1944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投組</w:t>
            </w:r>
          </w:p>
        </w:tc>
        <w:tc>
          <w:tcPr>
            <w:tcW w:type="dxa" w:w="7703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權重總和不超過 100%、個別權重不超過上限、不得有負權重。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執行</w:t>
            </w:r>
          </w:p>
        </w:tc>
        <w:tc>
          <w:tcPr>
            <w:tcW w:type="dxa" w:w="770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signal_date 必須早於 execution_date，訂單成本必須可追溯。</w:t>
            </w:r>
          </w:p>
        </w:tc>
      </w:tr>
      <w:tr>
        <w:trPr>
          <w:cantSplit/>
        </w:trPr>
        <w:tc>
          <w:tcPr>
            <w:tcW w:type="dxa" w:w="1944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可重現性</w:t>
            </w:r>
          </w:p>
        </w:tc>
        <w:tc>
          <w:tcPr>
            <w:tcW w:type="dxa" w:w="7703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固定 random_state，紀錄 XGBoost、sklearn、Optuna 版本，並保存 config 與 schema。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監控</w:t>
            </w:r>
          </w:p>
        </w:tc>
        <w:tc>
          <w:tcPr>
            <w:tcW w:type="dxa" w:w="770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每輪 run 寫入 run_id、run_time、data_end_date、model_version、feature_version、parameter_version、universe 與 positions 數量。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20" w:after="120" w:line="276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9"/>
        </w:rPr>
        <w:t>十四 開發計畫與優先級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800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階段</w:t>
            </w:r>
          </w:p>
        </w:tc>
        <w:tc>
          <w:tcPr>
            <w:tcW w:type="dxa" w:w="1655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5184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交付內容</w:t>
            </w:r>
          </w:p>
        </w:tc>
        <w:tc>
          <w:tcPr>
            <w:tcW w:type="dxa" w:w="1007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優先級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環境與資料</w:t>
            </w:r>
          </w:p>
        </w:tc>
        <w:tc>
          <w:tcPr>
            <w:tcW w:type="dxa" w:w="16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第 1 至 3 天</w:t>
            </w:r>
          </w:p>
        </w:tc>
        <w:tc>
          <w:tcPr>
            <w:tcW w:type="dxa" w:w="51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專案結構、Git、SQLite、FinMind 價格、財報與法人資料、Point-in-Time 欄位。</w:t>
            </w:r>
          </w:p>
        </w:tc>
        <w:tc>
          <w:tcPr>
            <w:tcW w:type="dxa" w:w="100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800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因子與標籤</w:t>
            </w:r>
          </w:p>
        </w:tc>
        <w:tc>
          <w:tcPr>
            <w:tcW w:type="dxa" w:w="1655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第 4 至 6 天</w:t>
            </w:r>
          </w:p>
        </w:tc>
        <w:tc>
          <w:tcPr>
            <w:tcW w:type="dxa" w:w="5184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Universe、15 至 30 因子、橫截面前處理、Label 與基準模型。</w:t>
            </w:r>
          </w:p>
        </w:tc>
        <w:tc>
          <w:tcPr>
            <w:tcW w:type="dxa" w:w="1007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模型與驗證</w:t>
            </w:r>
          </w:p>
        </w:tc>
        <w:tc>
          <w:tcPr>
            <w:tcW w:type="dxa" w:w="16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第 7 至 8 天</w:t>
            </w:r>
          </w:p>
        </w:tc>
        <w:tc>
          <w:tcPr>
            <w:tcW w:type="dxa" w:w="51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XGBoost、Optuna、Walk-forward、Purge 與 OOS 輸出。</w:t>
            </w:r>
          </w:p>
        </w:tc>
        <w:tc>
          <w:tcPr>
            <w:tcW w:type="dxa" w:w="100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800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投組與回測</w:t>
            </w:r>
          </w:p>
        </w:tc>
        <w:tc>
          <w:tcPr>
            <w:tcW w:type="dxa" w:w="1655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第 9 至 11 天</w:t>
            </w:r>
          </w:p>
        </w:tc>
        <w:tc>
          <w:tcPr>
            <w:tcW w:type="dxa" w:w="5184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Top 15、反波動、組合波動率、Regime、成本、VectorBT 與敏感度分析。</w:t>
            </w:r>
          </w:p>
        </w:tc>
        <w:tc>
          <w:tcPr>
            <w:tcW w:type="dxa" w:w="1007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展示與交付</w:t>
            </w:r>
          </w:p>
        </w:tc>
        <w:tc>
          <w:tcPr>
            <w:tcW w:type="dxa" w:w="16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第 12 至 14 天</w:t>
            </w:r>
          </w:p>
        </w:tc>
        <w:tc>
          <w:tcPr>
            <w:tcW w:type="dxa" w:w="51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Streamlit、SHAP、README、一頁式報告、Demo 與程式清理。</w:t>
            </w:r>
          </w:p>
        </w:tc>
        <w:tc>
          <w:tcPr>
            <w:tcW w:type="dxa" w:w="100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800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進階功能</w:t>
            </w:r>
          </w:p>
        </w:tc>
        <w:tc>
          <w:tcPr>
            <w:tcW w:type="dxa" w:w="1655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時間允許時</w:t>
            </w:r>
          </w:p>
        </w:tc>
        <w:tc>
          <w:tcPr>
            <w:tcW w:type="dxa" w:w="5184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Telegram、LLM 報告、Backtrader 對照、TXF Beta Hedge。</w:t>
            </w:r>
          </w:p>
        </w:tc>
        <w:tc>
          <w:tcPr>
            <w:tcW w:type="dxa" w:w="1007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P1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80" w:line="276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3"/>
        </w:rPr>
        <w:t>MVP 最小交付</w:t>
      </w:r>
    </w:p>
    <w:p>
      <w:pPr>
        <w:keepNext w:val="0"/>
        <w:spacing w:before="0" w:after="100" w:line="324" w:lineRule="auto"/>
      </w:pPr>
      <w:r>
        <w:rPr>
          <w:rFonts w:ascii="Microsoft JhengHei" w:hAnsi="Microsoft JhengHei" w:eastAsia="Microsoft JhengHei" w:cs="Microsoft JhengHei"/>
          <w:color w:val="1F2937"/>
          <w:sz w:val="20"/>
        </w:rPr>
        <w:t>MVP 必須包含 FinMind、SQLite、Point-in-Time 資料、15 至 30 個因子、XGBoost、Walk-forward、Top 15、反波動加權、組合波動率目標、交易成本、VectorBT 與 Streamlit。若時程不足，Backtrader、TXF Beta Hedge、Telegram、Gemini 與雲端自動化均可延期。</w:t>
      </w:r>
    </w:p>
    <w:p>
      <w:pPr>
        <w:pStyle w:val="Heading1"/>
        <w:keepNext/>
        <w:spacing w:before="320" w:after="120" w:line="276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9"/>
        </w:rPr>
        <w:t>十五 風險與研究限制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376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風險</w:t>
            </w:r>
          </w:p>
        </w:tc>
        <w:tc>
          <w:tcPr>
            <w:tcW w:type="dxa" w:w="7272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控制或揭露方式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Look ahead bias</w:t>
            </w:r>
          </w:p>
        </w:tc>
        <w:tc>
          <w:tcPr>
            <w:tcW w:type="dxa" w:w="72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以 available_date 為唯一資料可用依據，訊號與成交日分離。</w:t>
            </w:r>
          </w:p>
        </w:tc>
      </w:tr>
      <w:tr>
        <w:trPr>
          <w:cantSplit/>
        </w:trPr>
        <w:tc>
          <w:tcPr>
            <w:tcW w:type="dxa" w:w="2376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Survivorship bias</w:t>
            </w:r>
          </w:p>
        </w:tc>
        <w:tc>
          <w:tcPr>
            <w:tcW w:type="dxa" w:w="7272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以每個歷史 rebalance date 的實際可交易股票宇宙建構資料集。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交易成本低估</w:t>
            </w:r>
          </w:p>
        </w:tc>
        <w:tc>
          <w:tcPr>
            <w:tcW w:type="dxa" w:w="72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逐筆成本建模並提出滑價敏感度分析。</w:t>
            </w:r>
          </w:p>
        </w:tc>
      </w:tr>
      <w:tr>
        <w:trPr>
          <w:cantSplit/>
        </w:trPr>
        <w:tc>
          <w:tcPr>
            <w:tcW w:type="dxa" w:w="2376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參數過度最佳化</w:t>
            </w:r>
          </w:p>
        </w:tc>
        <w:tc>
          <w:tcPr>
            <w:tcW w:type="dxa" w:w="7272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Top N、濾網與模型皆做敏感度或 ablation，Test 不參與選參。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產業相關性</w:t>
            </w:r>
          </w:p>
        </w:tc>
        <w:tc>
          <w:tcPr>
            <w:tcW w:type="dxa" w:w="72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使用協方差矩陣估算投組波動，避免只看個股波動。</w:t>
            </w:r>
          </w:p>
        </w:tc>
      </w:tr>
      <w:tr>
        <w:trPr>
          <w:cantSplit/>
        </w:trPr>
        <w:tc>
          <w:tcPr>
            <w:tcW w:type="dxa" w:w="2376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樣本數誤讀</w:t>
            </w:r>
          </w:p>
        </w:tc>
        <w:tc>
          <w:tcPr>
            <w:tcW w:type="dxa" w:w="7272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以月度時間切割評估，說明股票橫截面資料並非完全獨立樣本。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策略不可直接實盤</w:t>
            </w:r>
          </w:p>
        </w:tc>
        <w:tc>
          <w:tcPr>
            <w:tcW w:type="dxa" w:w="72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7"/>
              </w:rPr>
              <w:t>主策略只產生研究與模擬訊號；未包含直接下單、做空與融券管理。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20" w:after="120" w:line="276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9"/>
        </w:rPr>
        <w:t>十六 驗收與面試交付</w:t>
      </w:r>
    </w:p>
    <w:p>
      <w:pPr>
        <w:pStyle w:val="ListBullet"/>
        <w:keepNext w:val="0"/>
        <w:spacing w:before="0" w:after="40" w:line="300" w:lineRule="auto"/>
      </w:pPr>
      <w:r>
        <w:rPr>
          <w:rFonts w:ascii="Microsoft JhengHei" w:hAnsi="Microsoft JhengHei" w:eastAsia="Microsoft JhengHei" w:cs="Microsoft JhengHei"/>
          <w:color w:val="1F2937"/>
          <w:sz w:val="20"/>
        </w:rPr>
        <w:t>GitHub 原始碼、README、研究筆記、requirements.txt、config.yaml 與 schema.sql。</w:t>
      </w:r>
    </w:p>
    <w:p>
      <w:pPr>
        <w:pStyle w:val="ListBullet"/>
        <w:keepNext w:val="0"/>
        <w:spacing w:before="0" w:after="40" w:line="300" w:lineRule="auto"/>
      </w:pPr>
      <w:r>
        <w:rPr>
          <w:rFonts w:ascii="Microsoft JhengHei" w:hAnsi="Microsoft JhengHei" w:eastAsia="Microsoft JhengHei" w:cs="Microsoft JhengHei"/>
          <w:color w:val="1F2937"/>
          <w:sz w:val="20"/>
        </w:rPr>
        <w:t>可操作的 Streamlit Dashboard，能展示 OOS 績效、持股、模型與風險。</w:t>
      </w:r>
    </w:p>
    <w:p>
      <w:pPr>
        <w:pStyle w:val="ListBullet"/>
        <w:keepNext w:val="0"/>
        <w:spacing w:before="0" w:after="40" w:line="300" w:lineRule="auto"/>
      </w:pPr>
      <w:r>
        <w:rPr>
          <w:rFonts w:ascii="Microsoft JhengHei" w:hAnsi="Microsoft JhengHei" w:eastAsia="Microsoft JhengHei" w:cs="Microsoft JhengHei"/>
          <w:color w:val="1F2937"/>
          <w:sz w:val="20"/>
        </w:rPr>
        <w:t>一頁 A4 PDF，摘要策略、資料、模型、風險、OOS 績效、成本、主要發現與限制。</w:t>
      </w:r>
    </w:p>
    <w:p>
      <w:pPr>
        <w:pStyle w:val="ListBullet"/>
        <w:keepNext w:val="0"/>
        <w:spacing w:before="0" w:after="40" w:line="300" w:lineRule="auto"/>
      </w:pPr>
      <w:r>
        <w:rPr>
          <w:rFonts w:ascii="Microsoft JhengHei" w:hAnsi="Microsoft JhengHei" w:eastAsia="Microsoft JhengHei" w:cs="Microsoft JhengHei"/>
          <w:color w:val="1F2937"/>
          <w:sz w:val="20"/>
        </w:rPr>
        <w:t>3 至 5 分鐘 Demo，依序說明 Data、Feature、XGBoost、Portfolio、Risk、Backtest 與 Dashboard。</w:t>
      </w:r>
    </w:p>
    <w:p>
      <w:pPr>
        <w:pStyle w:val="Heading2"/>
        <w:keepNext/>
        <w:spacing w:before="200" w:after="80" w:line="276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3"/>
        </w:rPr>
        <w:t>最後需要回答的研究問題</w:t>
      </w:r>
    </w:p>
    <w:p>
      <w:pPr>
        <w:pStyle w:val="ListNumber"/>
        <w:keepNext w:val="0"/>
        <w:spacing w:before="0" w:after="40" w:line="300" w:lineRule="auto"/>
      </w:pPr>
      <w:r>
        <w:rPr>
          <w:rFonts w:ascii="Microsoft JhengHei" w:hAnsi="Microsoft JhengHei" w:eastAsia="Microsoft JhengHei" w:cs="Microsoft JhengHei"/>
          <w:color w:val="1F2937"/>
          <w:sz w:val="20"/>
        </w:rPr>
        <w:t>多因子是否能預測未來 20 日的股票橫截面排名。</w:t>
      </w:r>
    </w:p>
    <w:p>
      <w:pPr>
        <w:pStyle w:val="ListNumber"/>
        <w:keepNext w:val="0"/>
        <w:spacing w:before="0" w:after="40" w:line="300" w:lineRule="auto"/>
      </w:pPr>
      <w:r>
        <w:rPr>
          <w:rFonts w:ascii="Microsoft JhengHei" w:hAnsi="Microsoft JhengHei" w:eastAsia="Microsoft JhengHei" w:cs="Microsoft JhengHei"/>
          <w:color w:val="1F2937"/>
          <w:sz w:val="20"/>
        </w:rPr>
        <w:t>XGBoost 是否相較簡單因子排名與線性模型具有增量價值。</w:t>
      </w:r>
    </w:p>
    <w:p>
      <w:pPr>
        <w:pStyle w:val="ListNumber"/>
        <w:keepNext w:val="0"/>
        <w:spacing w:before="0" w:after="40" w:line="300" w:lineRule="auto"/>
      </w:pPr>
      <w:r>
        <w:rPr>
          <w:rFonts w:ascii="Microsoft JhengHei" w:hAnsi="Microsoft JhengHei" w:eastAsia="Microsoft JhengHei" w:cs="Microsoft JhengHei"/>
          <w:color w:val="1F2937"/>
          <w:sz w:val="20"/>
        </w:rPr>
        <w:t>訊號是否能轉換為考慮成本與換手率後仍可交易的 Top 15 投組。</w:t>
      </w:r>
    </w:p>
    <w:p>
      <w:pPr>
        <w:pStyle w:val="ListNumber"/>
        <w:keepNext w:val="0"/>
        <w:spacing w:before="0" w:after="40" w:line="300" w:lineRule="auto"/>
      </w:pPr>
      <w:r>
        <w:rPr>
          <w:rFonts w:ascii="Microsoft JhengHei" w:hAnsi="Microsoft JhengHei" w:eastAsia="Microsoft JhengHei" w:cs="Microsoft JhengHei"/>
          <w:color w:val="1F2937"/>
          <w:sz w:val="20"/>
        </w:rPr>
        <w:t>組合波動率控制與市場濾網是否改善風險調整後績效。</w:t>
      </w:r>
    </w:p>
    <w:p>
      <w:pPr>
        <w:pStyle w:val="ListNumber"/>
        <w:keepNext w:val="0"/>
        <w:spacing w:before="0" w:after="40" w:line="300" w:lineRule="auto"/>
      </w:pPr>
      <w:r>
        <w:rPr>
          <w:rFonts w:ascii="Microsoft JhengHei" w:hAnsi="Microsoft JhengHei" w:eastAsia="Microsoft JhengHei" w:cs="Microsoft JhengHei"/>
          <w:color w:val="1F2937"/>
          <w:sz w:val="20"/>
        </w:rPr>
        <w:t>策略是否在不同 Top N、滑價假設、因子組合與時間 Fold 下維持合理一致性。</w:t>
      </w:r>
    </w:p>
    <w:p>
      <w:r>
        <w:br w:type="page"/>
      </w:r>
    </w:p>
    <w:p>
      <w:pPr>
        <w:pStyle w:val="Heading1"/>
        <w:keepNext/>
        <w:spacing w:before="320" w:after="120" w:line="276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9"/>
        </w:rPr>
        <w:t>附錄 因子字典</w:t>
      </w:r>
    </w:p>
    <w:p>
      <w:pPr>
        <w:keepNext w:val="0"/>
        <w:spacing w:before="0" w:after="160" w:line="324" w:lineRule="auto"/>
      </w:pPr>
      <w:r>
        <w:rPr>
          <w:rFonts w:ascii="Microsoft JhengHei" w:hAnsi="Microsoft JhengHei" w:eastAsia="Microsoft JhengHei" w:cs="Microsoft JhengHei"/>
          <w:color w:val="1F2937"/>
          <w:sz w:val="20"/>
        </w:rPr>
        <w:t>下表列出首版預計實作的 30 個因子。所有財務與籌碼因子均受 Point-in-Time 規則約束。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691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序號</w:t>
            </w:r>
          </w:p>
        </w:tc>
        <w:tc>
          <w:tcPr>
            <w:tcW w:type="dxa" w:w="1944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群組</w:t>
            </w:r>
          </w:p>
        </w:tc>
        <w:tc>
          <w:tcPr>
            <w:tcW w:type="dxa" w:w="2951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因子</w:t>
            </w:r>
          </w:p>
        </w:tc>
        <w:tc>
          <w:tcPr>
            <w:tcW w:type="dxa" w:w="4060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定義</w:t>
            </w:r>
          </w:p>
        </w:tc>
      </w:tr>
      <w:tr>
        <w:trPr>
          <w:cantSplit/>
        </w:trPr>
        <w:tc>
          <w:tcPr>
            <w:tcW w:type="dxa" w:w="69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動能與技術</w:t>
            </w:r>
          </w:p>
        </w:tc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Momentum 20D</w:t>
            </w:r>
          </w:p>
        </w:tc>
        <w:tc>
          <w:tcPr>
            <w:tcW w:type="dxa" w:w="40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近 20 個交易日累計報酬。</w:t>
            </w:r>
          </w:p>
        </w:tc>
      </w:tr>
      <w:tr>
        <w:trPr>
          <w:cantSplit/>
        </w:trPr>
        <w:tc>
          <w:tcPr>
            <w:tcW w:type="dxa" w:w="691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2</w:t>
            </w:r>
          </w:p>
        </w:tc>
        <w:tc>
          <w:tcPr>
            <w:tcW w:type="dxa" w:w="1944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動能與技術</w:t>
            </w:r>
          </w:p>
        </w:tc>
        <w:tc>
          <w:tcPr>
            <w:tcW w:type="dxa" w:w="2951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Momentum 60D</w:t>
            </w:r>
          </w:p>
        </w:tc>
        <w:tc>
          <w:tcPr>
            <w:tcW w:type="dxa" w:w="4060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近 60 個交易日累計報酬。</w:t>
            </w:r>
          </w:p>
        </w:tc>
      </w:tr>
      <w:tr>
        <w:trPr>
          <w:cantSplit/>
        </w:trPr>
        <w:tc>
          <w:tcPr>
            <w:tcW w:type="dxa" w:w="69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3</w:t>
            </w:r>
          </w:p>
        </w:tc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動能與技術</w:t>
            </w:r>
          </w:p>
        </w:tc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Momentum 120D</w:t>
            </w:r>
          </w:p>
        </w:tc>
        <w:tc>
          <w:tcPr>
            <w:tcW w:type="dxa" w:w="40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近 120 個交易日累計報酬。</w:t>
            </w:r>
          </w:p>
        </w:tc>
      </w:tr>
      <w:tr>
        <w:trPr>
          <w:cantSplit/>
        </w:trPr>
        <w:tc>
          <w:tcPr>
            <w:tcW w:type="dxa" w:w="691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4</w:t>
            </w:r>
          </w:p>
        </w:tc>
        <w:tc>
          <w:tcPr>
            <w:tcW w:type="dxa" w:w="1944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動能與技術</w:t>
            </w:r>
          </w:p>
        </w:tc>
        <w:tc>
          <w:tcPr>
            <w:tcW w:type="dxa" w:w="2951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Momentum 20D ex 5D</w:t>
            </w:r>
          </w:p>
        </w:tc>
        <w:tc>
          <w:tcPr>
            <w:tcW w:type="dxa" w:w="4060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扣除最近 5 日的 20 日動能。</w:t>
            </w:r>
          </w:p>
        </w:tc>
      </w:tr>
      <w:tr>
        <w:trPr>
          <w:cantSplit/>
        </w:trPr>
        <w:tc>
          <w:tcPr>
            <w:tcW w:type="dxa" w:w="69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5</w:t>
            </w:r>
          </w:p>
        </w:tc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動能與技術</w:t>
            </w:r>
          </w:p>
        </w:tc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MA20 MA60 Gap</w:t>
            </w:r>
          </w:p>
        </w:tc>
        <w:tc>
          <w:tcPr>
            <w:tcW w:type="dxa" w:w="40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MA20 除以 MA60 減 1。</w:t>
            </w:r>
          </w:p>
        </w:tc>
      </w:tr>
      <w:tr>
        <w:trPr>
          <w:cantSplit/>
        </w:trPr>
        <w:tc>
          <w:tcPr>
            <w:tcW w:type="dxa" w:w="691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6</w:t>
            </w:r>
          </w:p>
        </w:tc>
        <w:tc>
          <w:tcPr>
            <w:tcW w:type="dxa" w:w="1944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動能與技術</w:t>
            </w:r>
          </w:p>
        </w:tc>
        <w:tc>
          <w:tcPr>
            <w:tcW w:type="dxa" w:w="2951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RSI14</w:t>
            </w:r>
          </w:p>
        </w:tc>
        <w:tc>
          <w:tcPr>
            <w:tcW w:type="dxa" w:w="4060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14 日相對強弱指標。</w:t>
            </w:r>
          </w:p>
        </w:tc>
      </w:tr>
      <w:tr>
        <w:trPr>
          <w:cantSplit/>
        </w:trPr>
        <w:tc>
          <w:tcPr>
            <w:tcW w:type="dxa" w:w="69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7</w:t>
            </w:r>
          </w:p>
        </w:tc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動能與技術</w:t>
            </w:r>
          </w:p>
        </w:tc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Price MA20 Gap</w:t>
            </w:r>
          </w:p>
        </w:tc>
        <w:tc>
          <w:tcPr>
            <w:tcW w:type="dxa" w:w="40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收盤價除以 MA20 減 1。</w:t>
            </w:r>
          </w:p>
        </w:tc>
      </w:tr>
      <w:tr>
        <w:trPr>
          <w:cantSplit/>
        </w:trPr>
        <w:tc>
          <w:tcPr>
            <w:tcW w:type="dxa" w:w="691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8</w:t>
            </w:r>
          </w:p>
        </w:tc>
        <w:tc>
          <w:tcPr>
            <w:tcW w:type="dxa" w:w="1944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動能與技術</w:t>
            </w:r>
          </w:p>
        </w:tc>
        <w:tc>
          <w:tcPr>
            <w:tcW w:type="dxa" w:w="2951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Volume MA20 MA60</w:t>
            </w:r>
          </w:p>
        </w:tc>
        <w:tc>
          <w:tcPr>
            <w:tcW w:type="dxa" w:w="4060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20 日均量除以 60 日均量。</w:t>
            </w:r>
          </w:p>
        </w:tc>
      </w:tr>
      <w:tr>
        <w:trPr>
          <w:cantSplit/>
        </w:trPr>
        <w:tc>
          <w:tcPr>
            <w:tcW w:type="dxa" w:w="69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9</w:t>
            </w:r>
          </w:p>
        </w:tc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價值</w:t>
            </w:r>
          </w:p>
        </w:tc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Earnings Yield</w:t>
            </w:r>
          </w:p>
        </w:tc>
        <w:tc>
          <w:tcPr>
            <w:tcW w:type="dxa" w:w="40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本益比倒數。</w:t>
            </w:r>
          </w:p>
        </w:tc>
      </w:tr>
      <w:tr>
        <w:trPr>
          <w:cantSplit/>
        </w:trPr>
        <w:tc>
          <w:tcPr>
            <w:tcW w:type="dxa" w:w="691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10</w:t>
            </w:r>
          </w:p>
        </w:tc>
        <w:tc>
          <w:tcPr>
            <w:tcW w:type="dxa" w:w="1944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價值</w:t>
            </w:r>
          </w:p>
        </w:tc>
        <w:tc>
          <w:tcPr>
            <w:tcW w:type="dxa" w:w="2951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Book to Market</w:t>
            </w:r>
          </w:p>
        </w:tc>
        <w:tc>
          <w:tcPr>
            <w:tcW w:type="dxa" w:w="4060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股價淨值比倒數。</w:t>
            </w:r>
          </w:p>
        </w:tc>
      </w:tr>
      <w:tr>
        <w:trPr>
          <w:cantSplit/>
        </w:trPr>
        <w:tc>
          <w:tcPr>
            <w:tcW w:type="dxa" w:w="69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11</w:t>
            </w:r>
          </w:p>
        </w:tc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價值</w:t>
            </w:r>
          </w:p>
        </w:tc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Sales Yield</w:t>
            </w:r>
          </w:p>
        </w:tc>
        <w:tc>
          <w:tcPr>
            <w:tcW w:type="dxa" w:w="40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股價營收比倒數。</w:t>
            </w:r>
          </w:p>
        </w:tc>
      </w:tr>
      <w:tr>
        <w:trPr>
          <w:cantSplit/>
        </w:trPr>
        <w:tc>
          <w:tcPr>
            <w:tcW w:type="dxa" w:w="691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12</w:t>
            </w:r>
          </w:p>
        </w:tc>
        <w:tc>
          <w:tcPr>
            <w:tcW w:type="dxa" w:w="1944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價值</w:t>
            </w:r>
          </w:p>
        </w:tc>
        <w:tc>
          <w:tcPr>
            <w:tcW w:type="dxa" w:w="2951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Dividend Yield</w:t>
            </w:r>
          </w:p>
        </w:tc>
        <w:tc>
          <w:tcPr>
            <w:tcW w:type="dxa" w:w="4060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近 12 個月現金股利除以股價。</w:t>
            </w:r>
          </w:p>
        </w:tc>
      </w:tr>
      <w:tr>
        <w:trPr>
          <w:cantSplit/>
        </w:trPr>
        <w:tc>
          <w:tcPr>
            <w:tcW w:type="dxa" w:w="69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13</w:t>
            </w:r>
          </w:p>
        </w:tc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品質與成長</w:t>
            </w:r>
          </w:p>
        </w:tc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ROE</w:t>
            </w:r>
          </w:p>
        </w:tc>
        <w:tc>
          <w:tcPr>
            <w:tcW w:type="dxa" w:w="40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近四季稅後淨利除以平均股東權益。</w:t>
            </w:r>
          </w:p>
        </w:tc>
      </w:tr>
      <w:tr>
        <w:trPr>
          <w:cantSplit/>
        </w:trPr>
        <w:tc>
          <w:tcPr>
            <w:tcW w:type="dxa" w:w="691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14</w:t>
            </w:r>
          </w:p>
        </w:tc>
        <w:tc>
          <w:tcPr>
            <w:tcW w:type="dxa" w:w="1944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品質與成長</w:t>
            </w:r>
          </w:p>
        </w:tc>
        <w:tc>
          <w:tcPr>
            <w:tcW w:type="dxa" w:w="2951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ROA</w:t>
            </w:r>
          </w:p>
        </w:tc>
        <w:tc>
          <w:tcPr>
            <w:tcW w:type="dxa" w:w="4060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近四季稅後淨利除以平均總資產。</w:t>
            </w:r>
          </w:p>
        </w:tc>
      </w:tr>
      <w:tr>
        <w:trPr>
          <w:cantSplit/>
        </w:trPr>
        <w:tc>
          <w:tcPr>
            <w:tcW w:type="dxa" w:w="69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15</w:t>
            </w:r>
          </w:p>
        </w:tc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品質與成長</w:t>
            </w:r>
          </w:p>
        </w:tc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Revenue YoY</w:t>
            </w:r>
          </w:p>
        </w:tc>
        <w:tc>
          <w:tcPr>
            <w:tcW w:type="dxa" w:w="40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本月營收年增率。</w:t>
            </w:r>
          </w:p>
        </w:tc>
      </w:tr>
      <w:tr>
        <w:trPr>
          <w:cantSplit/>
        </w:trPr>
        <w:tc>
          <w:tcPr>
            <w:tcW w:type="dxa" w:w="691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16</w:t>
            </w:r>
          </w:p>
        </w:tc>
        <w:tc>
          <w:tcPr>
            <w:tcW w:type="dxa" w:w="1944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品質與成長</w:t>
            </w:r>
          </w:p>
        </w:tc>
        <w:tc>
          <w:tcPr>
            <w:tcW w:type="dxa" w:w="2951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Operating Income QoQ</w:t>
            </w:r>
          </w:p>
        </w:tc>
        <w:tc>
          <w:tcPr>
            <w:tcW w:type="dxa" w:w="4060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單季營業利益季增率。</w:t>
            </w:r>
          </w:p>
        </w:tc>
      </w:tr>
      <w:tr>
        <w:trPr>
          <w:cantSplit/>
        </w:trPr>
        <w:tc>
          <w:tcPr>
            <w:tcW w:type="dxa" w:w="69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17</w:t>
            </w:r>
          </w:p>
        </w:tc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品質與成長</w:t>
            </w:r>
          </w:p>
        </w:tc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Accrual Assets</w:t>
            </w:r>
          </w:p>
        </w:tc>
        <w:tc>
          <w:tcPr>
            <w:tcW w:type="dxa" w:w="40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稅後淨利減營業現金流後除以總資產。</w:t>
            </w:r>
          </w:p>
        </w:tc>
      </w:tr>
      <w:tr>
        <w:trPr>
          <w:cantSplit/>
        </w:trPr>
        <w:tc>
          <w:tcPr>
            <w:tcW w:type="dxa" w:w="691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18</w:t>
            </w:r>
          </w:p>
        </w:tc>
        <w:tc>
          <w:tcPr>
            <w:tcW w:type="dxa" w:w="1944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風險</w:t>
            </w:r>
          </w:p>
        </w:tc>
        <w:tc>
          <w:tcPr>
            <w:tcW w:type="dxa" w:w="2951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Volatility 60D</w:t>
            </w:r>
          </w:p>
        </w:tc>
        <w:tc>
          <w:tcPr>
            <w:tcW w:type="dxa" w:w="4060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60 日日報酬年化波動率。</w:t>
            </w:r>
          </w:p>
        </w:tc>
      </w:tr>
      <w:tr>
        <w:trPr>
          <w:cantSplit/>
        </w:trPr>
        <w:tc>
          <w:tcPr>
            <w:tcW w:type="dxa" w:w="69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19</w:t>
            </w:r>
          </w:p>
        </w:tc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風險</w:t>
            </w:r>
          </w:p>
        </w:tc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Beta 60D</w:t>
            </w:r>
          </w:p>
        </w:tc>
        <w:tc>
          <w:tcPr>
            <w:tcW w:type="dxa" w:w="40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個股報酬對大盤報酬的 60 日 Beta。</w:t>
            </w:r>
          </w:p>
        </w:tc>
      </w:tr>
      <w:tr>
        <w:trPr>
          <w:cantSplit/>
        </w:trPr>
        <w:tc>
          <w:tcPr>
            <w:tcW w:type="dxa" w:w="691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20</w:t>
            </w:r>
          </w:p>
        </w:tc>
        <w:tc>
          <w:tcPr>
            <w:tcW w:type="dxa" w:w="1944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風險</w:t>
            </w:r>
          </w:p>
        </w:tc>
        <w:tc>
          <w:tcPr>
            <w:tcW w:type="dxa" w:w="2951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Max Drawdown 120D</w:t>
            </w:r>
          </w:p>
        </w:tc>
        <w:tc>
          <w:tcPr>
            <w:tcW w:type="dxa" w:w="4060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120 日最大回撤。</w:t>
            </w:r>
          </w:p>
        </w:tc>
      </w:tr>
      <w:tr>
        <w:trPr>
          <w:cantSplit/>
        </w:trPr>
        <w:tc>
          <w:tcPr>
            <w:tcW w:type="dxa" w:w="69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21</w:t>
            </w:r>
          </w:p>
        </w:tc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風險</w:t>
            </w:r>
          </w:p>
        </w:tc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Turnover 60D</w:t>
            </w:r>
          </w:p>
        </w:tc>
        <w:tc>
          <w:tcPr>
            <w:tcW w:type="dxa" w:w="40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60 日平均周轉率。</w:t>
            </w:r>
          </w:p>
        </w:tc>
      </w:tr>
      <w:tr>
        <w:trPr>
          <w:cantSplit/>
        </w:trPr>
        <w:tc>
          <w:tcPr>
            <w:tcW w:type="dxa" w:w="691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22</w:t>
            </w:r>
          </w:p>
        </w:tc>
        <w:tc>
          <w:tcPr>
            <w:tcW w:type="dxa" w:w="1944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法人與籌碼</w:t>
            </w:r>
          </w:p>
        </w:tc>
        <w:tc>
          <w:tcPr>
            <w:tcW w:type="dxa" w:w="2951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Foreign Net Buy Float</w:t>
            </w:r>
          </w:p>
        </w:tc>
        <w:tc>
          <w:tcPr>
            <w:tcW w:type="dxa" w:w="4060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20 日外資買賣超除以流通股。</w:t>
            </w:r>
          </w:p>
        </w:tc>
      </w:tr>
      <w:tr>
        <w:trPr>
          <w:cantSplit/>
        </w:trPr>
        <w:tc>
          <w:tcPr>
            <w:tcW w:type="dxa" w:w="69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23</w:t>
            </w:r>
          </w:p>
        </w:tc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法人與籌碼</w:t>
            </w:r>
          </w:p>
        </w:tc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Trust Net Buy Float</w:t>
            </w:r>
          </w:p>
        </w:tc>
        <w:tc>
          <w:tcPr>
            <w:tcW w:type="dxa" w:w="40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20 日投信買賣超除以流通股。</w:t>
            </w:r>
          </w:p>
        </w:tc>
      </w:tr>
      <w:tr>
        <w:trPr>
          <w:cantSplit/>
        </w:trPr>
        <w:tc>
          <w:tcPr>
            <w:tcW w:type="dxa" w:w="691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24</w:t>
            </w:r>
          </w:p>
        </w:tc>
        <w:tc>
          <w:tcPr>
            <w:tcW w:type="dxa" w:w="1944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法人與籌碼</w:t>
            </w:r>
          </w:p>
        </w:tc>
        <w:tc>
          <w:tcPr>
            <w:tcW w:type="dxa" w:w="2951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Margin Balance Change</w:t>
            </w:r>
          </w:p>
        </w:tc>
        <w:tc>
          <w:tcPr>
            <w:tcW w:type="dxa" w:w="4060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20 日融資餘額變化率。</w:t>
            </w:r>
          </w:p>
        </w:tc>
      </w:tr>
      <w:tr>
        <w:trPr>
          <w:cantSplit/>
        </w:trPr>
        <w:tc>
          <w:tcPr>
            <w:tcW w:type="dxa" w:w="69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25</w:t>
            </w:r>
          </w:p>
        </w:tc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法人與籌碼</w:t>
            </w:r>
          </w:p>
        </w:tc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Close 60D High</w:t>
            </w:r>
          </w:p>
        </w:tc>
        <w:tc>
          <w:tcPr>
            <w:tcW w:type="dxa" w:w="40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收盤價除以 60 日最高價。</w:t>
            </w:r>
          </w:p>
        </w:tc>
      </w:tr>
      <w:tr>
        <w:trPr>
          <w:cantSplit/>
        </w:trPr>
        <w:tc>
          <w:tcPr>
            <w:tcW w:type="dxa" w:w="691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26</w:t>
            </w:r>
          </w:p>
        </w:tc>
        <w:tc>
          <w:tcPr>
            <w:tcW w:type="dxa" w:w="1944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規模與流動性</w:t>
            </w:r>
          </w:p>
        </w:tc>
        <w:tc>
          <w:tcPr>
            <w:tcW w:type="dxa" w:w="2951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Log Market Cap</w:t>
            </w:r>
          </w:p>
        </w:tc>
        <w:tc>
          <w:tcPr>
            <w:tcW w:type="dxa" w:w="4060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總市值取自然對數。</w:t>
            </w:r>
          </w:p>
        </w:tc>
      </w:tr>
      <w:tr>
        <w:trPr>
          <w:cantSplit/>
        </w:trPr>
        <w:tc>
          <w:tcPr>
            <w:tcW w:type="dxa" w:w="69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27</w:t>
            </w:r>
          </w:p>
        </w:tc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規模與流動性</w:t>
            </w:r>
          </w:p>
        </w:tc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Amihud Illiquidity</w:t>
            </w:r>
          </w:p>
        </w:tc>
        <w:tc>
          <w:tcPr>
            <w:tcW w:type="dxa" w:w="40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報酬絕對值除以成交金額的平均值。</w:t>
            </w:r>
          </w:p>
        </w:tc>
      </w:tr>
      <w:tr>
        <w:trPr>
          <w:cantSplit/>
        </w:trPr>
        <w:tc>
          <w:tcPr>
            <w:tcW w:type="dxa" w:w="691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28</w:t>
            </w:r>
          </w:p>
        </w:tc>
        <w:tc>
          <w:tcPr>
            <w:tcW w:type="dxa" w:w="1944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補充</w:t>
            </w:r>
          </w:p>
        </w:tc>
        <w:tc>
          <w:tcPr>
            <w:tcW w:type="dxa" w:w="2951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Short Margin Ratio</w:t>
            </w:r>
          </w:p>
        </w:tc>
        <w:tc>
          <w:tcPr>
            <w:tcW w:type="dxa" w:w="4060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融券餘額除以融資餘額。</w:t>
            </w:r>
          </w:p>
        </w:tc>
      </w:tr>
      <w:tr>
        <w:trPr>
          <w:cantSplit/>
        </w:trPr>
        <w:tc>
          <w:tcPr>
            <w:tcW w:type="dxa" w:w="69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29</w:t>
            </w:r>
          </w:p>
        </w:tc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補充</w:t>
            </w:r>
          </w:p>
        </w:tc>
        <w:tc>
          <w:tcPr>
            <w:tcW w:type="dxa" w:w="295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Operating Margin</w:t>
            </w:r>
          </w:p>
        </w:tc>
        <w:tc>
          <w:tcPr>
            <w:tcW w:type="dxa" w:w="40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營業利益除以營業收入。</w:t>
            </w:r>
          </w:p>
        </w:tc>
      </w:tr>
      <w:tr>
        <w:trPr>
          <w:cantSplit/>
        </w:trPr>
        <w:tc>
          <w:tcPr>
            <w:tcW w:type="dxa" w:w="691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30</w:t>
            </w:r>
          </w:p>
        </w:tc>
        <w:tc>
          <w:tcPr>
            <w:tcW w:type="dxa" w:w="1944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補充</w:t>
            </w:r>
          </w:p>
        </w:tc>
        <w:tc>
          <w:tcPr>
            <w:tcW w:type="dxa" w:w="2951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Revenue MoM</w:t>
            </w:r>
          </w:p>
        </w:tc>
        <w:tc>
          <w:tcPr>
            <w:tcW w:type="dxa" w:w="4060"/>
            <w:shd w:fill="F4F8FB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1F2937"/>
                <w:sz w:val="15"/>
              </w:rPr>
              <w:t>本月營收月增率。</w:t>
            </w:r>
          </w:p>
        </w:tc>
      </w:tr>
    </w:tbl>
    <w:p>
      <w:pPr>
        <w:spacing w:after="20"/>
      </w:pPr>
    </w:p>
    <w:sectPr w:rsidR="00FC693F" w:rsidRPr="0006063C" w:rsidSect="00034616"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360" w:hanging="230"/>
      <w:contextualSpacing/>
    </w:pPr>
    <w:rPr>
      <w:rFonts w:ascii="Microsoft JhengHei" w:hAnsi="Microsoft JhengHei" w:eastAsia="Microsoft Jheng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432" w:hanging="259"/>
      <w:contextualSpacing/>
    </w:pPr>
    <w:rPr>
      <w:rFonts w:ascii="Microsoft JhengHei" w:hAnsi="Microsoft JhengHei" w:eastAsia="Microsoft JhengHe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台股多因子 XGBoost 輪動與波動率風控量化交易系統 PRD</dc:title>
  <dc:subject>產品需求文件</dc:subject>
  <dc:creator>專案團隊</dc:creator>
  <cp:keywords/>
  <dc:description>v1.0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