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3E1635A0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«Заказчик»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в лице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autozamena_005 autozamena_007,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действующего на основании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autozamena_009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с одной стороны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ООО «Спецэнергоразвитие»,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«Исполнитель»,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в лице Директора </w:t>
      </w:r>
      <w:bookmarkStart w:id="0" w:name="_GoBack"/>
      <w:bookmarkEnd w:id="0"/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203EAD47" w14:textId="621FEE0C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761659">
              <w:rPr>
                <w:rFonts w:ascii="Times New Roman" w:hAnsi="Times New Roman" w:cs="Times New Roman"/>
                <w:b/>
                <w:sz w:val="16"/>
                <w:szCs w:val="16"/>
              </w:rPr>
              <w:t>начала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 обслуживания</w:t>
            </w:r>
          </w:p>
        </w:tc>
        <w:tc>
          <w:tcPr>
            <w:tcW w:w="30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16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761659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1659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671ABB-DBD9-43AC-AE3C-AB8D2661F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29</Pages>
  <Words>10902</Words>
  <Characters>62142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7</cp:revision>
  <dcterms:created xsi:type="dcterms:W3CDTF">2026-08-14T11:48:00Z</dcterms:created>
  <dcterms:modified xsi:type="dcterms:W3CDTF">2026-08-25T14:04:00Z</dcterms:modified>
</cp:coreProperties>
</file>