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01369"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GF—2000—0801</w:t>
      </w:r>
    </w:p>
    <w:p w14:paraId="0D85DCFC">
      <w:pPr>
        <w:pStyle w:val="2"/>
        <w:jc w:val="left"/>
        <w:rPr>
          <w:rFonts w:ascii="Times New Roman"/>
          <w:b/>
          <w:sz w:val="20"/>
        </w:rPr>
      </w:pPr>
    </w:p>
    <w:p w14:paraId="7829B526">
      <w:pPr>
        <w:pStyle w:val="2"/>
        <w:spacing w:before="8"/>
        <w:jc w:val="left"/>
        <w:rPr>
          <w:rFonts w:ascii="Times New Roman"/>
          <w:b/>
          <w:sz w:val="27"/>
        </w:rPr>
      </w:pPr>
    </w:p>
    <w:p w14:paraId="288D5EB2">
      <w:pPr>
        <w:spacing w:before="0" w:line="577" w:lineRule="exact"/>
        <w:ind w:left="3795" w:right="3795" w:firstLine="0"/>
        <w:jc w:val="center"/>
        <w:rPr>
          <w:rFonts w:hint="eastAsia" w:ascii="方正小标宋_GBK" w:eastAsia="方正小标宋_GBK"/>
          <w:sz w:val="40"/>
        </w:rPr>
      </w:pPr>
      <w:r>
        <w:rPr>
          <w:rFonts w:hint="eastAsia" w:ascii="方正小标宋_GBK" w:eastAsia="方正小标宋_GBK"/>
          <w:color w:val="231F20"/>
          <w:sz w:val="40"/>
        </w:rPr>
        <w:t>保管合同</w:t>
      </w:r>
    </w:p>
    <w:p w14:paraId="180917BD">
      <w:pPr>
        <w:spacing w:before="152"/>
        <w:ind w:left="3795" w:right="3795" w:firstLine="0"/>
        <w:jc w:val="center"/>
        <w:rPr>
          <w:rFonts w:hint="eastAsia" w:ascii="方正楷体_GBK" w:eastAsia="方正楷体_GBK"/>
          <w:sz w:val="28"/>
        </w:rPr>
      </w:pPr>
      <w:r>
        <w:rPr>
          <w:rFonts w:hint="eastAsia" w:ascii="方正楷体_GBK" w:eastAsia="方正楷体_GBK"/>
          <w:color w:val="231F20"/>
          <w:sz w:val="28"/>
        </w:rPr>
        <w:t>（示范文本）</w:t>
      </w:r>
      <w:bookmarkStart w:id="0" w:name="_GoBack"/>
      <w:bookmarkEnd w:id="0"/>
    </w:p>
    <w:p w14:paraId="15FD63CF">
      <w:pPr>
        <w:pStyle w:val="2"/>
        <w:spacing w:before="11"/>
        <w:jc w:val="left"/>
        <w:rPr>
          <w:rFonts w:ascii="方正楷体_GBK"/>
          <w:sz w:val="30"/>
        </w:rPr>
      </w:pPr>
    </w:p>
    <w:p w14:paraId="0C30C99D">
      <w:pPr>
        <w:pStyle w:val="2"/>
        <w:tabs>
          <w:tab w:val="left" w:pos="8882"/>
        </w:tabs>
        <w:ind w:left="5417"/>
        <w:jc w:val="left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HT2023-0715</w:t>
      </w:r>
      <w:r>
        <w:rPr>
          <w:color w:val="231F20"/>
          <w:u w:val="single" w:color="231F20"/>
        </w:rPr>
        <w:tab/>
      </w:r>
    </w:p>
    <w:p w14:paraId="5595B497">
      <w:pPr>
        <w:pStyle w:val="2"/>
        <w:tabs>
          <w:tab w:val="left" w:pos="3362"/>
          <w:tab w:val="left" w:pos="5417"/>
          <w:tab w:val="left" w:pos="8882"/>
        </w:tabs>
        <w:spacing w:before="89"/>
        <w:ind w:left="557"/>
        <w:jc w:val="both"/>
      </w:pPr>
      <w:r>
        <w:rPr>
          <w:color w:val="231F20"/>
        </w:rPr>
        <w:t>保管人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李明（持有国家保密资质证书，联系方式：13812312312）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</w:rPr>
        <w:t>签订地点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北京市朝阳区吴明律师事务所</w:t>
      </w:r>
      <w:r>
        <w:rPr>
          <w:color w:val="231F20"/>
          <w:u w:val="single" w:color="231F20"/>
        </w:rPr>
        <w:tab/>
      </w:r>
    </w:p>
    <w:p w14:paraId="51A13C37">
      <w:pPr>
        <w:pStyle w:val="2"/>
        <w:tabs>
          <w:tab w:val="left" w:pos="3362"/>
          <w:tab w:val="left" w:pos="5417"/>
          <w:tab w:val="left" w:pos="7342"/>
        </w:tabs>
        <w:spacing w:before="89"/>
        <w:ind w:left="557"/>
        <w:jc w:val="both"/>
      </w:pPr>
      <w:r>
        <w:rPr>
          <w:color w:val="231F20"/>
        </w:rPr>
        <w:t>寄存人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陈针（陈氏集团财务总监）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</w:r>
      <w:r>
        <w:rPr>
          <w:color w:val="231F20"/>
        </w:rPr>
        <w:t>签订时间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2023</w:t>
      </w:r>
      <w:r>
        <w:rPr>
          <w:color w:val="231F20"/>
        </w:rPr>
        <w:t>年</w:t>
      </w:r>
      <w:r>
        <w:rPr>
          <w:rFonts w:hint="eastAsia"/>
          <w:color w:val="231F20"/>
          <w:u w:val="single" w:color="231F20"/>
          <w:lang w:val="en-US" w:eastAsia="zh-CN"/>
        </w:rPr>
        <w:t>7</w:t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 xml:space="preserve">  </w:t>
      </w:r>
      <w:r>
        <w:rPr>
          <w:rFonts w:hint="eastAsia"/>
          <w:color w:val="231F20"/>
          <w:u w:val="single" w:color="231F20"/>
          <w:lang w:val="en-US" w:eastAsia="zh-CN"/>
        </w:rPr>
        <w:t>15</w:t>
      </w:r>
      <w:r>
        <w:rPr>
          <w:color w:val="231F20"/>
          <w:u w:val="single" w:color="231F20"/>
        </w:rPr>
        <w:t xml:space="preserve">     </w:t>
      </w:r>
      <w:r>
        <w:rPr>
          <w:color w:val="231F20"/>
          <w:spacing w:val="12"/>
          <w:u w:val="single" w:color="231F20"/>
        </w:rPr>
        <w:t xml:space="preserve"> </w:t>
      </w:r>
      <w:r>
        <w:rPr>
          <w:color w:val="231F20"/>
        </w:rPr>
        <w:t>日</w:t>
      </w:r>
    </w:p>
    <w:p w14:paraId="3E4CCD53">
      <w:pPr>
        <w:pStyle w:val="2"/>
        <w:jc w:val="left"/>
        <w:rPr>
          <w:sz w:val="26"/>
        </w:rPr>
      </w:pPr>
    </w:p>
    <w:p w14:paraId="1E4354C4">
      <w:pPr>
        <w:pStyle w:val="2"/>
        <w:spacing w:before="6"/>
        <w:jc w:val="left"/>
        <w:rPr>
          <w:sz w:val="35"/>
        </w:rPr>
      </w:pPr>
    </w:p>
    <w:p w14:paraId="7C12F3BA">
      <w:pPr>
        <w:pStyle w:val="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第一条   </w:t>
      </w:r>
      <w:r>
        <w:rPr>
          <w:color w:val="231F20"/>
        </w:rPr>
        <w:t>保管物</w:t>
      </w:r>
    </w:p>
    <w:p w14:paraId="3972310C">
      <w:pPr>
        <w:pStyle w:val="2"/>
        <w:tabs>
          <w:tab w:val="left" w:pos="9188"/>
        </w:tabs>
        <w:spacing w:before="89" w:line="302" w:lineRule="auto"/>
        <w:ind w:left="557" w:right="115"/>
        <w:jc w:val="both"/>
      </w:pPr>
      <w:r>
        <w:rPr>
          <w:color w:val="231F20"/>
        </w:rPr>
        <w:t>保管物名称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年度财务报告（含附属文件）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性质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商业机密（A级）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数量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1套（含纸质文件及加密电子备份）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</w:rPr>
        <w:t>价值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人民币50万元（大写：伍拾万元整）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第二条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保管场所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上海市浦东新区友明路13号安全仓库（经ISO 27001认证）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第三条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保管方法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物理保管：防火、防水、安防；电子保管：加密存储、访问权限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rFonts w:hint="eastAsia" w:ascii="方正黑体_GBK" w:eastAsia="方正黑体_GBK"/>
          <w:color w:val="231F20"/>
        </w:rPr>
        <w:t xml:space="preserve">第四条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有瑕疵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）有瑕疵。瑕疵是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</w:r>
      <w:r>
        <w:rPr>
          <w:color w:val="231F20"/>
          <w:u w:val="single" w:color="231F20"/>
        </w:rPr>
        <w:tab/>
      </w:r>
    </w:p>
    <w:p w14:paraId="61D77D34">
      <w:pPr>
        <w:pStyle w:val="2"/>
        <w:spacing w:before="3"/>
        <w:jc w:val="left"/>
        <w:rPr>
          <w:sz w:val="20"/>
        </w:rPr>
      </w:pPr>
      <w:r/>
    </w:p>
    <w:p w14:paraId="3D8724AA">
      <w:pPr>
        <w:pStyle w:val="2"/>
        <w:tabs>
          <w:tab w:val="left" w:pos="9188"/>
        </w:tabs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第五条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需要采取特殊保管措施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）需要采取特殊保管措施。特殊保管措施是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物理保管：防火、防水、安防；电子保管：加密存储、访问权限</w:t>
      </w:r>
      <w:r>
        <w:rPr>
          <w:color w:val="231F20"/>
          <w:u w:val="single" w:color="231F20"/>
        </w:rPr>
        <w:tab/>
      </w:r>
    </w:p>
    <w:p w14:paraId="5178A3C6">
      <w:pPr>
        <w:pStyle w:val="2"/>
        <w:spacing w:before="11"/>
        <w:jc w:val="left"/>
        <w:rPr>
          <w:sz w:val="24"/>
        </w:rPr>
      </w:pPr>
      <w:r/>
    </w:p>
    <w:p w14:paraId="7DE952EC">
      <w:pPr>
        <w:pStyle w:val="2"/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第六条   </w:t>
      </w:r>
      <w:r>
        <w:rPr>
          <w:color w:val="231F20"/>
        </w:rPr>
        <w:t>保管物（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保管物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需要有货币、有价证券或者其他贵重物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）有货币、有价证券或者其他贵重物。</w:t>
      </w:r>
    </w:p>
    <w:p w14:paraId="7B88038F">
      <w:pPr>
        <w:pStyle w:val="2"/>
        <w:tabs>
          <w:tab w:val="left" w:pos="3417"/>
          <w:tab w:val="left" w:pos="6057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第七条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保管期限自</w:t>
      </w:r>
      <w:r>
        <w:rPr>
          <w:rFonts w:hint="eastAsia"/>
          <w:color w:val="231F20"/>
          <w:u w:val="single" w:color="231F20"/>
          <w:lang w:val="en-US" w:eastAsia="zh-CN"/>
        </w:rPr>
        <w:t>2023</w:t>
      </w:r>
      <w:r>
        <w:rPr>
          <w:color w:val="231F20"/>
        </w:rPr>
        <w:t>年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7</w:t>
      </w:r>
      <w:r>
        <w:rPr>
          <w:color w:val="231F20"/>
        </w:rPr>
        <w:t>月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20</w:t>
      </w:r>
      <w:r>
        <w:rPr>
          <w:color w:val="231F20"/>
        </w:rPr>
        <w:t>日至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2024</w:t>
      </w:r>
      <w:r>
        <w:rPr>
          <w:color w:val="231F20"/>
        </w:rPr>
        <w:t>年</w:t>
      </w:r>
      <w:r>
        <w:rPr>
          <w:rFonts w:hint="eastAsia"/>
          <w:color w:val="231F20"/>
          <w:u w:val="single" w:color="231F20"/>
          <w:lang w:val="en-US" w:eastAsia="zh-CN"/>
        </w:rPr>
        <w:t>7</w:t>
      </w:r>
      <w:r>
        <w:rPr>
          <w:color w:val="231F20"/>
        </w:rPr>
        <w:t>月</w:t>
      </w:r>
      <w:r>
        <w:rPr>
          <w:rFonts w:hint="eastAsia"/>
          <w:color w:val="231F20"/>
          <w:u w:val="single" w:color="231F20"/>
          <w:lang w:val="en-US" w:eastAsia="zh-CN"/>
        </w:rPr>
        <w:t>19</w:t>
      </w:r>
      <w:r>
        <w:rPr>
          <w:color w:val="231F20"/>
        </w:rPr>
        <w:t>日 止 。</w:t>
      </w:r>
    </w:p>
    <w:p w14:paraId="5512890A">
      <w:pPr>
        <w:pStyle w:val="2"/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第八条   </w:t>
      </w:r>
      <w:r>
        <w:rPr>
          <w:color w:val="231F20"/>
        </w:rPr>
        <w:t>寄存人交付保管物时，保管人应当验收，并给付保管凭证。</w:t>
      </w:r>
    </w:p>
    <w:p w14:paraId="4367657E">
      <w:pPr>
        <w:pStyle w:val="2"/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第九条   </w:t>
      </w:r>
      <w:r>
        <w:rPr>
          <w:color w:val="231F20"/>
        </w:rPr>
        <w:t>保管人（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strike w:val="0"/>
          <w:dstrike w:val="0"/>
          <w:color w:val="231F20"/>
          <w:u w:val="none" w:color="auto"/>
        </w:rPr>
        <w:t>保管</w:t>
      </w:r>
      <w:r>
        <w:rPr>
          <w:color w:val="231F20"/>
        </w:rPr>
        <w:t>人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允许保管人将保管物转交他人保管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）允许保管人将保管物转交他人保管。</w:t>
      </w:r>
    </w:p>
    <w:p w14:paraId="75AA14BF">
      <w:pPr>
        <w:pStyle w:val="2"/>
        <w:tabs>
          <w:tab w:val="left" w:pos="5507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保管费（大写</w:t>
      </w:r>
      <w:r>
        <w:rPr>
          <w:color w:val="231F20"/>
          <w:u w:val="single" w:color="231F20"/>
        </w:rPr>
        <w:t>）</w:t>
      </w:r>
      <w:r>
        <w:rPr>
          <w:rFonts w:hint="eastAsia"/>
          <w:color w:val="231F20"/>
          <w:u w:val="single" w:color="231F20"/>
          <w:lang w:val="en-US" w:eastAsia="zh-CN"/>
        </w:rPr>
        <w:t>伍拾万元整</w:t>
      </w:r>
      <w:r>
        <w:rPr>
          <w:color w:val="231F20"/>
        </w:rPr>
        <w:t>元。</w:t>
      </w:r>
    </w:p>
    <w:p w14:paraId="10F2CFF1">
      <w:pPr>
        <w:pStyle w:val="2"/>
        <w:tabs>
          <w:tab w:val="left" w:pos="9188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第十一条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保管费的支付方式与时间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首期款（30%）：15万元，于合同签订后30日内支付；二期款（50%）：25万元，于文件验收合格后支付；尾款（20%）：10万元，于保管期满后10个工作日内支付</w:t>
      </w:r>
      <w:r>
        <w:rPr>
          <w:color w:val="231F20"/>
          <w:u w:val="single" w:color="231F20"/>
        </w:rPr>
        <w:tab/>
      </w:r>
    </w:p>
    <w:p w14:paraId="0EBD6510">
      <w:pPr>
        <w:pStyle w:val="2"/>
        <w:spacing w:before="10"/>
        <w:jc w:val="left"/>
        <w:rPr>
          <w:sz w:val="24"/>
        </w:rPr>
      </w:pPr>
      <w:r/>
    </w:p>
    <w:p w14:paraId="3F09E64B">
      <w:pPr>
        <w:pStyle w:val="2"/>
        <w:spacing w:before="57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第十二条   </w:t>
      </w:r>
      <w:r>
        <w:rPr>
          <w:color w:val="231F20"/>
        </w:rPr>
        <w:t>寄存人未向保管人支付保管费的，保管人（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{</w:t>
      </w:r>
      <w:r>
        <w:rPr>
          <w:color w:val="231F20"/>
        </w:rPr>
        <w:t>保管人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是/否</w:t>
      </w:r>
      <w:r>
        <w:rPr>
          <w:color w:val="231F20"/>
        </w:rPr>
        <w:t>可以留置保管物</w:t>
      </w:r>
      <w:r>
        <w:rPr>
          <w:rFonts w:hint="eastAsia"/>
          <w:color w:val="231F20"/>
          <w:lang w:eastAsia="zh-CN"/>
        </w:rPr>
        <w:t>：</w:t>
      </w:r>
      <w:r>
        <w:rPr>
          <w:rFonts w:hint="eastAsia"/>
          <w:color w:val="231F20"/>
          <w:lang w:val="en-US" w:eastAsia="zh-CN"/>
        </w:rPr>
        <w:t>是/否</w:t>
      </w:r>
      <w:r>
        <w:rPr>
          <w:rFonts w:hint="eastAsia"/>
          <w:strike w:val="0"/>
          <w:dstrike w:val="0"/>
          <w:color w:val="231F20"/>
          <w:u w:val="none" w:color="auto"/>
          <w:lang w:val="en-US" w:eastAsia="zh-CN"/>
        </w:rPr>
        <w:t>}</w:t>
      </w:r>
      <w:r>
        <w:rPr>
          <w:color w:val="231F20"/>
        </w:rPr>
        <w:t>）可以留置保管物。</w:t>
      </w:r>
    </w:p>
    <w:p w14:paraId="4D7323F9">
      <w:pPr>
        <w:pStyle w:val="2"/>
        <w:tabs>
          <w:tab w:val="left" w:pos="9188"/>
        </w:tabs>
        <w:spacing w:before="82"/>
        <w:ind w:left="557"/>
        <w:jc w:val="both"/>
      </w:pPr>
      <w:r>
        <w:rPr>
          <w:rFonts w:hint="eastAsia" w:ascii="方正黑体_GBK" w:eastAsia="方正黑体_GBK"/>
          <w:color w:val="231F20"/>
        </w:rPr>
        <w:t xml:space="preserve">第十三条  </w:t>
      </w:r>
      <w:r>
        <w:rPr>
          <w:rFonts w:hint="eastAsia" w:ascii="方正黑体_GBK" w:eastAsia="方正黑体_GBK"/>
          <w:color w:val="231F20"/>
          <w:spacing w:val="35"/>
        </w:rPr>
        <w:t xml:space="preserve"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保管物损毁或泄露：乙方需全额赔偿损失，并承担法律责任；逾期支付保管费：甲方需按日支付0.05%滞纳金</w:t>
      </w:r>
      <w:r>
        <w:rPr>
          <w:color w:val="231F20"/>
          <w:u w:val="single" w:color="231F20"/>
        </w:rPr>
        <w:tab/>
      </w:r>
    </w:p>
    <w:p w14:paraId="0B186E1F">
      <w:pPr>
        <w:pStyle w:val="2"/>
        <w:spacing w:before="10"/>
        <w:jc w:val="left"/>
        <w:rPr>
          <w:sz w:val="24"/>
        </w:rPr>
      </w:pPr>
      <w:r/>
      <w:r/>
    </w:p>
    <w:p w14:paraId="4054DCA0">
      <w:pPr>
        <w:pStyle w:val="2"/>
        <w:jc w:val="left"/>
        <w:rPr>
          <w:sz w:val="23"/>
        </w:rPr>
      </w:pPr>
    </w:p>
    <w:p w14:paraId="4D91C249">
      <w:pPr>
        <w:pStyle w:val="2"/>
        <w:spacing w:before="4"/>
        <w:jc w:val="left"/>
        <w:rPr>
          <w:sz w:val="21"/>
        </w:rPr>
      </w:pPr>
    </w:p>
    <w:p w14:paraId="5713AFA9">
      <w:pPr>
        <w:spacing w:before="92"/>
        <w:ind w:left="0" w:right="11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 w14:paraId="003037C1"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right="1300" w:bottom="280" w:left="1300" w:header="720" w:footer="720" w:gutter="0"/>
          <w:cols w:space="720" w:num="1"/>
        </w:sectPr>
      </w:pPr>
    </w:p>
    <w:p w14:paraId="7DCD2480">
      <w:pPr>
        <w:pStyle w:val="2"/>
        <w:tabs>
          <w:tab w:val="left" w:pos="1669"/>
          <w:tab w:val="left" w:pos="3582"/>
        </w:tabs>
        <w:spacing w:before="18" w:line="304" w:lineRule="auto"/>
        <w:ind w:left="117" w:right="110" w:firstLine="440"/>
        <w:jc w:val="left"/>
      </w:pPr>
      <w:r>
        <w:rPr>
          <w:rFonts w:hint="eastAsia" w:ascii="方正黑体_GBK" w:eastAsia="方正黑体_GBK"/>
          <w:color w:val="231F20"/>
        </w:rPr>
        <w:t>第十四条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协商不成的，按下列第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>（一）</w:t>
      </w:r>
      <w:r>
        <w:rPr>
          <w:color w:val="231F20"/>
        </w:rPr>
        <w:t>种方式解决：</w:t>
      </w:r>
    </w:p>
    <w:p w14:paraId="10B0B2B4">
      <w:pPr>
        <w:pStyle w:val="2"/>
        <w:tabs>
          <w:tab w:val="left" w:pos="2427"/>
        </w:tabs>
        <w:spacing w:before="21"/>
        <w:ind w:left="447"/>
        <w:jc w:val="left"/>
      </w:pPr>
      <w:r>
        <w:rPr>
          <w:color w:val="231F20"/>
        </w:rPr>
        <w:t>（一）提交</w:t>
      </w:r>
      <w:r>
        <w:rPr>
          <w:rFonts w:hint="eastAsia"/>
          <w:color w:val="231F20"/>
          <w:u w:val="single" w:color="auto"/>
          <w:lang w:val="en-US" w:eastAsia="zh-CN"/>
        </w:rPr>
        <w:t xml:space="preserve">  </w:t>
      </w:r>
      <w:r>
        <w:rPr>
          <w:rFonts w:hint="eastAsia"/>
          <w:color w:val="231F20"/>
          <w:u w:val="single" w:color="231F20"/>
          <w:lang w:val="en-US" w:eastAsia="zh-CN"/>
        </w:rPr>
        <w:t>{</w:t>
      </w:r>
      <w:r>
        <w:rPr>
          <w:rFonts w:hint="eastAsia"/>
          <w:color w:val="231F20"/>
          <w:u w:val="single" w:color="auto"/>
          <w:lang w:val="en-US" w:eastAsia="zh-CN"/>
        </w:rPr>
        <w:t xml:space="preserve">仲裁委员会名称}  </w:t>
      </w:r>
      <w:r>
        <w:rPr>
          <w:color w:val="231F20"/>
        </w:rPr>
        <w:t>仲裁委员会仲裁；</w:t>
      </w:r>
    </w:p>
    <w:p w14:paraId="2C1D8211">
      <w:pPr>
        <w:pStyle w:val="2"/>
        <w:spacing w:before="89"/>
        <w:ind w:left="447"/>
        <w:jc w:val="left"/>
      </w:pPr>
      <w:r>
        <w:rPr>
          <w:color w:val="231F20"/>
        </w:rPr>
        <w:t>（二）依法向人民法院起诉。</w:t>
      </w:r>
    </w:p>
    <w:p w14:paraId="06CD4B1F">
      <w:pPr>
        <w:pStyle w:val="2"/>
        <w:tabs>
          <w:tab w:val="left" w:pos="1657"/>
          <w:tab w:val="left" w:pos="4517"/>
        </w:tabs>
        <w:spacing w:before="83"/>
        <w:ind w:left="557"/>
        <w:jc w:val="left"/>
      </w:pPr>
      <w:r>
        <w:rPr>
          <w:rFonts w:hint="eastAsia" w:ascii="方正黑体_GBK" w:eastAsia="方正黑体_GBK"/>
          <w:color w:val="231F20"/>
        </w:rPr>
        <w:t>第十五条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 xml:space="preserve"> </w:t>
      </w:r>
      <w:r>
        <w:rPr>
          <w:rFonts w:hint="eastAsia"/>
          <w:color w:val="231F20"/>
          <w:u w:val="single" w:color="231F20"/>
          <w:lang w:val="en-US" w:eastAsia="zh-CN"/>
        </w:rPr>
        <w:t xml:space="preserve">2023年7月15日 </w:t>
      </w:r>
      <w:r>
        <w:rPr>
          <w:color w:val="231F20"/>
        </w:rPr>
        <w:t>时成立。</w:t>
      </w:r>
    </w:p>
    <w:p w14:paraId="5A7549D8">
      <w:pPr>
        <w:pStyle w:val="2"/>
        <w:tabs>
          <w:tab w:val="left" w:pos="1657"/>
          <w:tab w:val="left" w:pos="9188"/>
        </w:tabs>
        <w:spacing w:before="83"/>
        <w:ind w:left="557"/>
        <w:jc w:val="left"/>
      </w:pPr>
      <w:r>
        <w:rPr>
          <w:rFonts w:hint="eastAsia" w:ascii="方正黑体_GBK" w:eastAsia="方正黑体_GBK"/>
          <w:color w:val="231F20"/>
        </w:rPr>
        <w:t>第十六条</w:t>
      </w:r>
      <w:r>
        <w:rPr>
          <w:rFonts w:hint="eastAsia" w:ascii="方正黑体_GBK" w:eastAsia="方正黑体_GBK"/>
          <w:color w:val="231F20"/>
        </w:rPr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</w:r>
      <w:r>
        <w:rPr>
          <w:rFonts w:hint="eastAsia"/>
          <w:color w:val="231F20"/>
          <w:u w:val="single" w:color="231F20"/>
          <w:lang w:val="en-US" w:eastAsia="zh-CN"/>
        </w:rPr>
        <w:t>转交保管：未经甲方书面同意，乙方不得将保管物转交第三方。应急响应：设立7×24小时应急小组，联系人：李明（乙方）、陈针（甲方，联系方式：13912312311）。文件交接：交付时需签署《保管物交接确认单》，核对文件编号、密封状态及数量。电子备份需通过安全信道传输，并留存传输日志。</w:t>
      </w:r>
      <w:r>
        <w:rPr>
          <w:color w:val="231F20"/>
          <w:u w:val="single" w:color="231F20"/>
        </w:rPr>
        <w:tab/>
      </w:r>
    </w:p>
    <w:p w14:paraId="79E8A775">
      <w:pPr>
        <w:pStyle w:val="2"/>
        <w:spacing w:before="11"/>
        <w:jc w:val="left"/>
        <w:rPr>
          <w:sz w:val="24"/>
        </w:rPr>
      </w:pPr>
      <w:r/>
      <w:r/>
      <w:r/>
    </w:p>
    <w:p w14:paraId="250F9FFA">
      <w:pPr>
        <w:pStyle w:val="2"/>
        <w:jc w:val="left"/>
        <w:rPr>
          <w:sz w:val="23"/>
        </w:rPr>
      </w:pPr>
    </w:p>
    <w:p w14:paraId="15D44CA1">
      <w:pPr>
        <w:pStyle w:val="2"/>
        <w:jc w:val="left"/>
        <w:rPr>
          <w:sz w:val="23"/>
        </w:rPr>
      </w:pPr>
    </w:p>
    <w:p w14:paraId="09F4D445">
      <w:pPr>
        <w:pStyle w:val="2"/>
        <w:jc w:val="left"/>
        <w:rPr>
          <w:sz w:val="26"/>
        </w:rPr>
      </w:pPr>
    </w:p>
    <w:p w14:paraId="6394DB5F">
      <w:pPr>
        <w:pStyle w:val="2"/>
        <w:spacing w:before="1"/>
        <w:jc w:val="left"/>
        <w:rPr>
          <w:sz w:val="34"/>
        </w:rPr>
      </w:pPr>
    </w:p>
    <w:p w14:paraId="5EEC4C0E">
      <w:pPr>
        <w:pStyle w:val="2"/>
        <w:tabs>
          <w:tab w:val="left" w:pos="4617"/>
        </w:tabs>
        <w:spacing w:before="1"/>
        <w:ind w:left="557"/>
        <w:jc w:val="left"/>
        <w:rPr>
          <w:rFonts w:hint="default" w:eastAsia="方正书宋_GBK"/>
          <w:lang w:val="en-US" w:eastAsia="zh-CN"/>
        </w:rPr>
      </w:pPr>
      <w:r>
        <w:rPr>
          <w:color w:val="231F20"/>
        </w:rPr>
        <w:t>保管人：</w:t>
      </w:r>
      <w:r>
        <w:rPr>
          <w:rFonts w:hint="eastAsia"/>
          <w:color w:val="231F20"/>
          <w:lang w:val="en-US" w:eastAsia="zh-CN"/>
        </w:rPr>
        <w:t>李明（持有国家保密资质证书，联系方式：13812312312）</w:t>
      </w:r>
      <w:r>
        <w:rPr>
          <w:color w:val="231F20"/>
        </w:rPr>
        <w:tab/>
      </w:r>
      <w:r>
        <w:rPr>
          <w:color w:val="231F20"/>
        </w:rPr>
        <w:t>寄存人：</w:t>
      </w:r>
      <w:r>
        <w:rPr>
          <w:rFonts w:hint="eastAsia"/>
          <w:color w:val="231F20"/>
          <w:lang w:val="en-US" w:eastAsia="zh-CN"/>
        </w:rPr>
        <w:t>陈针（陈氏集团财务总监）</w:t>
      </w:r>
    </w:p>
    <w:p w14:paraId="3E0F6481">
      <w:pPr>
        <w:pStyle w:val="2"/>
        <w:spacing w:before="13"/>
        <w:jc w:val="left"/>
        <w:rPr>
          <w:sz w:val="33"/>
        </w:rPr>
      </w:pPr>
    </w:p>
    <w:p w14:paraId="38E454E5">
      <w:pPr>
        <w:pStyle w:val="2"/>
        <w:tabs>
          <w:tab w:val="left" w:pos="4677"/>
        </w:tabs>
        <w:ind w:left="557"/>
        <w:jc w:val="left"/>
      </w:pPr>
      <w:r>
        <w:rPr>
          <w:color w:val="231F20"/>
        </w:rPr>
        <w:t>监制部门：</w:t>
      </w:r>
      <w:r>
        <w:rPr>
          <w:rFonts w:hint="eastAsia"/>
          <w:color w:val="231F20"/>
          <w:lang w:val="en-US" w:eastAsia="zh-CN"/>
        </w:rPr>
        <w:t>{</w:t>
      </w:r>
      <w:r>
        <w:rPr>
          <w:color w:val="231F20"/>
        </w:rPr>
        <w:t>监制部门</w:t>
      </w:r>
      <w:r>
        <w:rPr>
          <w:rFonts w:hint="eastAsia"/>
          <w:color w:val="231F20"/>
          <w:lang w:val="en-US" w:eastAsia="zh-CN"/>
        </w:rPr>
        <w:t>}</w:t>
      </w:r>
      <w:r>
        <w:rPr>
          <w:color w:val="231F20"/>
        </w:rPr>
        <w:tab/>
      </w:r>
      <w:r>
        <w:rPr>
          <w:color w:val="231F20"/>
        </w:rPr>
        <w:t>印制单位：</w:t>
      </w:r>
      <w:r>
        <w:rPr>
          <w:rFonts w:hint="eastAsia"/>
          <w:color w:val="231F20"/>
          <w:lang w:val="en-US" w:eastAsia="zh-CN"/>
        </w:rPr>
        <w:t>{</w:t>
      </w:r>
      <w:r>
        <w:rPr>
          <w:color w:val="231F20"/>
        </w:rPr>
        <w:t>印制单位</w:t>
      </w:r>
      <w:r>
        <w:rPr>
          <w:rFonts w:hint="eastAsia"/>
          <w:color w:val="231F20"/>
          <w:lang w:val="en-US" w:eastAsia="zh-CN"/>
        </w:rPr>
        <w:t>}</w:t>
      </w:r>
    </w:p>
    <w:p w14:paraId="279DA0EA">
      <w:pPr>
        <w:pStyle w:val="2"/>
        <w:jc w:val="left"/>
        <w:rPr>
          <w:sz w:val="20"/>
        </w:rPr>
      </w:pPr>
    </w:p>
    <w:p w14:paraId="090BD907">
      <w:pPr>
        <w:pStyle w:val="2"/>
        <w:jc w:val="left"/>
        <w:rPr>
          <w:sz w:val="20"/>
        </w:rPr>
      </w:pPr>
    </w:p>
    <w:p w14:paraId="247D5C41">
      <w:pPr>
        <w:pStyle w:val="2"/>
        <w:jc w:val="left"/>
        <w:rPr>
          <w:sz w:val="20"/>
        </w:rPr>
      </w:pPr>
    </w:p>
    <w:p w14:paraId="5CD702D6">
      <w:pPr>
        <w:pStyle w:val="2"/>
        <w:jc w:val="left"/>
        <w:rPr>
          <w:sz w:val="20"/>
        </w:rPr>
      </w:pPr>
    </w:p>
    <w:p w14:paraId="150295F6">
      <w:pPr>
        <w:pStyle w:val="2"/>
        <w:jc w:val="left"/>
        <w:rPr>
          <w:sz w:val="20"/>
        </w:rPr>
      </w:pPr>
    </w:p>
    <w:p w14:paraId="304251D8">
      <w:pPr>
        <w:pStyle w:val="2"/>
        <w:jc w:val="left"/>
        <w:rPr>
          <w:sz w:val="20"/>
        </w:rPr>
      </w:pPr>
    </w:p>
    <w:p w14:paraId="31C935A3">
      <w:pPr>
        <w:pStyle w:val="2"/>
        <w:jc w:val="left"/>
        <w:rPr>
          <w:sz w:val="20"/>
        </w:rPr>
      </w:pPr>
    </w:p>
    <w:p w14:paraId="335925CD">
      <w:pPr>
        <w:pStyle w:val="2"/>
        <w:jc w:val="left"/>
        <w:rPr>
          <w:sz w:val="20"/>
        </w:rPr>
      </w:pPr>
    </w:p>
    <w:p w14:paraId="1651CCED">
      <w:pPr>
        <w:pStyle w:val="2"/>
        <w:jc w:val="left"/>
        <w:rPr>
          <w:sz w:val="20"/>
        </w:rPr>
      </w:pPr>
    </w:p>
    <w:p w14:paraId="034E89E6">
      <w:pPr>
        <w:pStyle w:val="2"/>
        <w:jc w:val="left"/>
        <w:rPr>
          <w:sz w:val="20"/>
        </w:rPr>
      </w:pPr>
    </w:p>
    <w:p w14:paraId="56921208">
      <w:pPr>
        <w:pStyle w:val="2"/>
        <w:jc w:val="left"/>
        <w:rPr>
          <w:sz w:val="20"/>
        </w:rPr>
      </w:pPr>
    </w:p>
    <w:p w14:paraId="1D38A26D">
      <w:pPr>
        <w:pStyle w:val="2"/>
        <w:jc w:val="left"/>
        <w:rPr>
          <w:sz w:val="20"/>
        </w:rPr>
      </w:pPr>
    </w:p>
    <w:p w14:paraId="0BFE908C">
      <w:pPr>
        <w:pStyle w:val="2"/>
        <w:jc w:val="left"/>
        <w:rPr>
          <w:sz w:val="20"/>
        </w:rPr>
      </w:pPr>
    </w:p>
    <w:p w14:paraId="2F9A0269">
      <w:pPr>
        <w:pStyle w:val="2"/>
        <w:jc w:val="left"/>
        <w:rPr>
          <w:sz w:val="20"/>
        </w:rPr>
      </w:pPr>
    </w:p>
    <w:p w14:paraId="690DD2F8">
      <w:pPr>
        <w:pStyle w:val="2"/>
        <w:jc w:val="left"/>
        <w:rPr>
          <w:sz w:val="20"/>
        </w:rPr>
      </w:pPr>
    </w:p>
    <w:p w14:paraId="7B3AA9F1">
      <w:pPr>
        <w:pStyle w:val="2"/>
        <w:jc w:val="left"/>
        <w:rPr>
          <w:sz w:val="20"/>
        </w:rPr>
      </w:pPr>
    </w:p>
    <w:p w14:paraId="4938F27D">
      <w:pPr>
        <w:pStyle w:val="2"/>
        <w:jc w:val="left"/>
        <w:rPr>
          <w:sz w:val="20"/>
        </w:rPr>
      </w:pPr>
    </w:p>
    <w:p w14:paraId="492A2AFD">
      <w:pPr>
        <w:pStyle w:val="2"/>
        <w:jc w:val="left"/>
        <w:rPr>
          <w:sz w:val="20"/>
        </w:rPr>
      </w:pPr>
    </w:p>
    <w:p w14:paraId="58CCE7BB">
      <w:pPr>
        <w:pStyle w:val="2"/>
        <w:jc w:val="left"/>
        <w:rPr>
          <w:sz w:val="20"/>
        </w:rPr>
      </w:pPr>
    </w:p>
    <w:p w14:paraId="51E6B88A">
      <w:pPr>
        <w:pStyle w:val="2"/>
        <w:jc w:val="left"/>
        <w:rPr>
          <w:sz w:val="20"/>
        </w:rPr>
      </w:pPr>
    </w:p>
    <w:p w14:paraId="3F7952B8">
      <w:pPr>
        <w:pStyle w:val="2"/>
        <w:jc w:val="left"/>
        <w:rPr>
          <w:sz w:val="20"/>
        </w:rPr>
      </w:pPr>
    </w:p>
    <w:p w14:paraId="765E61BF">
      <w:pPr>
        <w:pStyle w:val="2"/>
        <w:jc w:val="left"/>
        <w:rPr>
          <w:sz w:val="20"/>
        </w:rPr>
      </w:pPr>
    </w:p>
    <w:p w14:paraId="17F3BD07">
      <w:pPr>
        <w:pStyle w:val="2"/>
        <w:jc w:val="left"/>
        <w:rPr>
          <w:sz w:val="20"/>
        </w:rPr>
      </w:pPr>
    </w:p>
    <w:p w14:paraId="7705FBE2">
      <w:pPr>
        <w:pStyle w:val="2"/>
        <w:jc w:val="left"/>
        <w:rPr>
          <w:sz w:val="20"/>
        </w:rPr>
      </w:pPr>
    </w:p>
    <w:p w14:paraId="792BB294">
      <w:pPr>
        <w:pStyle w:val="2"/>
        <w:jc w:val="left"/>
        <w:rPr>
          <w:sz w:val="20"/>
        </w:rPr>
      </w:pPr>
    </w:p>
    <w:p w14:paraId="7CF7395B">
      <w:pPr>
        <w:pStyle w:val="2"/>
        <w:jc w:val="left"/>
        <w:rPr>
          <w:sz w:val="20"/>
        </w:rPr>
      </w:pPr>
    </w:p>
    <w:p w14:paraId="1B90392E">
      <w:pPr>
        <w:pStyle w:val="2"/>
        <w:jc w:val="left"/>
        <w:rPr>
          <w:sz w:val="20"/>
        </w:rPr>
      </w:pPr>
    </w:p>
    <w:p w14:paraId="026B4C5F">
      <w:pPr>
        <w:pStyle w:val="2"/>
        <w:spacing w:before="12"/>
        <w:jc w:val="left"/>
        <w:rPr>
          <w:sz w:val="17"/>
        </w:rPr>
      </w:pPr>
    </w:p>
    <w:p w14:paraId="7151617E">
      <w:pPr>
        <w:spacing w:before="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rsids>
    <w:rsidRoot w:val="00000000"/>
    <w:rsid w:val="0E7004A9"/>
    <w:rsid w:val="1AE30F73"/>
    <w:rsid w:val="2A895E70"/>
    <w:rsid w:val="2EED4C20"/>
    <w:rsid w:val="3EB70DA6"/>
    <w:rsid w:val="62691943"/>
    <w:rsid w:val="66CA52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方正书宋_GBK" w:hAnsi="方正书宋_GBK" w:eastAsia="方正书宋_GBK" w:cs="方正书宋_GBK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方正书宋_GBK" w:hAnsi="方正书宋_GBK" w:eastAsia="方正书宋_GBK" w:cs="方正书宋_GBK"/>
      <w:sz w:val="22"/>
      <w:szCs w:val="22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828</Words>
  <Characters>839</Characters>
  <TotalTime>1</TotalTime>
  <ScaleCrop>false</ScaleCrop>
  <LinksUpToDate>false</LinksUpToDate>
  <CharactersWithSpaces>926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2021-12-01T23:28:00Z</dcterms:created>
  <dc:creator>Xyy</dc:creator>
  <cp:lastModifiedBy>WPS_1661240918</cp:lastModifiedBy>
  <dcterms:modified xsi:type="dcterms:W3CDTF">2025-07-03T18:23:27Z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  <property fmtid="{D5CDD505-2E9C-101B-9397-08002B2CF9AE}" pid="5" name="KSOTemplateDocerSaveRecord">
    <vt:lpwstr>eyJoZGlkIjoiZmI1MWVjNDQ5NWY4MWM5MjE4NTkyNGFiMDQ1OWY1YWIiLCJ1c2VySWQiOiIxMzk2ODU5Nzg4In0=</vt:lpwstr>
  </property>
  <property fmtid="{D5CDD505-2E9C-101B-9397-08002B2CF9AE}" pid="6" name="KSOProductBuildVer">
    <vt:lpwstr>2052-12.1.0.21541</vt:lpwstr>
  </property>
  <property fmtid="{D5CDD505-2E9C-101B-9397-08002B2CF9AE}" pid="7" name="ICV">
    <vt:lpwstr>7D02EB85F341451DBA3BD7BDCDCF67C5_12</vt:lpwstr>
  </property>
</Properties>
</file>