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GF—2000—0801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795" w:right="3795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保管合同</w:t>
      </w:r>
    </w:p>
    <w:p>
      <w:pPr>
        <w:spacing w:before="152"/>
        <w:ind w:left="3795" w:right="379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8882" w:val="left" w:leader="none"/>
        </w:tabs>
        <w:ind w:left="54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417" w:val="left" w:leader="none"/>
          <w:tab w:pos="8882" w:val="left" w:leader="none"/>
        </w:tabs>
        <w:spacing w:before="89"/>
        <w:ind w:left="557"/>
        <w:jc w:val="both"/>
      </w:pPr>
      <w:r>
        <w:rPr>
          <w:color w:val="231F20"/>
        </w:rPr>
        <w:t>保管人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417" w:val="left" w:leader="none"/>
          <w:tab w:pos="7342" w:val="left" w:leader="none"/>
        </w:tabs>
        <w:spacing w:before="89"/>
        <w:ind w:left="557"/>
        <w:jc w:val="both"/>
      </w:pPr>
      <w:r>
        <w:rPr>
          <w:color w:val="231F20"/>
        </w:rPr>
        <w:t>寄存人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      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       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</w:rPr>
        <w:t>日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557"/>
        <w:jc w:val="both"/>
      </w:pPr>
      <w:r>
        <w:rPr>
          <w:rFonts w:ascii="方正黑体_GBK" w:eastAsia="方正黑体_GBK" w:hint="eastAsia"/>
          <w:color w:val="231F20"/>
        </w:rPr>
        <w:t>第一条   </w:t>
      </w:r>
      <w:r>
        <w:rPr>
          <w:color w:val="231F20"/>
        </w:rPr>
        <w:t>保管物</w:t>
      </w:r>
    </w:p>
    <w:p>
      <w:pPr>
        <w:pStyle w:val="BodyText"/>
        <w:tabs>
          <w:tab w:pos="9188" w:val="left" w:leader="none"/>
        </w:tabs>
        <w:spacing w:line="302" w:lineRule="auto" w:before="89"/>
        <w:ind w:left="557" w:right="115"/>
        <w:jc w:val="both"/>
      </w:pPr>
      <w:r>
        <w:rPr>
          <w:color w:val="231F20"/>
        </w:rPr>
        <w:t>保管物名称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性质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数量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价值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第二条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保管场所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保管方法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保管物（是 / 否）有瑕疵。瑕疵是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3"/>
        <w:rPr>
          <w:sz w:val="20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17.298248pt" to="524.409096pt,17.29824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保管物（是 / 否）需要采取特殊保管措施。特殊保管措施是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75812pt" to="524.409096pt,20.67581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第六条   </w:t>
      </w:r>
      <w:r>
        <w:rPr>
          <w:color w:val="231F20"/>
        </w:rPr>
        <w:t>保管物（是 / 否）有货币、有价证券或者其他贵重物。</w:t>
      </w:r>
    </w:p>
    <w:p>
      <w:pPr>
        <w:pStyle w:val="BodyText"/>
        <w:tabs>
          <w:tab w:pos="3417" w:val="left" w:leader="none"/>
          <w:tab w:pos="6057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保管期限自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      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       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</w:rPr>
        <w:t>日至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      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     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</w:rPr>
        <w:t>日 止 。</w:t>
      </w:r>
    </w:p>
    <w:p>
      <w:pPr>
        <w:pStyle w:val="BodyText"/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第八条   </w:t>
      </w:r>
      <w:r>
        <w:rPr>
          <w:color w:val="231F20"/>
        </w:rPr>
        <w:t>寄存人交付保管物时，保管人应当验收，并给付保管凭证。</w:t>
      </w:r>
    </w:p>
    <w:p>
      <w:pPr>
        <w:pStyle w:val="BodyText"/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第九条   </w:t>
      </w:r>
      <w:r>
        <w:rPr>
          <w:color w:val="231F20"/>
        </w:rPr>
        <w:t>保管人（是 / 否）允许保管人将保管物转交他人保管。</w:t>
      </w:r>
    </w:p>
    <w:p>
      <w:pPr>
        <w:pStyle w:val="BodyText"/>
        <w:tabs>
          <w:tab w:pos="5507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第十条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保管费（大写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元。</w:t>
      </w:r>
    </w:p>
    <w:p>
      <w:pPr>
        <w:pStyle w:val="BodyText"/>
        <w:tabs>
          <w:tab w:pos="9188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第十一条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保管费的支付方式与时间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584pt" to="524.409096pt,20.658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第十二条   </w:t>
      </w:r>
      <w:r>
        <w:rPr>
          <w:color w:val="231F20"/>
        </w:rPr>
        <w:t>寄存人未向保管人支付保管费的，保管人（是 / 否）可以留置保管物。</w:t>
      </w:r>
    </w:p>
    <w:p>
      <w:pPr>
        <w:pStyle w:val="BodyText"/>
        <w:tabs>
          <w:tab w:pos="9188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第十三条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20;mso-wrap-distance-left:0;mso-wrap-distance-right:0" from="70.866096pt,41.658501pt" to="524.409096pt,41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tabs>
          <w:tab w:pos="1669" w:val="left" w:leader="none"/>
          <w:tab w:pos="3582" w:val="left" w:leader="none"/>
        </w:tabs>
        <w:spacing w:line="304" w:lineRule="auto" w:before="18"/>
        <w:ind w:left="117" w:right="110" w:firstLine="440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427" w:val="left" w:leader="none"/>
        </w:tabs>
        <w:spacing w:before="21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9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451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时成立。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第十六条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86037pt" to="524.409096pt,20.68603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68;mso-wrap-distance-left:0;mso-wrap-distance-right:0" from="70.866096pt,41.686039pt" to="524.409096pt,41.68603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92;mso-wrap-distance-left:0;mso-wrap-distance-right:0" from="70.866096pt,62.686039pt" to="524.409096pt,62.68603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tabs>
          <w:tab w:pos="4617" w:val="left" w:leader="none"/>
        </w:tabs>
        <w:spacing w:before="1"/>
        <w:ind w:left="557"/>
      </w:pPr>
      <w:r>
        <w:rPr>
          <w:color w:val="231F20"/>
        </w:rPr>
        <w:t>保管人：</w:t>
        <w:tab/>
        <w:t>寄存人：</w:t>
      </w:r>
    </w:p>
    <w:p>
      <w:pPr>
        <w:pStyle w:val="BodyText"/>
        <w:spacing w:before="13"/>
        <w:rPr>
          <w:sz w:val="33"/>
        </w:rPr>
      </w:pPr>
    </w:p>
    <w:p>
      <w:pPr>
        <w:pStyle w:val="BodyText"/>
        <w:tabs>
          <w:tab w:pos="4677" w:val="left" w:leader="none"/>
        </w:tabs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7"/>
        </w:rPr>
      </w:pPr>
    </w:p>
    <w:p>
      <w:pPr>
        <w:spacing w:before="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2021-12-01T23:28:53Z</dcterms:created>
  <dcterms:modified xsi:type="dcterms:W3CDTF">2021-12-01T23:28:53Z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