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4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z w:val="28"/>
        </w:rPr>
        <w:t>GF—2000—0307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7"/>
        </w:rPr>
      </w:pPr>
    </w:p>
    <w:p>
      <w:pPr>
        <w:spacing w:line="577" w:lineRule="exact" w:before="0"/>
        <w:ind w:left="3436" w:right="3514" w:firstLine="0"/>
        <w:jc w:val="center"/>
        <w:rPr>
          <w:rFonts w:ascii="方正小标宋_GBK" w:eastAsia="方正小标宋_GBK" w:hint="eastAsia"/>
          <w:sz w:val="40"/>
        </w:rPr>
      </w:pPr>
      <w:r>
        <w:rPr>
          <w:rFonts w:ascii="方正小标宋_GBK" w:eastAsia="方正小标宋_GBK" w:hint="eastAsia"/>
          <w:color w:val="231F20"/>
          <w:sz w:val="40"/>
        </w:rPr>
        <w:t>修缮修理合同</w:t>
      </w:r>
    </w:p>
    <w:p>
      <w:pPr>
        <w:spacing w:before="152"/>
        <w:ind w:left="3436" w:right="3514" w:firstLine="0"/>
        <w:jc w:val="center"/>
        <w:rPr>
          <w:rFonts w:ascii="方正楷体_GBK" w:eastAsia="方正楷体_GBK" w:hint="eastAsia"/>
          <w:sz w:val="28"/>
        </w:rPr>
      </w:pPr>
      <w:r>
        <w:rPr>
          <w:rFonts w:ascii="方正楷体_GBK" w:eastAsia="方正楷体_GBK" w:hint="eastAsia"/>
          <w:color w:val="231F20"/>
          <w:sz w:val="28"/>
        </w:rPr>
        <w:t>（示范文本）</w:t>
      </w:r>
    </w:p>
    <w:p>
      <w:pPr>
        <w:pStyle w:val="BodyText"/>
        <w:spacing w:before="11"/>
        <w:rPr>
          <w:rFonts w:ascii="方正楷体_GBK"/>
          <w:sz w:val="30"/>
        </w:rPr>
      </w:pPr>
    </w:p>
    <w:p>
      <w:pPr>
        <w:pStyle w:val="BodyText"/>
        <w:tabs>
          <w:tab w:pos="3244" w:val="left" w:leader="none"/>
        </w:tabs>
        <w:ind w:right="201"/>
        <w:jc w:val="right"/>
        <w:rPr>
          <w:rFonts w:ascii="方正宋黑_GBK" w:eastAsia="方正宋黑_GBK" w:hint="eastAsia"/>
        </w:rPr>
      </w:pPr>
      <w:r>
        <w:rPr>
          <w:color w:val="231F20"/>
        </w:rPr>
        <w:t>合同编号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2702" w:val="left" w:leader="none"/>
          <w:tab w:pos="5937" w:val="left" w:leader="none"/>
          <w:tab w:pos="9182" w:val="left" w:leader="none"/>
        </w:tabs>
        <w:spacing w:before="89"/>
        <w:ind w:left="557"/>
        <w:rPr>
          <w:rFonts w:ascii="方正宋黑_GBK" w:eastAsia="方正宋黑_GBK" w:hint="eastAsia"/>
        </w:rPr>
      </w:pPr>
      <w:r>
        <w:rPr>
          <w:color w:val="231F20"/>
        </w:rPr>
        <w:t>定作</w:t>
      </w:r>
      <w:r>
        <w:rPr>
          <w:rFonts w:ascii="方正宋黑_GBK" w:eastAsia="方正宋黑_GBK" w:hint="eastAsia"/>
          <w:color w:val="231F20"/>
        </w:rPr>
        <w:t>人</w:t>
      </w:r>
      <w:r>
        <w:rPr>
          <w:rFonts w:ascii="方正宋黑_GBK" w:eastAsia="方正宋黑_GBK" w:hint="eastAsia"/>
          <w:color w:val="231F20"/>
          <w:u w:val="single" w:color="231F20"/>
        </w:rPr>
        <w:t>：</w:t>
        <w:tab/>
      </w:r>
      <w:r>
        <w:rPr>
          <w:rFonts w:ascii="方正宋黑_GBK" w:eastAsia="方正宋黑_GBK" w:hint="eastAsia"/>
          <w:color w:val="231F20"/>
        </w:rPr>
        <w:tab/>
      </w:r>
      <w:r>
        <w:rPr>
          <w:color w:val="231F20"/>
        </w:rPr>
        <w:t>签订地点</w:t>
      </w:r>
      <w:r>
        <w:rPr>
          <w:rFonts w:ascii="方正宋黑_GBK" w:eastAsia="方正宋黑_GBK" w:hint="eastAsia"/>
          <w:color w:val="231F20"/>
        </w:rPr>
        <w:t>：</w:t>
        <w:tab/>
      </w:r>
    </w:p>
    <w:p>
      <w:pPr>
        <w:pStyle w:val="BodyText"/>
        <w:tabs>
          <w:tab w:pos="5937" w:val="left" w:leader="none"/>
          <w:tab w:pos="7642" w:val="left" w:leader="none"/>
          <w:tab w:pos="8302" w:val="left" w:leader="none"/>
          <w:tab w:pos="8962" w:val="left" w:leader="none"/>
        </w:tabs>
        <w:spacing w:before="89"/>
        <w:ind w:left="557"/>
      </w:pPr>
      <w:r>
        <w:rPr>
          <w:color w:val="231F20"/>
        </w:rPr>
        <w:t>承揽人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签订时间</w:t>
      </w:r>
      <w:r>
        <w:rPr>
          <w:rFonts w:ascii="方正宋黑_GBK" w:eastAsia="方正宋黑_GBK" w:hint="eastAsia"/>
          <w:color w:val="231F20"/>
        </w:rPr>
        <w:t>：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</w:t>
      </w:r>
    </w:p>
    <w:p>
      <w:pPr>
        <w:pStyle w:val="BodyText"/>
        <w:spacing w:before="6"/>
        <w:rPr>
          <w:sz w:val="33"/>
        </w:rPr>
      </w:pPr>
    </w:p>
    <w:p>
      <w:pPr>
        <w:pStyle w:val="BodyText"/>
        <w:tabs>
          <w:tab w:pos="1437" w:val="left" w:leader="none"/>
        </w:tabs>
        <w:spacing w:before="1"/>
        <w:ind w:left="557"/>
      </w:pPr>
      <w:r>
        <w:rPr>
          <w:rFonts w:ascii="方正黑体_GBK" w:eastAsia="方正黑体_GBK" w:hint="eastAsia"/>
          <w:color w:val="231F20"/>
        </w:rPr>
        <w:t>第一条</w:t>
        <w:tab/>
      </w:r>
      <w:r>
        <w:rPr>
          <w:color w:val="231F20"/>
        </w:rPr>
        <w:t>修缮修理项目、数量、报酬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4"/>
        <w:gridCol w:w="1638"/>
        <w:gridCol w:w="2235"/>
        <w:gridCol w:w="1340"/>
        <w:gridCol w:w="1325"/>
      </w:tblGrid>
      <w:tr>
        <w:trPr>
          <w:trHeight w:val="280" w:hRule="atLeast"/>
        </w:trPr>
        <w:tc>
          <w:tcPr>
            <w:tcW w:w="2524" w:type="dxa"/>
            <w:vMerge w:val="restart"/>
          </w:tcPr>
          <w:p>
            <w:pPr>
              <w:pStyle w:val="TableParagraph"/>
              <w:spacing w:before="138"/>
              <w:ind w:left="451"/>
              <w:rPr>
                <w:sz w:val="18"/>
              </w:rPr>
            </w:pPr>
            <w:r>
              <w:rPr>
                <w:color w:val="231F20"/>
                <w:sz w:val="18"/>
              </w:rPr>
              <w:t>修缮修理项目及内容</w:t>
            </w:r>
          </w:p>
        </w:tc>
        <w:tc>
          <w:tcPr>
            <w:tcW w:w="1638" w:type="dxa"/>
            <w:vMerge w:val="restart"/>
          </w:tcPr>
          <w:p>
            <w:pPr>
              <w:pStyle w:val="TableParagraph"/>
              <w:spacing w:before="138"/>
              <w:ind w:left="45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2235" w:type="dxa"/>
            <w:vMerge w:val="restart"/>
          </w:tcPr>
          <w:p>
            <w:pPr>
              <w:pStyle w:val="TableParagraph"/>
              <w:spacing w:before="138"/>
              <w:ind w:left="577"/>
              <w:rPr>
                <w:sz w:val="18"/>
              </w:rPr>
            </w:pPr>
            <w:r>
              <w:rPr>
                <w:color w:val="231F20"/>
                <w:sz w:val="18"/>
              </w:rPr>
              <w:t>数量或工作量</w:t>
            </w:r>
          </w:p>
        </w:tc>
        <w:tc>
          <w:tcPr>
            <w:tcW w:w="2665" w:type="dxa"/>
            <w:gridSpan w:val="2"/>
          </w:tcPr>
          <w:p>
            <w:pPr>
              <w:pStyle w:val="TableParagraph"/>
              <w:spacing w:line="260" w:lineRule="exact"/>
              <w:ind w:left="1132" w:right="112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报酬</w:t>
            </w:r>
          </w:p>
        </w:tc>
      </w:tr>
      <w:tr>
        <w:trPr>
          <w:trHeight w:val="280" w:hRule="atLeast"/>
        </w:trPr>
        <w:tc>
          <w:tcPr>
            <w:tcW w:w="252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3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3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spacing w:line="260" w:lineRule="exact"/>
              <w:ind w:left="469" w:right="460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1325" w:type="dxa"/>
          </w:tcPr>
          <w:p>
            <w:pPr>
              <w:pStyle w:val="TableParagraph"/>
              <w:spacing w:line="260" w:lineRule="exact"/>
              <w:ind w:left="462" w:right="453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金额</w:t>
            </w:r>
          </w:p>
        </w:tc>
      </w:tr>
      <w:tr>
        <w:trPr>
          <w:trHeight w:val="2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252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3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80" w:hRule="atLeast"/>
        </w:trPr>
        <w:tc>
          <w:tcPr>
            <w:tcW w:w="9062" w:type="dxa"/>
            <w:gridSpan w:val="5"/>
          </w:tcPr>
          <w:p>
            <w:pPr>
              <w:pStyle w:val="TableParagraph"/>
              <w:spacing w:line="260" w:lineRule="exact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合计人民币金额（大写）</w:t>
            </w:r>
          </w:p>
        </w:tc>
      </w:tr>
    </w:tbl>
    <w:p>
      <w:pPr>
        <w:spacing w:before="14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9"/>
        <w:rPr>
          <w:rFonts w:ascii="方正楷体_GBK"/>
        </w:rPr>
      </w:pPr>
    </w:p>
    <w:p>
      <w:pPr>
        <w:pStyle w:val="BodyText"/>
        <w:tabs>
          <w:tab w:pos="1437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第二条</w:t>
        <w:tab/>
      </w:r>
      <w:r>
        <w:rPr>
          <w:color w:val="231F20"/>
        </w:rPr>
        <w:t>材料</w:t>
      </w:r>
    </w:p>
    <w:p>
      <w:pPr>
        <w:pStyle w:val="BodyText"/>
        <w:spacing w:before="14"/>
        <w:rPr>
          <w:sz w:val="12"/>
        </w:rPr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9"/>
        <w:gridCol w:w="538"/>
        <w:gridCol w:w="978"/>
        <w:gridCol w:w="978"/>
        <w:gridCol w:w="978"/>
        <w:gridCol w:w="489"/>
        <w:gridCol w:w="489"/>
        <w:gridCol w:w="733"/>
        <w:gridCol w:w="977"/>
        <w:gridCol w:w="977"/>
        <w:gridCol w:w="488"/>
        <w:gridCol w:w="504"/>
      </w:tblGrid>
      <w:tr>
        <w:trPr>
          <w:trHeight w:val="520" w:hRule="atLeast"/>
        </w:trPr>
        <w:tc>
          <w:tcPr>
            <w:tcW w:w="929" w:type="dxa"/>
          </w:tcPr>
          <w:p>
            <w:pPr>
              <w:pStyle w:val="TableParagraph"/>
              <w:spacing w:before="106"/>
              <w:ind w:left="103"/>
              <w:rPr>
                <w:sz w:val="18"/>
              </w:rPr>
            </w:pPr>
            <w:r>
              <w:rPr>
                <w:color w:val="231F20"/>
                <w:sz w:val="18"/>
              </w:rPr>
              <w:t>材料名称</w:t>
            </w:r>
          </w:p>
        </w:tc>
        <w:tc>
          <w:tcPr>
            <w:tcW w:w="538" w:type="dxa"/>
          </w:tcPr>
          <w:p>
            <w:pPr>
              <w:pStyle w:val="TableParagraph"/>
              <w:spacing w:before="106"/>
              <w:ind w:left="88"/>
              <w:rPr>
                <w:sz w:val="18"/>
              </w:rPr>
            </w:pPr>
            <w:r>
              <w:rPr>
                <w:color w:val="231F20"/>
                <w:sz w:val="18"/>
              </w:rPr>
              <w:t>商标</w:t>
            </w:r>
          </w:p>
        </w:tc>
        <w:tc>
          <w:tcPr>
            <w:tcW w:w="978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生产厂家</w:t>
            </w:r>
          </w:p>
        </w:tc>
        <w:tc>
          <w:tcPr>
            <w:tcW w:w="978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规格型号</w:t>
            </w:r>
          </w:p>
        </w:tc>
        <w:tc>
          <w:tcPr>
            <w:tcW w:w="978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计量单位</w:t>
            </w:r>
          </w:p>
        </w:tc>
        <w:tc>
          <w:tcPr>
            <w:tcW w:w="489" w:type="dxa"/>
          </w:tcPr>
          <w:p>
            <w:pPr>
              <w:pStyle w:val="TableParagraph"/>
              <w:spacing w:before="106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数量</w:t>
            </w:r>
          </w:p>
        </w:tc>
        <w:tc>
          <w:tcPr>
            <w:tcW w:w="489" w:type="dxa"/>
          </w:tcPr>
          <w:p>
            <w:pPr>
              <w:pStyle w:val="TableParagraph"/>
              <w:spacing w:before="106"/>
              <w:ind w:left="63"/>
              <w:rPr>
                <w:sz w:val="18"/>
              </w:rPr>
            </w:pPr>
            <w:r>
              <w:rPr>
                <w:color w:val="231F20"/>
                <w:sz w:val="18"/>
              </w:rPr>
              <w:t>质量</w:t>
            </w:r>
          </w:p>
        </w:tc>
        <w:tc>
          <w:tcPr>
            <w:tcW w:w="733" w:type="dxa"/>
          </w:tcPr>
          <w:p>
            <w:pPr>
              <w:pStyle w:val="TableParagraph"/>
              <w:spacing w:before="106"/>
              <w:ind w:left="95"/>
              <w:rPr>
                <w:sz w:val="18"/>
              </w:rPr>
            </w:pPr>
            <w:r>
              <w:rPr>
                <w:color w:val="231F20"/>
                <w:sz w:val="18"/>
              </w:rPr>
              <w:t>提供人</w:t>
            </w:r>
          </w:p>
        </w:tc>
        <w:tc>
          <w:tcPr>
            <w:tcW w:w="977" w:type="dxa"/>
          </w:tcPr>
          <w:p>
            <w:pPr>
              <w:pStyle w:val="TableParagraph"/>
              <w:spacing w:before="106"/>
              <w:ind w:left="128"/>
              <w:rPr>
                <w:sz w:val="18"/>
              </w:rPr>
            </w:pPr>
            <w:r>
              <w:rPr>
                <w:color w:val="231F20"/>
                <w:sz w:val="18"/>
              </w:rPr>
              <w:t>交付日期</w:t>
            </w:r>
          </w:p>
        </w:tc>
        <w:tc>
          <w:tcPr>
            <w:tcW w:w="977" w:type="dxa"/>
          </w:tcPr>
          <w:p>
            <w:pPr>
              <w:pStyle w:val="TableParagraph"/>
              <w:spacing w:before="106"/>
              <w:ind w:left="129"/>
              <w:rPr>
                <w:sz w:val="18"/>
              </w:rPr>
            </w:pPr>
            <w:r>
              <w:rPr>
                <w:color w:val="231F20"/>
                <w:sz w:val="18"/>
              </w:rPr>
              <w:t>消耗定额</w:t>
            </w:r>
          </w:p>
        </w:tc>
        <w:tc>
          <w:tcPr>
            <w:tcW w:w="488" w:type="dxa"/>
          </w:tcPr>
          <w:p>
            <w:pPr>
              <w:pStyle w:val="TableParagraph"/>
              <w:spacing w:before="106"/>
              <w:ind w:left="65"/>
              <w:rPr>
                <w:sz w:val="18"/>
              </w:rPr>
            </w:pPr>
            <w:r>
              <w:rPr>
                <w:color w:val="231F20"/>
                <w:sz w:val="18"/>
              </w:rPr>
              <w:t>单价</w:t>
            </w:r>
          </w:p>
        </w:tc>
        <w:tc>
          <w:tcPr>
            <w:tcW w:w="504" w:type="dxa"/>
          </w:tcPr>
          <w:p>
            <w:pPr>
              <w:pStyle w:val="TableParagraph"/>
              <w:spacing w:before="106"/>
              <w:ind w:left="74"/>
              <w:rPr>
                <w:sz w:val="18"/>
              </w:rPr>
            </w:pPr>
            <w:r>
              <w:rPr>
                <w:color w:val="231F20"/>
                <w:sz w:val="18"/>
              </w:rPr>
              <w:t>价款</w:t>
            </w:r>
          </w:p>
        </w:tc>
      </w:tr>
      <w:tr>
        <w:trPr>
          <w:trHeight w:val="360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92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9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before="146"/>
        <w:ind w:left="0" w:right="115" w:firstLine="0"/>
        <w:jc w:val="right"/>
        <w:rPr>
          <w:rFonts w:ascii="方正楷体_GBK" w:eastAsia="方正楷体_GBK" w:hint="eastAsia"/>
          <w:sz w:val="16"/>
        </w:rPr>
      </w:pPr>
      <w:r>
        <w:rPr>
          <w:rFonts w:ascii="方正楷体_GBK" w:eastAsia="方正楷体_GBK" w:hint="eastAsia"/>
          <w:color w:val="231F20"/>
          <w:sz w:val="16"/>
        </w:rPr>
        <w:t>（注：空格如不够用，可以另接）</w:t>
      </w:r>
    </w:p>
    <w:p>
      <w:pPr>
        <w:pStyle w:val="BodyText"/>
        <w:spacing w:before="9"/>
        <w:rPr>
          <w:rFonts w:ascii="方正楷体_GBK"/>
        </w:rPr>
      </w:pPr>
    </w:p>
    <w:p>
      <w:pPr>
        <w:pStyle w:val="BodyText"/>
        <w:tabs>
          <w:tab w:pos="1437" w:val="left" w:leader="none"/>
          <w:tab w:pos="9188" w:val="left" w:leader="none"/>
        </w:tabs>
        <w:ind w:left="557"/>
      </w:pPr>
      <w:r>
        <w:rPr>
          <w:rFonts w:ascii="方正黑体_GBK" w:eastAsia="方正黑体_GBK" w:hint="eastAsia"/>
          <w:color w:val="231F20"/>
        </w:rPr>
        <w:t>第三条</w:t>
        <w:tab/>
      </w:r>
      <w:r>
        <w:rPr>
          <w:color w:val="231F20"/>
        </w:rPr>
        <w:t>定作人检验承揽人提供材料的标准、方法、时间及地点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0;mso-wrap-distance-left:0;mso-wrap-distance-right:0" from="70.866096pt,20.672079pt" to="524.409096pt,20.672079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48;mso-wrap-distance-left:0;mso-wrap-distance-right:0" from="70.866096pt,41.672081pt" to="524.409096pt,41.67208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9188" w:val="left" w:leader="none"/>
        </w:tabs>
        <w:spacing w:before="63"/>
        <w:ind w:left="557"/>
      </w:pPr>
      <w:r>
        <w:rPr>
          <w:color w:val="231F20"/>
        </w:rPr>
        <w:t>承揽人检验定作人提供材料的标准、方法、时间及地点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072;mso-wrap-distance-left:0;mso-wrap-distance-right:0" from="70.866096pt,20.668283pt" to="524.409096pt,20.668283pt" stroked="true" strokeweight=".283pt" strokecolor="#231f2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1096;mso-wrap-distance-left:0;mso-wrap-distance-right:0" from="70.866096pt,41.668282pt" to="524.409096pt,41.668282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rPr>
          <w:sz w:val="23"/>
        </w:rPr>
      </w:pPr>
    </w:p>
    <w:p>
      <w:pPr>
        <w:pStyle w:val="BodyText"/>
        <w:tabs>
          <w:tab w:pos="1437" w:val="left" w:leader="none"/>
          <w:tab w:pos="3857" w:val="left" w:leader="none"/>
          <w:tab w:pos="4517" w:val="left" w:leader="none"/>
          <w:tab w:pos="5177" w:val="left" w:leader="none"/>
          <w:tab w:pos="6497" w:val="left" w:leader="none"/>
          <w:tab w:pos="7157" w:val="left" w:leader="none"/>
          <w:tab w:pos="781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第四条</w:t>
        <w:tab/>
      </w:r>
      <w:r>
        <w:rPr>
          <w:color w:val="231F20"/>
        </w:rPr>
        <w:t>修缮修理时间从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日至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日。</w:t>
      </w:r>
    </w:p>
    <w:p>
      <w:pPr>
        <w:pStyle w:val="BodyText"/>
        <w:tabs>
          <w:tab w:pos="1437" w:val="left" w:leader="none"/>
          <w:tab w:pos="9188" w:val="left" w:leader="none"/>
        </w:tabs>
        <w:spacing w:before="82"/>
        <w:ind w:left="557"/>
      </w:pPr>
      <w:r>
        <w:rPr>
          <w:rFonts w:ascii="方正黑体_GBK" w:eastAsia="方正黑体_GBK" w:hint="eastAsia"/>
          <w:color w:val="231F20"/>
        </w:rPr>
        <w:t>第五条</w:t>
        <w:tab/>
      </w:r>
      <w:r>
        <w:rPr>
          <w:color w:val="231F20"/>
        </w:rPr>
        <w:t>修缮修理项目的技术标准、质量要求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0"/>
        <w:rPr>
          <w:sz w:val="24"/>
        </w:rPr>
      </w:pPr>
      <w:r>
        <w:rPr/>
        <w:pict>
          <v:line style="position:absolute;mso-position-horizontal-relative:page;mso-position-vertical-relative:paragraph;z-index:1120;mso-wrap-distance-left:0;mso-wrap-distance-right:0" from="70.866096pt,20.658501pt" to="524.409096pt,20.65850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3"/>
        <w:rPr>
          <w:sz w:val="19"/>
        </w:rPr>
      </w:pPr>
    </w:p>
    <w:p>
      <w:pPr>
        <w:spacing w:before="92"/>
        <w:ind w:left="0" w:right="195" w:firstLine="0"/>
        <w:jc w:val="righ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1</w:t>
      </w:r>
    </w:p>
    <w:p>
      <w:pPr>
        <w:spacing w:after="0"/>
        <w:jc w:val="right"/>
        <w:rPr>
          <w:rFonts w:ascii="Times New Roman"/>
          <w:sz w:val="20"/>
        </w:rPr>
        <w:sectPr>
          <w:type w:val="continuous"/>
          <w:pgSz w:w="11910" w:h="16840"/>
          <w:pgMar w:top="1580" w:bottom="280" w:left="1300" w:right="1220"/>
        </w:sectPr>
      </w:pPr>
    </w:p>
    <w:p>
      <w:pPr>
        <w:pStyle w:val="BodyText"/>
        <w:tabs>
          <w:tab w:pos="1437" w:val="left" w:leader="none"/>
          <w:tab w:pos="9188" w:val="left" w:leader="none"/>
        </w:tabs>
        <w:spacing w:before="18"/>
        <w:ind w:left="557"/>
      </w:pPr>
      <w:r>
        <w:rPr>
          <w:rFonts w:ascii="方正黑体_GBK" w:eastAsia="方正黑体_GBK" w:hint="eastAsia"/>
          <w:color w:val="231F20"/>
        </w:rPr>
        <w:t>第六条</w:t>
        <w:tab/>
      </w:r>
      <w:r>
        <w:rPr>
          <w:color w:val="231F20"/>
        </w:rPr>
        <w:t>定作人提供技术资料、图纸的时间、办法及保密要求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11"/>
        <w:rPr>
          <w:sz w:val="24"/>
        </w:rPr>
      </w:pPr>
      <w:r>
        <w:rPr/>
        <w:pict>
          <v:line style="position:absolute;mso-position-horizontal-relative:page;mso-position-vertical-relative:paragraph;z-index:1144;mso-wrap-distance-left:0;mso-wrap-distance-right:0" from="70.866096pt,20.696898pt" to="524.409096pt,20.696898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tabs>
          <w:tab w:pos="1437" w:val="left" w:leader="none"/>
        </w:tabs>
        <w:spacing w:before="57"/>
        <w:ind w:left="557"/>
      </w:pPr>
      <w:r>
        <w:rPr>
          <w:rFonts w:ascii="方正黑体_GBK" w:eastAsia="方正黑体_GBK" w:hint="eastAsia"/>
          <w:color w:val="231F20"/>
        </w:rPr>
        <w:t>第七条</w:t>
        <w:tab/>
      </w:r>
      <w:r>
        <w:rPr>
          <w:color w:val="231F20"/>
        </w:rPr>
        <w:t>定作人（是／否）允许第三人修缮修理项目的主要工作。</w:t>
      </w:r>
    </w:p>
    <w:p>
      <w:pPr>
        <w:pStyle w:val="BodyText"/>
        <w:tabs>
          <w:tab w:pos="9188" w:val="left" w:leader="none"/>
        </w:tabs>
        <w:spacing w:line="597" w:lineRule="auto" w:before="82" w:after="22"/>
        <w:ind w:left="557" w:right="116"/>
        <w:jc w:val="both"/>
      </w:pPr>
      <w:r>
        <w:rPr/>
        <w:pict>
          <v:line style="position:absolute;mso-position-horizontal-relative:page;mso-position-vertical-relative:paragraph;z-index:-9232" from="70.866096pt,41.636337pt" to="524.409096pt,41.63633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9208" from="70.866096pt,83.636337pt" to="524.409096pt,83.636337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第八条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定作人协助承揽人的事项与要求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第九条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修缮修理项目交付时间、方式及地点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修缮修理项目检验标准、方法及时间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57" w:val="left" w:leader="none"/>
          <w:tab w:pos="3417" w:val="left" w:leader="none"/>
          <w:tab w:pos="4077" w:val="left" w:leader="none"/>
          <w:tab w:pos="4737" w:val="left" w:leader="none"/>
          <w:tab w:pos="8807" w:val="left" w:leader="none"/>
        </w:tabs>
        <w:spacing w:before="72"/>
        <w:ind w:left="557"/>
      </w:pPr>
      <w:r>
        <w:rPr>
          <w:rFonts w:ascii="方正黑体_GBK" w:eastAsia="方正黑体_GBK" w:hint="eastAsia"/>
          <w:color w:val="231F20"/>
        </w:rPr>
        <w:t>第十一条</w:t>
        <w:tab/>
      </w:r>
      <w:r>
        <w:rPr>
          <w:color w:val="231F20"/>
        </w:rPr>
        <w:t>定作人在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年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月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日前向承揽人预付材料款（大写</w:t>
      </w:r>
      <w:r>
        <w:rPr>
          <w:color w:val="231F20"/>
          <w:u w:val="single" w:color="231F20"/>
        </w:rPr>
        <w:t>）</w:t>
        <w:tab/>
      </w:r>
      <w:r>
        <w:rPr>
          <w:color w:val="231F20"/>
        </w:rPr>
        <w:t>元。</w:t>
      </w:r>
    </w:p>
    <w:p>
      <w:pPr>
        <w:pStyle w:val="BodyText"/>
        <w:tabs>
          <w:tab w:pos="9188" w:val="left" w:leader="none"/>
        </w:tabs>
        <w:spacing w:line="588" w:lineRule="auto" w:before="83" w:after="13"/>
        <w:ind w:left="557" w:right="170"/>
        <w:jc w:val="both"/>
      </w:pPr>
      <w:r>
        <w:rPr/>
        <w:pict>
          <v:line style="position:absolute;mso-position-horizontal-relative:page;mso-position-vertical-relative:paragraph;z-index:-9184" from="70.866096pt,41.686337pt" to="524.409096pt,41.686337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9160" from="70.866096pt,83.68634pt" to="524.409096pt,83.68634pt" stroked="true" strokeweight=".283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9136" from="70.866096pt,124.68634pt" to="524.409096pt,124.68634pt" stroked="true" strokeweight=".283pt" strokecolor="#231f20">
            <v:stroke dashstyle="solid"/>
            <w10:wrap type="none"/>
          </v:line>
        </w:pict>
      </w:r>
      <w:r>
        <w:rPr>
          <w:rFonts w:ascii="方正黑体_GBK" w:eastAsia="方正黑体_GBK" w:hint="eastAsia"/>
          <w:color w:val="231F20"/>
        </w:rPr>
        <w:t>第十二条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报酬及材料费的结算方式及期限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第十三条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保修期限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第十四条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本合同解除的条件</w:t>
      </w:r>
      <w:r>
        <w:rPr>
          <w:color w:val="231F20"/>
          <w:u w:val="single" w:color="231F20"/>
        </w:rPr>
        <w:t>：</w:t>
        <w:tab/>
        <w:t> </w:t>
      </w:r>
      <w:r>
        <w:rPr>
          <w:rFonts w:ascii="方正黑体_GBK" w:eastAsia="方正黑体_GBK" w:hint="eastAsia"/>
          <w:color w:val="231F20"/>
        </w:rPr>
        <w:t>第十五条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违约责任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line="20" w:lineRule="exact"/>
        <w:ind w:left="117"/>
        <w:rPr>
          <w:sz w:val="2"/>
        </w:rPr>
      </w:pPr>
      <w:r>
        <w:rPr>
          <w:sz w:val="2"/>
        </w:rPr>
        <w:pict>
          <v:group style="width:453.55pt;height:.3pt;mso-position-horizontal-relative:char;mso-position-vertical-relative:line" coordorigin="0,0" coordsize="9071,6">
            <v:line style="position:absolute" from="0,3" to="9071,3" stroked="true" strokeweight=".283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669" w:val="left" w:leader="none"/>
          <w:tab w:pos="7267" w:val="left" w:leader="none"/>
        </w:tabs>
        <w:spacing w:line="290" w:lineRule="auto" w:before="52"/>
        <w:ind w:left="117" w:right="170" w:firstLine="440"/>
      </w:pPr>
      <w:r>
        <w:rPr>
          <w:rFonts w:ascii="方正黑体_GBK" w:eastAsia="方正黑体_GBK" w:hint="eastAsia"/>
          <w:color w:val="231F20"/>
        </w:rPr>
        <w:t>第十六条</w:t>
        <w:tab/>
      </w:r>
      <w:r>
        <w:rPr>
          <w:color w:val="231F20"/>
        </w:rPr>
        <w:t>合同争议的解决方式</w:t>
      </w:r>
      <w:r>
        <w:rPr>
          <w:color w:val="231F20"/>
          <w:spacing w:val="-52"/>
        </w:rPr>
        <w:t>：</w:t>
      </w:r>
      <w:r>
        <w:rPr>
          <w:color w:val="231F20"/>
        </w:rPr>
        <w:t>本合同在履行过程中发生的争议，由双方当事人协商解  决</w:t>
      </w:r>
      <w:r>
        <w:rPr>
          <w:color w:val="231F20"/>
          <w:spacing w:val="-55"/>
        </w:rPr>
        <w:t>；</w:t>
      </w:r>
      <w:r>
        <w:rPr>
          <w:color w:val="231F20"/>
        </w:rPr>
        <w:t>也可由当地工商行政管理部门调解</w:t>
      </w:r>
      <w:r>
        <w:rPr>
          <w:color w:val="231F20"/>
          <w:spacing w:val="-55"/>
        </w:rPr>
        <w:t>；</w:t>
      </w:r>
      <w:r>
        <w:rPr>
          <w:color w:val="231F20"/>
        </w:rPr>
        <w:t>协商或调解不成的，按下列第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种方式解决：</w:t>
      </w:r>
    </w:p>
    <w:p>
      <w:pPr>
        <w:pStyle w:val="BodyText"/>
        <w:tabs>
          <w:tab w:pos="2427" w:val="left" w:leader="none"/>
        </w:tabs>
        <w:spacing w:before="16"/>
        <w:ind w:left="447"/>
      </w:pPr>
      <w:r>
        <w:rPr>
          <w:color w:val="231F20"/>
        </w:rPr>
        <w:t>（一）提交</w:t>
      </w:r>
      <w:r>
        <w:rPr>
          <w:color w:val="231F20"/>
          <w:u w:val="single" w:color="231F20"/>
        </w:rPr>
        <w:t> </w:t>
        <w:tab/>
      </w:r>
      <w:r>
        <w:rPr>
          <w:color w:val="231F20"/>
        </w:rPr>
        <w:t>仲裁委员会仲裁；</w:t>
      </w:r>
    </w:p>
    <w:p>
      <w:pPr>
        <w:pStyle w:val="BodyText"/>
        <w:spacing w:before="69"/>
        <w:ind w:left="447"/>
      </w:pPr>
      <w:r>
        <w:rPr>
          <w:color w:val="231F20"/>
        </w:rPr>
        <w:t>（二）依法向人民法院起诉。</w:t>
      </w:r>
    </w:p>
    <w:p>
      <w:pPr>
        <w:pStyle w:val="BodyText"/>
        <w:tabs>
          <w:tab w:pos="9188" w:val="left" w:leader="none"/>
        </w:tabs>
        <w:spacing w:before="63"/>
        <w:ind w:left="557"/>
        <w:jc w:val="both"/>
      </w:pPr>
      <w:r>
        <w:rPr>
          <w:rFonts w:ascii="方正黑体_GBK" w:eastAsia="方正黑体_GBK" w:hint="eastAsia"/>
          <w:color w:val="231F20"/>
        </w:rPr>
        <w:t>第十七条  </w:t>
      </w:r>
      <w:r>
        <w:rPr>
          <w:rFonts w:ascii="方正黑体_GBK" w:eastAsia="方正黑体_GBK" w:hint="eastAsia"/>
          <w:color w:val="231F20"/>
          <w:spacing w:val="35"/>
        </w:rPr>
        <w:t> </w:t>
      </w:r>
      <w:r>
        <w:rPr>
          <w:color w:val="231F20"/>
        </w:rPr>
        <w:t>其他约定事项</w:t>
      </w:r>
      <w:r>
        <w:rPr>
          <w:color w:val="231F20"/>
          <w:u w:val="single" w:color="231F20"/>
        </w:rPr>
        <w:t>：</w:t>
        <w:tab/>
      </w:r>
    </w:p>
    <w:p>
      <w:pPr>
        <w:pStyle w:val="BodyText"/>
        <w:spacing w:before="6"/>
        <w:rPr>
          <w:sz w:val="23"/>
        </w:rPr>
      </w:pPr>
      <w:r>
        <w:rPr/>
        <w:pict>
          <v:line style="position:absolute;mso-position-horizontal-relative:page;mso-position-vertical-relative:paragraph;z-index:1216;mso-wrap-distance-left:0;mso-wrap-distance-right:0" from="70.866096pt,19.694391pt" to="524.409096pt,19.694391pt" stroked="true" strokeweight=".283pt" strokecolor="#231f20">
            <v:stroke dashstyle="solid"/>
            <w10:wrap type="topAndBottom"/>
          </v:line>
        </w:pict>
      </w:r>
    </w:p>
    <w:p>
      <w:pPr>
        <w:pStyle w:val="BodyText"/>
        <w:spacing w:before="8"/>
      </w:pP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2"/>
        <w:gridCol w:w="3080"/>
        <w:gridCol w:w="2869"/>
      </w:tblGrid>
      <w:tr>
        <w:trPr>
          <w:trHeight w:val="2940" w:hRule="atLeast"/>
        </w:trPr>
        <w:tc>
          <w:tcPr>
            <w:tcW w:w="3112" w:type="dxa"/>
          </w:tcPr>
          <w:p>
            <w:pPr>
              <w:pStyle w:val="TableParagraph"/>
              <w:spacing w:line="284" w:lineRule="exact" w:before="8"/>
              <w:ind w:left="1255"/>
              <w:rPr>
                <w:sz w:val="20"/>
              </w:rPr>
            </w:pPr>
            <w:r>
              <w:rPr>
                <w:color w:val="231F20"/>
                <w:sz w:val="20"/>
              </w:rPr>
              <w:t>定作人</w:t>
            </w:r>
          </w:p>
          <w:p>
            <w:pPr>
              <w:pStyle w:val="TableParagraph"/>
              <w:spacing w:line="230" w:lineRule="auto"/>
              <w:ind w:left="84" w:right="1738"/>
              <w:rPr>
                <w:sz w:val="18"/>
              </w:rPr>
            </w:pPr>
            <w:r>
              <w:rPr>
                <w:color w:val="231F20"/>
                <w:sz w:val="18"/>
              </w:rPr>
              <w:t>定作人（章）： 住所：</w:t>
            </w:r>
          </w:p>
          <w:p>
            <w:pPr>
              <w:pStyle w:val="TableParagraph"/>
              <w:spacing w:line="255" w:lineRule="exact" w:before="6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4" w:right="1918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4" w:right="2098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4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3080" w:type="dxa"/>
          </w:tcPr>
          <w:p>
            <w:pPr>
              <w:pStyle w:val="TableParagraph"/>
              <w:spacing w:line="284" w:lineRule="exact" w:before="8"/>
              <w:ind w:left="1238"/>
              <w:rPr>
                <w:sz w:val="20"/>
              </w:rPr>
            </w:pPr>
            <w:r>
              <w:rPr>
                <w:color w:val="231F20"/>
                <w:sz w:val="20"/>
              </w:rPr>
              <w:t>承揽人</w:t>
            </w:r>
          </w:p>
          <w:p>
            <w:pPr>
              <w:pStyle w:val="TableParagraph"/>
              <w:spacing w:line="230" w:lineRule="auto"/>
              <w:ind w:left="83" w:right="1707"/>
              <w:rPr>
                <w:sz w:val="18"/>
              </w:rPr>
            </w:pPr>
            <w:r>
              <w:rPr>
                <w:color w:val="231F20"/>
                <w:sz w:val="18"/>
              </w:rPr>
              <w:t>承揽人（章）： 住所：</w:t>
            </w:r>
          </w:p>
          <w:p>
            <w:pPr>
              <w:pStyle w:val="TableParagraph"/>
              <w:spacing w:line="255" w:lineRule="exact" w:before="6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法定代表人：</w:t>
            </w:r>
          </w:p>
          <w:p>
            <w:pPr>
              <w:pStyle w:val="TableParagraph"/>
              <w:spacing w:line="265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居民身份证号码：</w:t>
            </w:r>
          </w:p>
          <w:p>
            <w:pPr>
              <w:pStyle w:val="TableParagraph"/>
              <w:spacing w:before="5"/>
              <w:rPr>
                <w:sz w:val="17"/>
              </w:rPr>
            </w:pPr>
          </w:p>
          <w:p>
            <w:pPr>
              <w:pStyle w:val="TableParagraph"/>
              <w:spacing w:line="230" w:lineRule="auto"/>
              <w:ind w:left="83" w:right="1887"/>
              <w:rPr>
                <w:sz w:val="18"/>
              </w:rPr>
            </w:pPr>
            <w:r>
              <w:rPr>
                <w:color w:val="231F20"/>
                <w:sz w:val="18"/>
              </w:rPr>
              <w:t>委托代理人： 电话：</w:t>
            </w:r>
          </w:p>
          <w:p>
            <w:pPr>
              <w:pStyle w:val="TableParagraph"/>
              <w:spacing w:line="230" w:lineRule="auto"/>
              <w:ind w:left="83" w:right="2067"/>
              <w:rPr>
                <w:sz w:val="18"/>
              </w:rPr>
            </w:pPr>
            <w:r>
              <w:rPr>
                <w:color w:val="231F20"/>
                <w:sz w:val="18"/>
              </w:rPr>
              <w:t>开户银行： 账号：</w:t>
            </w:r>
          </w:p>
          <w:p>
            <w:pPr>
              <w:pStyle w:val="TableParagraph"/>
              <w:spacing w:line="260" w:lineRule="exact"/>
              <w:ind w:left="83"/>
              <w:rPr>
                <w:sz w:val="18"/>
              </w:rPr>
            </w:pPr>
            <w:r>
              <w:rPr>
                <w:color w:val="231F20"/>
                <w:sz w:val="18"/>
              </w:rPr>
              <w:t>邮政编码：</w:t>
            </w:r>
          </w:p>
        </w:tc>
        <w:tc>
          <w:tcPr>
            <w:tcW w:w="2869" w:type="dxa"/>
          </w:tcPr>
          <w:p>
            <w:pPr>
              <w:pStyle w:val="TableParagraph"/>
              <w:spacing w:before="138"/>
              <w:ind w:left="732"/>
              <w:rPr>
                <w:sz w:val="20"/>
              </w:rPr>
            </w:pPr>
            <w:r>
              <w:rPr>
                <w:color w:val="231F20"/>
                <w:sz w:val="20"/>
              </w:rPr>
              <w:t>鉴（公）证意见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before="4"/>
              <w:rPr>
                <w:sz w:val="14"/>
              </w:rPr>
            </w:pPr>
          </w:p>
          <w:p>
            <w:pPr>
              <w:pStyle w:val="TableParagraph"/>
              <w:spacing w:line="230" w:lineRule="auto"/>
              <w:ind w:left="83" w:right="956"/>
              <w:rPr>
                <w:sz w:val="18"/>
              </w:rPr>
            </w:pPr>
            <w:r>
              <w:rPr>
                <w:color w:val="231F20"/>
                <w:sz w:val="18"/>
              </w:rPr>
              <w:t>鉴（公）证机关（章） 经办人：</w:t>
            </w:r>
          </w:p>
          <w:p>
            <w:pPr>
              <w:pStyle w:val="TableParagraph"/>
              <w:spacing w:line="260" w:lineRule="exact"/>
              <w:ind w:left="1887"/>
              <w:rPr>
                <w:sz w:val="18"/>
              </w:rPr>
            </w:pPr>
            <w:r>
              <w:rPr>
                <w:color w:val="231F20"/>
                <w:sz w:val="18"/>
              </w:rPr>
              <w:t>年    月   日</w:t>
            </w:r>
          </w:p>
        </w:tc>
      </w:tr>
    </w:tbl>
    <w:p>
      <w:pPr>
        <w:pStyle w:val="BodyText"/>
        <w:tabs>
          <w:tab w:pos="4462" w:val="left" w:leader="none"/>
        </w:tabs>
        <w:spacing w:before="34"/>
        <w:ind w:left="557"/>
      </w:pPr>
      <w:r>
        <w:rPr>
          <w:color w:val="231F20"/>
        </w:rPr>
        <w:t>监督部门：</w:t>
        <w:tab/>
        <w:t>印制单位：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8"/>
        </w:rPr>
      </w:pPr>
    </w:p>
    <w:p>
      <w:pPr>
        <w:spacing w:before="91"/>
        <w:ind w:left="117" w:right="0" w:firstLine="0"/>
        <w:jc w:val="left"/>
        <w:rPr>
          <w:rFonts w:ascii="Times New Roman"/>
          <w:sz w:val="20"/>
        </w:rPr>
      </w:pPr>
      <w:r>
        <w:rPr>
          <w:rFonts w:ascii="Times New Roman"/>
          <w:color w:val="231F20"/>
          <w:sz w:val="20"/>
        </w:rPr>
        <w:t>2</w:t>
      </w:r>
    </w:p>
    <w:sectPr>
      <w:pgSz w:w="11910" w:h="16840"/>
      <w:pgMar w:top="1580" w:bottom="280" w:left="1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书宋_GBK">
    <w:altName w:val="方正书宋_GBK"/>
    <w:charset w:val="86"/>
    <w:family w:val="script"/>
    <w:pitch w:val="fixed"/>
  </w:font>
  <w:font w:name="方正黑体_GBK">
    <w:altName w:val="方正黑体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宋黑_GBK">
    <w:altName w:val="方正宋黑_GBK"/>
    <w:charset w:val="86"/>
    <w:family w:val="script"/>
    <w:pitch w:val="fixed"/>
  </w:font>
  <w:font w:name="方正小标宋_GBK">
    <w:altName w:val="方正小标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2021-12-01T23:29:58Z</dcterms:created>
  <dcterms:modified xsi:type="dcterms:W3CDTF">2021-12-01T23:29:58Z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