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GF—96—0206</w:t>
      </w:r>
    </w:p>
    <w:p>
      <w:pPr>
        <w:pStyle w:val="BodyText"/>
        <w:spacing w:before="7"/>
        <w:ind w:left="0"/>
        <w:rPr>
          <w:rFonts w:ascii="Times New Roman"/>
          <w:b/>
          <w:sz w:val="43"/>
        </w:rPr>
      </w:pPr>
    </w:p>
    <w:p>
      <w:pPr>
        <w:spacing w:before="0"/>
        <w:ind w:left="1652" w:right="0" w:firstLine="0"/>
        <w:jc w:val="left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建筑装饰工程施工合同（乙种本）</w:t>
      </w:r>
    </w:p>
    <w:p>
      <w:pPr>
        <w:pStyle w:val="Heading1"/>
        <w:spacing w:before="151"/>
        <w:ind w:left="3796" w:right="3894"/>
        <w:jc w:val="center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（示范文本）</w:t>
      </w:r>
    </w:p>
    <w:p>
      <w:pPr>
        <w:pStyle w:val="BodyText"/>
        <w:spacing w:before="11"/>
        <w:ind w:left="0"/>
        <w:rPr>
          <w:rFonts w:ascii="方正楷体_GBK"/>
          <w:sz w:val="30"/>
        </w:rPr>
      </w:pPr>
    </w:p>
    <w:p>
      <w:pPr>
        <w:pStyle w:val="BodyText"/>
        <w:tabs>
          <w:tab w:pos="9188" w:val="left" w:leader="none"/>
        </w:tabs>
        <w:spacing w:line="304" w:lineRule="auto" w:before="0"/>
        <w:ind w:left="557" w:right="210"/>
        <w:jc w:val="both"/>
      </w:pPr>
      <w:r>
        <w:rPr>
          <w:color w:val="231F20"/>
        </w:rPr>
        <w:t>发包方（甲方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承包方（乙方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按照《中华人民共和国合同法》和《建筑安装工程承包合同条例》的规定，结合本工程具</w:t>
      </w:r>
    </w:p>
    <w:p>
      <w:pPr>
        <w:pStyle w:val="BodyText"/>
        <w:spacing w:before="21"/>
      </w:pPr>
      <w:r>
        <w:rPr>
          <w:color w:val="231F20"/>
        </w:rPr>
        <w:t>体情况，双方达成如下协议。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工程概况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工程名称</w:t>
      </w:r>
      <w:r>
        <w:rPr>
          <w:color w:val="231F20"/>
          <w:sz w:val="22"/>
          <w:u w:val="single" w:color="231F20"/>
        </w:rPr>
        <w:t>：</w:t>
        <w:tab/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工程地点</w:t>
      </w:r>
      <w:r>
        <w:rPr>
          <w:color w:val="231F20"/>
          <w:sz w:val="22"/>
          <w:u w:val="single" w:color="231F20"/>
        </w:rPr>
        <w:t>：</w:t>
        <w:tab/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承包范围</w:t>
      </w:r>
      <w:r>
        <w:rPr>
          <w:color w:val="231F20"/>
          <w:sz w:val="22"/>
          <w:u w:val="single" w:color="231F20"/>
        </w:rPr>
        <w:t>：</w:t>
        <w:tab/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承包方式</w:t>
      </w:r>
      <w:r>
        <w:rPr>
          <w:color w:val="231F20"/>
          <w:sz w:val="22"/>
          <w:u w:val="single" w:color="231F20"/>
        </w:rPr>
        <w:t>：</w:t>
        <w:tab/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3414" w:val="left" w:leader="none"/>
          <w:tab w:pos="4074" w:val="left" w:leader="none"/>
          <w:tab w:pos="4734" w:val="left" w:leader="none"/>
          <w:tab w:pos="6714" w:val="left" w:leader="none"/>
          <w:tab w:pos="7374" w:val="left" w:leader="none"/>
          <w:tab w:pos="8034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工期</w:t>
      </w:r>
      <w:r>
        <w:rPr>
          <w:color w:val="231F20"/>
          <w:spacing w:val="-55"/>
          <w:sz w:val="22"/>
        </w:rPr>
        <w:t>：</w:t>
      </w:r>
      <w:r>
        <w:rPr>
          <w:color w:val="231F20"/>
          <w:sz w:val="22"/>
        </w:rPr>
        <w:t>本工程自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年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月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日开工，于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年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月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日竣工。</w:t>
      </w:r>
    </w:p>
    <w:p>
      <w:pPr>
        <w:pStyle w:val="ListParagraph"/>
        <w:numPr>
          <w:ilvl w:val="1"/>
          <w:numId w:val="1"/>
        </w:numPr>
        <w:tabs>
          <w:tab w:pos="1049" w:val="left" w:leader="none"/>
          <w:tab w:pos="1050" w:val="left" w:leader="none"/>
          <w:tab w:pos="9188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工程质量</w:t>
      </w:r>
      <w:r>
        <w:rPr>
          <w:color w:val="231F20"/>
          <w:sz w:val="22"/>
          <w:u w:val="single" w:color="231F20"/>
        </w:rPr>
        <w:t>：</w:t>
        <w:tab/>
      </w:r>
    </w:p>
    <w:p>
      <w:pPr>
        <w:pStyle w:val="ListParagraph"/>
        <w:numPr>
          <w:ilvl w:val="1"/>
          <w:numId w:val="1"/>
        </w:numPr>
        <w:tabs>
          <w:tab w:pos="1103" w:val="left" w:leader="none"/>
          <w:tab w:pos="1104" w:val="left" w:leader="none"/>
          <w:tab w:pos="9188" w:val="left" w:leader="none"/>
        </w:tabs>
        <w:spacing w:line="240" w:lineRule="auto" w:before="89" w:after="0"/>
        <w:ind w:left="1103" w:right="0" w:hanging="546"/>
        <w:jc w:val="left"/>
        <w:rPr>
          <w:sz w:val="22"/>
        </w:rPr>
      </w:pPr>
      <w:r>
        <w:rPr>
          <w:color w:val="231F20"/>
          <w:sz w:val="22"/>
        </w:rPr>
        <w:t>合同价款（人民币大写</w:t>
      </w:r>
      <w:r>
        <w:rPr>
          <w:color w:val="231F20"/>
          <w:spacing w:val="-28"/>
          <w:sz w:val="22"/>
        </w:rPr>
        <w:t>）：</w:t>
        <w:tab/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甲方工作</w:t>
      </w:r>
    </w:p>
    <w:p>
      <w:pPr>
        <w:pStyle w:val="ListParagraph"/>
        <w:numPr>
          <w:ilvl w:val="1"/>
          <w:numId w:val="2"/>
        </w:numPr>
        <w:tabs>
          <w:tab w:pos="1058" w:val="left" w:leader="none"/>
          <w:tab w:pos="2393" w:val="left" w:leader="none"/>
          <w:tab w:pos="7601" w:val="left" w:leader="none"/>
        </w:tabs>
        <w:spacing w:line="304" w:lineRule="auto" w:before="89" w:after="0"/>
        <w:ind w:left="117" w:right="211" w:firstLine="440"/>
        <w:jc w:val="both"/>
        <w:rPr>
          <w:sz w:val="22"/>
        </w:rPr>
      </w:pPr>
      <w:r>
        <w:rPr>
          <w:color w:val="231F20"/>
          <w:spacing w:val="5"/>
          <w:sz w:val="22"/>
        </w:rPr>
        <w:t>开工</w:t>
      </w:r>
      <w:r>
        <w:rPr>
          <w:color w:val="231F20"/>
          <w:sz w:val="22"/>
        </w:rPr>
        <w:t>前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天</w:t>
      </w:r>
      <w:r>
        <w:rPr>
          <w:color w:val="231F20"/>
          <w:spacing w:val="5"/>
          <w:sz w:val="22"/>
        </w:rPr>
        <w:t>，向乙方提供经确认的施工图纸或做法说</w:t>
      </w:r>
      <w:r>
        <w:rPr>
          <w:color w:val="231F20"/>
          <w:sz w:val="22"/>
        </w:rPr>
        <w:t>明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</w:t>
      </w:r>
      <w:r>
        <w:rPr>
          <w:color w:val="231F20"/>
          <w:spacing w:val="5"/>
          <w:sz w:val="22"/>
        </w:rPr>
        <w:t>，并向乙方</w:t>
      </w:r>
      <w:r>
        <w:rPr>
          <w:color w:val="231F20"/>
          <w:sz w:val="22"/>
        </w:rPr>
        <w:t>进 行现场交底。全部腾空或部分腾空房屋，清除影响施工的障碍物。对只能部分腾空的房屋中所滞留的家具、陈设等采取保护措施。向乙方提供施工所需的水、电、气及电讯等设备，并说明使用注意事项。办理施工所涉及的各种申请、批件等手续。</w:t>
      </w:r>
    </w:p>
    <w:p>
      <w:pPr>
        <w:pStyle w:val="ListParagraph"/>
        <w:numPr>
          <w:ilvl w:val="1"/>
          <w:numId w:val="2"/>
        </w:numPr>
        <w:tabs>
          <w:tab w:pos="1053" w:val="left" w:leader="none"/>
          <w:tab w:pos="1054" w:val="left" w:leader="none"/>
          <w:tab w:pos="2377" w:val="left" w:leader="none"/>
        </w:tabs>
        <w:spacing w:line="304" w:lineRule="auto" w:before="21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指派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为甲方驻工地代表，负责合同履行。对工程质量、进度进行监督检查，  办理验收、变更、登记手续和其他事宜。</w:t>
      </w:r>
    </w:p>
    <w:p>
      <w:pPr>
        <w:pStyle w:val="ListParagraph"/>
        <w:numPr>
          <w:ilvl w:val="1"/>
          <w:numId w:val="2"/>
        </w:numPr>
        <w:tabs>
          <w:tab w:pos="1050" w:val="left" w:leader="none"/>
          <w:tab w:pos="1052" w:val="left" w:leader="none"/>
          <w:tab w:pos="2372" w:val="left" w:leader="none"/>
          <w:tab w:pos="5397" w:val="left" w:leader="none"/>
          <w:tab w:pos="7013" w:val="left" w:leader="none"/>
        </w:tabs>
        <w:spacing w:line="304" w:lineRule="auto" w:before="21" w:after="0"/>
        <w:ind w:left="117" w:right="214" w:firstLine="440"/>
        <w:jc w:val="left"/>
        <w:rPr>
          <w:sz w:val="22"/>
        </w:rPr>
      </w:pPr>
      <w:r>
        <w:rPr>
          <w:color w:val="231F20"/>
          <w:sz w:val="22"/>
        </w:rPr>
        <w:t>委托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监理公司进行工程监理，监理公司任命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为总监理工程师</w:t>
      </w:r>
      <w:r>
        <w:rPr>
          <w:color w:val="231F20"/>
          <w:spacing w:val="-37"/>
          <w:sz w:val="22"/>
        </w:rPr>
        <w:t>，</w:t>
      </w:r>
      <w:r>
        <w:rPr>
          <w:color w:val="231F20"/>
          <w:sz w:val="22"/>
        </w:rPr>
        <w:t>其职 责在监理合同中应明确，并将合同副本交乙方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份。</w:t>
      </w:r>
    </w:p>
    <w:p>
      <w:pPr>
        <w:pStyle w:val="ListParagraph"/>
        <w:numPr>
          <w:ilvl w:val="1"/>
          <w:numId w:val="2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20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负责保护好周围建筑物及装修、设备管线、古树名木、绿地等不受损坏，并承担相</w:t>
      </w:r>
      <w:r>
        <w:rPr>
          <w:color w:val="231F20"/>
          <w:sz w:val="22"/>
        </w:rPr>
        <w:t>应费用。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如确实需要拆改原建筑物结构或设备管线，负责到有关部门办理相应审批手续。</w:t>
      </w:r>
    </w:p>
    <w:p>
      <w:pPr>
        <w:pStyle w:val="ListParagraph"/>
        <w:numPr>
          <w:ilvl w:val="1"/>
          <w:numId w:val="2"/>
        </w:numPr>
        <w:tabs>
          <w:tab w:pos="1049" w:val="left" w:leader="none"/>
          <w:tab w:pos="1050" w:val="left" w:leader="none"/>
        </w:tabs>
        <w:spacing w:line="240" w:lineRule="auto" w:before="89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协调有关部门做好现场保卫、消防、垃圾处理等工作，并承担相应费用。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乙方工作</w:t>
      </w:r>
    </w:p>
    <w:p>
      <w:pPr>
        <w:pStyle w:val="ListParagraph"/>
        <w:numPr>
          <w:ilvl w:val="1"/>
          <w:numId w:val="3"/>
        </w:numPr>
        <w:tabs>
          <w:tab w:pos="1056" w:val="left" w:leader="none"/>
          <w:tab w:pos="1057" w:val="left" w:leader="none"/>
        </w:tabs>
        <w:spacing w:line="240" w:lineRule="auto" w:before="89" w:after="0"/>
        <w:ind w:left="217" w:right="0" w:firstLine="340"/>
        <w:jc w:val="left"/>
        <w:rPr>
          <w:sz w:val="22"/>
        </w:rPr>
      </w:pPr>
      <w:r>
        <w:rPr>
          <w:color w:val="231F20"/>
          <w:spacing w:val="2"/>
          <w:sz w:val="22"/>
        </w:rPr>
        <w:t>参加甲方组织的施工图纸或做法说明的现场交底，拟定施工方案和进度计划，交甲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200"/>
          <w:pgNumType w:start="1"/>
        </w:sectPr>
      </w:pPr>
    </w:p>
    <w:p>
      <w:pPr>
        <w:pStyle w:val="BodyText"/>
        <w:spacing w:before="24"/>
        <w:ind w:left="217"/>
      </w:pPr>
      <w:r>
        <w:rPr>
          <w:color w:val="231F20"/>
        </w:rPr>
        <w:t>方审定。</w:t>
      </w:r>
    </w:p>
    <w:p>
      <w:pPr>
        <w:pStyle w:val="ListParagraph"/>
        <w:numPr>
          <w:ilvl w:val="1"/>
          <w:numId w:val="3"/>
        </w:numPr>
        <w:tabs>
          <w:tab w:pos="1161" w:val="left" w:leader="none"/>
          <w:tab w:pos="1162" w:val="left" w:leader="none"/>
          <w:tab w:pos="2493" w:val="left" w:leader="none"/>
        </w:tabs>
        <w:spacing w:line="304" w:lineRule="auto" w:before="89" w:after="0"/>
        <w:ind w:left="217" w:right="126" w:firstLine="440"/>
        <w:jc w:val="left"/>
        <w:rPr>
          <w:sz w:val="22"/>
        </w:rPr>
      </w:pPr>
      <w:r>
        <w:rPr>
          <w:color w:val="231F20"/>
          <w:spacing w:val="10"/>
          <w:sz w:val="22"/>
        </w:rPr>
        <w:t>指</w:t>
      </w:r>
      <w:r>
        <w:rPr>
          <w:color w:val="231F20"/>
          <w:sz w:val="22"/>
        </w:rPr>
        <w:t>派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10"/>
          <w:sz w:val="22"/>
        </w:rPr>
        <w:t>为乙方驻工地代</w:t>
      </w:r>
      <w:r>
        <w:rPr>
          <w:color w:val="231F20"/>
          <w:sz w:val="22"/>
        </w:rPr>
        <w:t>表</w:t>
      </w:r>
      <w:r>
        <w:rPr>
          <w:color w:val="231F20"/>
          <w:spacing w:val="10"/>
          <w:sz w:val="22"/>
        </w:rPr>
        <w:t>，负责合同履</w:t>
      </w:r>
      <w:r>
        <w:rPr>
          <w:color w:val="231F20"/>
          <w:sz w:val="22"/>
        </w:rPr>
        <w:t>行</w:t>
      </w:r>
      <w:r>
        <w:rPr>
          <w:color w:val="231F20"/>
          <w:spacing w:val="10"/>
          <w:sz w:val="22"/>
        </w:rPr>
        <w:t>。按要求组织施</w:t>
      </w:r>
      <w:r>
        <w:rPr>
          <w:color w:val="231F20"/>
          <w:sz w:val="22"/>
        </w:rPr>
        <w:t>工</w:t>
      </w:r>
      <w:r>
        <w:rPr>
          <w:color w:val="231F20"/>
          <w:spacing w:val="10"/>
          <w:sz w:val="22"/>
        </w:rPr>
        <w:t>，保</w:t>
      </w:r>
      <w:r>
        <w:rPr>
          <w:color w:val="231F20"/>
          <w:sz w:val="22"/>
        </w:rPr>
        <w:t>质</w:t>
      </w:r>
      <w:r>
        <w:rPr>
          <w:color w:val="231F20"/>
          <w:spacing w:val="10"/>
          <w:sz w:val="22"/>
        </w:rPr>
        <w:t>、保</w:t>
      </w:r>
      <w:r>
        <w:rPr>
          <w:color w:val="231F20"/>
          <w:sz w:val="22"/>
        </w:rPr>
        <w:t>量、 按期完成施工任务，解决由乙方负责的各项事宜。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  <w:tab w:pos="1157" w:val="left" w:leader="none"/>
        </w:tabs>
        <w:spacing w:line="304" w:lineRule="auto" w:before="21" w:after="0"/>
        <w:ind w:left="217" w:right="22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严格执行施工规范、安全操作规程、防火安全规定、环境保护规定。严格按照图纸</w:t>
      </w:r>
      <w:r>
        <w:rPr>
          <w:color w:val="231F20"/>
          <w:sz w:val="22"/>
        </w:rPr>
        <w:t>或做法说明进行施工，做好各项质量检查记录。参加竣工验收，编制工程结算。</w:t>
      </w:r>
    </w:p>
    <w:p>
      <w:pPr>
        <w:pStyle w:val="ListParagraph"/>
        <w:numPr>
          <w:ilvl w:val="1"/>
          <w:numId w:val="3"/>
        </w:numPr>
        <w:tabs>
          <w:tab w:pos="1156" w:val="left" w:leader="none"/>
        </w:tabs>
        <w:spacing w:line="304" w:lineRule="auto" w:before="21" w:after="0"/>
        <w:ind w:left="217" w:right="232" w:firstLine="440"/>
        <w:jc w:val="both"/>
        <w:rPr>
          <w:sz w:val="22"/>
        </w:rPr>
      </w:pPr>
      <w:r>
        <w:rPr>
          <w:color w:val="231F20"/>
          <w:spacing w:val="3"/>
          <w:sz w:val="22"/>
        </w:rPr>
        <w:t>遵守国家或地方政府及有关部门对施工现场管理的规定，妥善保护好施工现场周围</w:t>
      </w:r>
      <w:r>
        <w:rPr>
          <w:color w:val="231F20"/>
          <w:sz w:val="22"/>
        </w:rPr>
        <w:t>建筑物、设备管线、古树名木不受损坏。做好施工现场保卫和垃圾消纳等工作，处理好由于施工带来的扰民问题及与周围单位（住户）的关系。</w:t>
      </w:r>
    </w:p>
    <w:p>
      <w:pPr>
        <w:pStyle w:val="ListParagraph"/>
        <w:numPr>
          <w:ilvl w:val="1"/>
          <w:numId w:val="3"/>
        </w:numPr>
        <w:tabs>
          <w:tab w:pos="1149" w:val="left" w:leader="none"/>
          <w:tab w:pos="1150" w:val="left" w:leader="none"/>
        </w:tabs>
        <w:spacing w:line="240" w:lineRule="auto" w:before="21" w:after="0"/>
        <w:ind w:left="1149" w:right="0" w:hanging="492"/>
        <w:jc w:val="left"/>
        <w:rPr>
          <w:sz w:val="22"/>
        </w:rPr>
      </w:pPr>
      <w:r>
        <w:rPr>
          <w:color w:val="231F20"/>
          <w:sz w:val="22"/>
        </w:rPr>
        <w:t>施工中未经甲方同意或有关部门批准，不得随意拆改原建筑物结构及各种设备管线。</w:t>
      </w:r>
    </w:p>
    <w:p>
      <w:pPr>
        <w:pStyle w:val="ListParagraph"/>
        <w:numPr>
          <w:ilvl w:val="1"/>
          <w:numId w:val="3"/>
        </w:numPr>
        <w:tabs>
          <w:tab w:pos="985" w:val="left" w:leader="none"/>
        </w:tabs>
        <w:spacing w:line="240" w:lineRule="auto" w:before="89" w:after="0"/>
        <w:ind w:left="984" w:right="0" w:hanging="327"/>
        <w:jc w:val="left"/>
        <w:rPr>
          <w:sz w:val="22"/>
        </w:rPr>
      </w:pPr>
      <w:r>
        <w:rPr>
          <w:color w:val="231F20"/>
          <w:sz w:val="22"/>
        </w:rPr>
        <w:t>工程竣工未移交甲方之前，负责对现场的一切设施和工程成品进行保护。</w:t>
      </w:r>
    </w:p>
    <w:p>
      <w:pPr>
        <w:pStyle w:val="BodyText"/>
        <w:tabs>
          <w:tab w:pos="1537" w:val="left" w:leader="none"/>
        </w:tabs>
        <w:spacing w:before="83"/>
        <w:ind w:left="6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关于工期的约定</w:t>
      </w:r>
    </w:p>
    <w:p>
      <w:pPr>
        <w:pStyle w:val="BodyText"/>
        <w:tabs>
          <w:tab w:pos="1225" w:val="left" w:leader="none"/>
        </w:tabs>
        <w:spacing w:line="304" w:lineRule="auto"/>
        <w:ind w:left="217" w:right="228" w:firstLine="440"/>
      </w:pPr>
      <w:r>
        <w:rPr>
          <w:color w:val="231F20"/>
        </w:rPr>
        <w:t>4.</w:t>
      </w:r>
      <w:r>
        <w:rPr>
          <w:color w:val="231F20"/>
          <w:spacing w:val="15"/>
        </w:rPr>
        <w:t> </w:t>
      </w:r>
      <w:r>
        <w:rPr>
          <w:color w:val="231F20"/>
        </w:rPr>
        <w:t>1</w:t>
        <w:tab/>
      </w:r>
      <w:r>
        <w:rPr>
          <w:color w:val="231F20"/>
          <w:spacing w:val="0"/>
        </w:rPr>
        <w:t>甲方要求比合同约定的工期提前竣工时，应征得乙方同意，并支付乙方因赶工采取 </w:t>
      </w:r>
      <w:r>
        <w:rPr>
          <w:color w:val="231F20"/>
        </w:rPr>
        <w:t>的措施费用。</w:t>
      </w:r>
    </w:p>
    <w:p>
      <w:pPr>
        <w:pStyle w:val="ListParagraph"/>
        <w:numPr>
          <w:ilvl w:val="1"/>
          <w:numId w:val="4"/>
        </w:numPr>
        <w:tabs>
          <w:tab w:pos="1149" w:val="left" w:leader="none"/>
          <w:tab w:pos="1150" w:val="left" w:leader="none"/>
        </w:tabs>
        <w:spacing w:line="240" w:lineRule="auto" w:before="20" w:after="0"/>
        <w:ind w:left="217" w:right="0" w:firstLine="440"/>
        <w:jc w:val="left"/>
        <w:rPr>
          <w:sz w:val="22"/>
        </w:rPr>
      </w:pPr>
      <w:r>
        <w:rPr>
          <w:color w:val="231F20"/>
          <w:sz w:val="22"/>
        </w:rPr>
        <w:t>因甲方未按约定完成工作，影响工期，工期顺延。</w:t>
      </w:r>
    </w:p>
    <w:p>
      <w:pPr>
        <w:pStyle w:val="ListParagraph"/>
        <w:numPr>
          <w:ilvl w:val="1"/>
          <w:numId w:val="4"/>
        </w:numPr>
        <w:tabs>
          <w:tab w:pos="1149" w:val="left" w:leader="none"/>
          <w:tab w:pos="1150" w:val="left" w:leader="none"/>
        </w:tabs>
        <w:spacing w:line="240" w:lineRule="auto" w:before="88" w:after="0"/>
        <w:ind w:left="217" w:right="0" w:firstLine="440"/>
        <w:jc w:val="left"/>
        <w:rPr>
          <w:sz w:val="22"/>
        </w:rPr>
      </w:pPr>
      <w:r>
        <w:rPr>
          <w:color w:val="231F20"/>
          <w:sz w:val="22"/>
        </w:rPr>
        <w:t>因乙方责任，不能按期开工或中途无故停工，影响工期，工期不顺延。</w:t>
      </w:r>
    </w:p>
    <w:p>
      <w:pPr>
        <w:pStyle w:val="ListParagraph"/>
        <w:numPr>
          <w:ilvl w:val="1"/>
          <w:numId w:val="4"/>
        </w:numPr>
        <w:tabs>
          <w:tab w:pos="1151" w:val="left" w:leader="none"/>
          <w:tab w:pos="1152" w:val="left" w:leader="none"/>
        </w:tabs>
        <w:spacing w:line="304" w:lineRule="auto" w:before="88" w:after="0"/>
        <w:ind w:left="217" w:right="238" w:firstLine="440"/>
        <w:jc w:val="left"/>
        <w:rPr>
          <w:sz w:val="22"/>
        </w:rPr>
      </w:pPr>
      <w:r>
        <w:rPr>
          <w:color w:val="231F20"/>
          <w:sz w:val="22"/>
        </w:rPr>
        <w:t>因设计变更或非乙方原因造成的停电、停水、停气及不可抗力因素影响，导致停工 8 小时以上（一周内累计计算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，工期相应顺延。</w:t>
      </w:r>
    </w:p>
    <w:p>
      <w:pPr>
        <w:pStyle w:val="BodyText"/>
        <w:tabs>
          <w:tab w:pos="1537" w:val="left" w:leader="none"/>
        </w:tabs>
        <w:spacing w:before="14"/>
        <w:ind w:left="6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关于工程质量及验收的约定</w:t>
      </w:r>
    </w:p>
    <w:p>
      <w:pPr>
        <w:pStyle w:val="ListParagraph"/>
        <w:numPr>
          <w:ilvl w:val="1"/>
          <w:numId w:val="5"/>
        </w:numPr>
        <w:tabs>
          <w:tab w:pos="1174" w:val="left" w:leader="none"/>
          <w:tab w:pos="1175" w:val="left" w:leader="none"/>
        </w:tabs>
        <w:spacing w:line="240" w:lineRule="auto" w:before="89" w:after="0"/>
        <w:ind w:left="217" w:right="0" w:firstLine="440"/>
        <w:jc w:val="left"/>
        <w:rPr>
          <w:sz w:val="22"/>
        </w:rPr>
      </w:pPr>
      <w:r>
        <w:rPr>
          <w:color w:val="231F20"/>
          <w:spacing w:val="16"/>
          <w:sz w:val="22"/>
        </w:rPr>
        <w:t>本工程以施工图纸、做法说明、设计变更和《建筑装饰工程施工及验收规范》</w:t>
      </w:r>
    </w:p>
    <w:p>
      <w:pPr>
        <w:pStyle w:val="BodyText"/>
        <w:spacing w:line="304" w:lineRule="auto"/>
        <w:ind w:left="217" w:right="228" w:hanging="110"/>
      </w:pPr>
      <w:r>
        <w:rPr>
          <w:color w:val="231F20"/>
        </w:rPr>
        <w:t>（ </w:t>
      </w:r>
      <w:r>
        <w:rPr>
          <w:color w:val="231F20"/>
          <w:spacing w:val="-1"/>
        </w:rPr>
        <w:t>J</w:t>
      </w:r>
      <w:r>
        <w:rPr>
          <w:color w:val="231F20"/>
        </w:rPr>
        <w:t>G</w:t>
      </w:r>
      <w:r>
        <w:rPr>
          <w:color w:val="231F20"/>
          <w:spacing w:val="-1"/>
        </w:rPr>
        <w:t>J</w:t>
      </w:r>
      <w:r>
        <w:rPr>
          <w:color w:val="231F20"/>
        </w:rPr>
        <w:t>7</w:t>
      </w:r>
      <w:r>
        <w:rPr>
          <w:color w:val="231F20"/>
          <w:spacing w:val="-1"/>
        </w:rPr>
        <w:t>3</w:t>
      </w:r>
      <w:r>
        <w:rPr>
          <w:color w:val="231F20"/>
        </w:rPr>
        <w:t>—91</w:t>
      </w:r>
      <w:r>
        <w:rPr>
          <w:color w:val="231F20"/>
          <w:spacing w:val="-110"/>
        </w:rPr>
        <w:t>）</w:t>
      </w:r>
      <w:r>
        <w:rPr>
          <w:color w:val="231F20"/>
          <w:spacing w:val="-15"/>
        </w:rPr>
        <w:t>、《建筑安装工程质量检验评定统一标准》</w:t>
      </w:r>
      <w:r>
        <w:rPr>
          <w:color w:val="231F20"/>
        </w:rPr>
        <w:t>（ G</w:t>
      </w:r>
      <w:r>
        <w:rPr>
          <w:color w:val="231F20"/>
          <w:spacing w:val="-1"/>
        </w:rPr>
        <w:t>B</w:t>
      </w:r>
      <w:r>
        <w:rPr>
          <w:color w:val="231F20"/>
        </w:rPr>
        <w:t>J</w:t>
      </w:r>
      <w:r>
        <w:rPr>
          <w:color w:val="231F20"/>
          <w:spacing w:val="-1"/>
        </w:rPr>
        <w:t>3</w:t>
      </w:r>
      <w:r>
        <w:rPr>
          <w:color w:val="231F20"/>
        </w:rPr>
        <w:t>00—88</w:t>
      </w:r>
      <w:r>
        <w:rPr>
          <w:color w:val="231F20"/>
          <w:spacing w:val="2"/>
        </w:rPr>
        <w:t>）</w:t>
      </w:r>
      <w:r>
        <w:rPr>
          <w:color w:val="231F20"/>
          <w:spacing w:val="1"/>
        </w:rPr>
        <w:t>等国家制订的施工及验收规范为质量评定验收标准。</w:t>
      </w:r>
    </w:p>
    <w:p>
      <w:pPr>
        <w:pStyle w:val="ListParagraph"/>
        <w:numPr>
          <w:ilvl w:val="1"/>
          <w:numId w:val="5"/>
        </w:numPr>
        <w:tabs>
          <w:tab w:pos="1155" w:val="left" w:leader="none"/>
          <w:tab w:pos="1156" w:val="left" w:leader="none"/>
        </w:tabs>
        <w:spacing w:line="304" w:lineRule="auto" w:before="20" w:after="0"/>
        <w:ind w:left="217" w:right="232" w:firstLine="440"/>
        <w:jc w:val="left"/>
        <w:rPr>
          <w:sz w:val="22"/>
        </w:rPr>
      </w:pPr>
      <w:r>
        <w:rPr>
          <w:color w:val="231F20"/>
          <w:spacing w:val="3"/>
          <w:sz w:val="22"/>
        </w:rPr>
        <w:t>本工程质量应达到国家质量评定合格标准。甲方要求部分或全部工程项目达到优良</w:t>
      </w:r>
      <w:r>
        <w:rPr>
          <w:color w:val="231F20"/>
          <w:sz w:val="22"/>
        </w:rPr>
        <w:t>标准时，应向乙方支付由此增加的费用。</w:t>
      </w:r>
    </w:p>
    <w:p>
      <w:pPr>
        <w:pStyle w:val="ListParagraph"/>
        <w:numPr>
          <w:ilvl w:val="1"/>
          <w:numId w:val="5"/>
        </w:numPr>
        <w:tabs>
          <w:tab w:pos="1157" w:val="left" w:leader="none"/>
        </w:tabs>
        <w:spacing w:line="304" w:lineRule="auto" w:before="20" w:after="0"/>
        <w:ind w:left="217" w:right="230" w:firstLine="440"/>
        <w:jc w:val="both"/>
        <w:rPr>
          <w:sz w:val="22"/>
        </w:rPr>
      </w:pPr>
      <w:r>
        <w:rPr>
          <w:color w:val="231F20"/>
          <w:spacing w:val="0"/>
          <w:sz w:val="22"/>
        </w:rPr>
        <w:t>甲、乙双方应及时办理隐蔽工程和中间工程的检查与验收手续。甲方不按时参加隐</w:t>
      </w:r>
      <w:r>
        <w:rPr>
          <w:color w:val="231F20"/>
          <w:sz w:val="22"/>
        </w:rPr>
        <w:t>蔽工程和中间工程验收，乙方可自行验收，甲方应予承认。若甲方要求复验时，乙方应按要求</w:t>
      </w:r>
      <w:r>
        <w:rPr>
          <w:color w:val="231F20"/>
          <w:spacing w:val="-2"/>
          <w:sz w:val="22"/>
        </w:rPr>
        <w:t>办理复验。若复验合格，甲方应承担复验费用，由此造成停工，工期顺延；若复验不合格，其复验及返工费用由乙方承担，但工期也予顺延。</w:t>
      </w:r>
    </w:p>
    <w:p>
      <w:pPr>
        <w:pStyle w:val="ListParagraph"/>
        <w:numPr>
          <w:ilvl w:val="1"/>
          <w:numId w:val="5"/>
        </w:numPr>
        <w:tabs>
          <w:tab w:pos="1159" w:val="left" w:leader="none"/>
          <w:tab w:pos="1160" w:val="left" w:leader="none"/>
        </w:tabs>
        <w:spacing w:line="304" w:lineRule="auto" w:before="20" w:after="0"/>
        <w:ind w:left="217" w:right="127" w:firstLine="440"/>
        <w:jc w:val="left"/>
        <w:rPr>
          <w:sz w:val="22"/>
        </w:rPr>
      </w:pPr>
      <w:r>
        <w:rPr>
          <w:color w:val="231F20"/>
          <w:spacing w:val="3"/>
          <w:sz w:val="22"/>
        </w:rPr>
        <w:t>由于甲方提供的材料、设备质量不合格而影响工程质量，其返工费用由甲方承担， 工期顺延。</w:t>
      </w:r>
    </w:p>
    <w:p>
      <w:pPr>
        <w:pStyle w:val="ListParagraph"/>
        <w:numPr>
          <w:ilvl w:val="1"/>
          <w:numId w:val="5"/>
        </w:numPr>
        <w:tabs>
          <w:tab w:pos="1203" w:val="left" w:leader="none"/>
          <w:tab w:pos="1204" w:val="left" w:leader="none"/>
        </w:tabs>
        <w:spacing w:line="240" w:lineRule="auto" w:before="20" w:after="0"/>
        <w:ind w:left="1203" w:right="0" w:hanging="546"/>
        <w:jc w:val="left"/>
        <w:rPr>
          <w:sz w:val="22"/>
        </w:rPr>
      </w:pPr>
      <w:r>
        <w:rPr>
          <w:color w:val="231F20"/>
          <w:sz w:val="22"/>
        </w:rPr>
        <w:t>由于乙方原因造成质量事故，其返工费用由乙方承担，工期不顺延。</w:t>
      </w:r>
    </w:p>
    <w:p>
      <w:pPr>
        <w:pStyle w:val="ListParagraph"/>
        <w:numPr>
          <w:ilvl w:val="1"/>
          <w:numId w:val="5"/>
        </w:numPr>
        <w:tabs>
          <w:tab w:pos="1160" w:val="left" w:leader="none"/>
          <w:tab w:pos="1162" w:val="left" w:leader="none"/>
          <w:tab w:pos="7790" w:val="left" w:leader="none"/>
        </w:tabs>
        <w:spacing w:line="304" w:lineRule="auto" w:before="89" w:after="0"/>
        <w:ind w:left="217" w:right="125" w:firstLine="440"/>
        <w:jc w:val="left"/>
        <w:rPr>
          <w:sz w:val="22"/>
        </w:rPr>
      </w:pPr>
      <w:r>
        <w:rPr>
          <w:color w:val="231F20"/>
          <w:spacing w:val="10"/>
          <w:sz w:val="22"/>
        </w:rPr>
        <w:t>工程竣工</w:t>
      </w:r>
      <w:r>
        <w:rPr>
          <w:color w:val="231F20"/>
          <w:sz w:val="22"/>
        </w:rPr>
        <w:t>后</w:t>
      </w:r>
      <w:r>
        <w:rPr>
          <w:color w:val="231F20"/>
          <w:spacing w:val="10"/>
          <w:sz w:val="22"/>
        </w:rPr>
        <w:t>，乙方应通知甲方验</w:t>
      </w:r>
      <w:r>
        <w:rPr>
          <w:color w:val="231F20"/>
          <w:sz w:val="22"/>
        </w:rPr>
        <w:t>收</w:t>
      </w:r>
      <w:r>
        <w:rPr>
          <w:color w:val="231F20"/>
          <w:spacing w:val="10"/>
          <w:sz w:val="22"/>
        </w:rPr>
        <w:t>，甲方自接到验收通</w:t>
      </w:r>
      <w:r>
        <w:rPr>
          <w:color w:val="231F20"/>
          <w:sz w:val="22"/>
        </w:rPr>
        <w:t>知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10"/>
          <w:sz w:val="22"/>
        </w:rPr>
        <w:t>日内组织验</w:t>
      </w:r>
      <w:r>
        <w:rPr>
          <w:color w:val="231F20"/>
          <w:sz w:val="22"/>
        </w:rPr>
        <w:t>收， </w:t>
      </w:r>
      <w:r>
        <w:rPr>
          <w:color w:val="231F20"/>
          <w:spacing w:val="5"/>
          <w:sz w:val="22"/>
        </w:rPr>
        <w:t>并办理验</w:t>
      </w:r>
      <w:r>
        <w:rPr>
          <w:color w:val="231F20"/>
          <w:sz w:val="22"/>
        </w:rPr>
        <w:t>收</w:t>
      </w:r>
      <w:r>
        <w:rPr>
          <w:color w:val="231F20"/>
          <w:spacing w:val="5"/>
          <w:sz w:val="22"/>
        </w:rPr>
        <w:t>、移交手</w:t>
      </w:r>
      <w:r>
        <w:rPr>
          <w:color w:val="231F20"/>
          <w:sz w:val="22"/>
        </w:rPr>
        <w:t>续</w:t>
      </w:r>
      <w:r>
        <w:rPr>
          <w:color w:val="231F20"/>
          <w:spacing w:val="5"/>
          <w:sz w:val="22"/>
        </w:rPr>
        <w:t>。如甲方在规定时间内未能组织验</w:t>
      </w:r>
      <w:r>
        <w:rPr>
          <w:color w:val="231F20"/>
          <w:sz w:val="22"/>
        </w:rPr>
        <w:t>收</w:t>
      </w:r>
      <w:r>
        <w:rPr>
          <w:color w:val="231F20"/>
          <w:spacing w:val="5"/>
          <w:sz w:val="22"/>
        </w:rPr>
        <w:t>，需及时通知乙</w:t>
      </w:r>
      <w:r>
        <w:rPr>
          <w:color w:val="231F20"/>
          <w:sz w:val="22"/>
        </w:rPr>
        <w:t>方</w:t>
      </w:r>
      <w:r>
        <w:rPr>
          <w:color w:val="231F20"/>
          <w:spacing w:val="5"/>
          <w:sz w:val="22"/>
        </w:rPr>
        <w:t>，另定验收日</w:t>
      </w:r>
      <w:r>
        <w:rPr>
          <w:color w:val="231F20"/>
          <w:sz w:val="22"/>
        </w:rPr>
        <w:t>期。但甲方应承认竣工日期，并承担乙方的看管费用和相关费用。</w:t>
      </w:r>
    </w:p>
    <w:p>
      <w:pPr>
        <w:spacing w:after="0" w:line="304" w:lineRule="auto"/>
        <w:jc w:val="left"/>
        <w:rPr>
          <w:sz w:val="22"/>
        </w:rPr>
        <w:sectPr>
          <w:pgSz w:w="11910" w:h="16840"/>
          <w:pgMar w:header="0" w:footer="832" w:top="1580" w:bottom="1020" w:left="1200" w:right="1180"/>
        </w:sectPr>
      </w:pPr>
    </w:p>
    <w:p>
      <w:pPr>
        <w:pStyle w:val="BodyText"/>
        <w:tabs>
          <w:tab w:pos="1437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关于工程价款及结算的约定</w:t>
      </w:r>
    </w:p>
    <w:p>
      <w:pPr>
        <w:pStyle w:val="ListParagraph"/>
        <w:numPr>
          <w:ilvl w:val="1"/>
          <w:numId w:val="6"/>
        </w:numPr>
        <w:tabs>
          <w:tab w:pos="1103" w:val="left" w:leader="none"/>
          <w:tab w:pos="1104" w:val="left" w:leader="none"/>
          <w:tab w:pos="4623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z w:val="22"/>
        </w:rPr>
        <w:t>双方商定本合同价款采用第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种：</w:t>
      </w:r>
    </w:p>
    <w:p>
      <w:pPr>
        <w:pStyle w:val="BodyText"/>
        <w:ind w:left="447"/>
      </w:pPr>
      <w:r>
        <w:rPr>
          <w:color w:val="231F20"/>
        </w:rPr>
        <w:t>（ 1）  固定价格。</w:t>
      </w:r>
    </w:p>
    <w:p>
      <w:pPr>
        <w:pStyle w:val="BodyText"/>
        <w:tabs>
          <w:tab w:pos="3113" w:val="left" w:leader="none"/>
          <w:tab w:pos="7531" w:val="left" w:leader="none"/>
        </w:tabs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> </w:t>
      </w:r>
      <w:r>
        <w:rPr>
          <w:color w:val="231F20"/>
        </w:rPr>
        <w:t>2）  固定价格加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% 包干风险系数计算。包干风险包括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内容。</w:t>
      </w:r>
    </w:p>
    <w:p>
      <w:pPr>
        <w:pStyle w:val="BodyText"/>
        <w:ind w:left="447"/>
      </w:pPr>
      <w:r>
        <w:rPr>
          <w:color w:val="231F20"/>
        </w:rPr>
        <w:t>（ 3）</w:t>
      </w:r>
      <w:r>
        <w:rPr>
          <w:color w:val="231F20"/>
          <w:spacing w:val="-12"/>
        </w:rPr>
        <w:t>  可调价格：按照国家有关工程计价规定计算造价，并按有关规定进行调整和竣工结算。</w:t>
      </w:r>
    </w:p>
    <w:p>
      <w:pPr>
        <w:pStyle w:val="ListParagraph"/>
        <w:numPr>
          <w:ilvl w:val="1"/>
          <w:numId w:val="6"/>
        </w:numPr>
        <w:tabs>
          <w:tab w:pos="1057" w:val="left" w:leader="none"/>
          <w:tab w:pos="1058" w:val="left" w:leader="none"/>
          <w:tab w:pos="4197" w:val="left" w:leader="none"/>
        </w:tabs>
        <w:spacing w:line="304" w:lineRule="auto" w:before="89" w:after="0"/>
        <w:ind w:left="117" w:right="188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本合同生效</w:t>
      </w:r>
      <w:r>
        <w:rPr>
          <w:color w:val="231F20"/>
          <w:sz w:val="22"/>
        </w:rPr>
        <w:t>后</w:t>
      </w:r>
      <w:r>
        <w:rPr>
          <w:color w:val="231F20"/>
          <w:spacing w:val="5"/>
          <w:sz w:val="22"/>
        </w:rPr>
        <w:t>，甲方</w:t>
      </w:r>
      <w:r>
        <w:rPr>
          <w:color w:val="231F20"/>
          <w:sz w:val="22"/>
        </w:rPr>
        <w:t>分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次</w:t>
      </w:r>
      <w:r>
        <w:rPr>
          <w:color w:val="231F20"/>
          <w:spacing w:val="5"/>
          <w:sz w:val="22"/>
        </w:rPr>
        <w:t>，按下表约定支付工程</w:t>
      </w:r>
      <w:r>
        <w:rPr>
          <w:color w:val="231F20"/>
          <w:sz w:val="22"/>
        </w:rPr>
        <w:t>款</w:t>
      </w:r>
      <w:r>
        <w:rPr>
          <w:color w:val="231F20"/>
          <w:spacing w:val="5"/>
          <w:sz w:val="22"/>
        </w:rPr>
        <w:t>，尾款竣工结算时一次 </w:t>
      </w:r>
      <w:r>
        <w:rPr>
          <w:color w:val="231F20"/>
          <w:sz w:val="22"/>
        </w:rPr>
        <w:t>结清。</w:t>
      </w:r>
    </w:p>
    <w:p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1"/>
        <w:gridCol w:w="3021"/>
      </w:tblGrid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tabs>
                <w:tab w:pos="1689" w:val="left" w:leader="none"/>
              </w:tabs>
              <w:spacing w:before="32"/>
              <w:ind w:left="789"/>
              <w:rPr>
                <w:sz w:val="18"/>
              </w:rPr>
            </w:pPr>
            <w:r>
              <w:rPr>
                <w:color w:val="231F20"/>
                <w:sz w:val="18"/>
              </w:rPr>
              <w:t>拨款分</w:t>
              <w:tab/>
              <w:t>次进行</w:t>
            </w:r>
          </w:p>
        </w:tc>
        <w:tc>
          <w:tcPr>
            <w:tcW w:w="3021" w:type="dxa"/>
          </w:tcPr>
          <w:p>
            <w:pPr>
              <w:pStyle w:val="TableParagraph"/>
              <w:tabs>
                <w:tab w:pos="728" w:val="left" w:leader="none"/>
              </w:tabs>
              <w:spacing w:before="32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拨款</w:t>
              <w:tab/>
              <w:t>%</w:t>
            </w:r>
          </w:p>
        </w:tc>
        <w:tc>
          <w:tcPr>
            <w:tcW w:w="3021" w:type="dxa"/>
          </w:tcPr>
          <w:p>
            <w:pPr>
              <w:pStyle w:val="TableParagraph"/>
              <w:spacing w:before="32"/>
              <w:ind w:left="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    额</w:t>
            </w: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30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ListParagraph"/>
        <w:numPr>
          <w:ilvl w:val="1"/>
          <w:numId w:val="6"/>
        </w:numPr>
        <w:tabs>
          <w:tab w:pos="888" w:val="left" w:leader="none"/>
        </w:tabs>
        <w:spacing w:line="240" w:lineRule="auto" w:before="91" w:after="0"/>
        <w:ind w:left="887" w:right="0" w:hanging="330"/>
        <w:jc w:val="left"/>
        <w:rPr>
          <w:sz w:val="22"/>
        </w:rPr>
      </w:pPr>
      <w:r>
        <w:rPr>
          <w:color w:val="231F20"/>
          <w:spacing w:val="6"/>
          <w:sz w:val="22"/>
        </w:rPr>
        <w:t>工程竣工验收后，乙方提出工程结算并将有关资料送交甲方。甲方自接到上述资料</w:t>
      </w:r>
    </w:p>
    <w:p>
      <w:pPr>
        <w:pStyle w:val="BodyText"/>
        <w:tabs>
          <w:tab w:pos="997" w:val="left" w:leader="none"/>
          <w:tab w:pos="6937" w:val="left" w:leader="none"/>
        </w:tabs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天内审查完毕，到期未提出异议，视为同意。并在天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内，结清尾款。</w:t>
      </w:r>
    </w:p>
    <w:p>
      <w:pPr>
        <w:pStyle w:val="BodyText"/>
        <w:tabs>
          <w:tab w:pos="1437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关于材料供应的约定</w:t>
      </w:r>
    </w:p>
    <w:p>
      <w:pPr>
        <w:pStyle w:val="ListParagraph"/>
        <w:numPr>
          <w:ilvl w:val="1"/>
          <w:numId w:val="7"/>
        </w:numPr>
        <w:tabs>
          <w:tab w:pos="1128" w:val="left" w:leader="none"/>
          <w:tab w:pos="9005" w:val="left" w:leader="none"/>
        </w:tabs>
        <w:spacing w:line="304" w:lineRule="auto" w:before="89" w:after="0"/>
        <w:ind w:left="117" w:right="190" w:firstLine="440"/>
        <w:jc w:val="both"/>
        <w:rPr>
          <w:sz w:val="22"/>
        </w:rPr>
      </w:pPr>
      <w:r>
        <w:rPr>
          <w:color w:val="231F20"/>
          <w:spacing w:val="5"/>
          <w:sz w:val="22"/>
        </w:rPr>
        <w:t>本工程甲方负责采购供应的材</w:t>
      </w:r>
      <w:r>
        <w:rPr>
          <w:color w:val="231F20"/>
          <w:sz w:val="22"/>
        </w:rPr>
        <w:t>料</w:t>
      </w:r>
      <w:r>
        <w:rPr>
          <w:color w:val="231F20"/>
          <w:spacing w:val="5"/>
          <w:sz w:val="22"/>
        </w:rPr>
        <w:t>、设</w:t>
      </w:r>
      <w:r>
        <w:rPr>
          <w:color w:val="231F20"/>
          <w:sz w:val="22"/>
        </w:rPr>
        <w:t>备</w:t>
      </w:r>
      <w:r>
        <w:rPr>
          <w:color w:val="231F20"/>
          <w:spacing w:val="5"/>
          <w:sz w:val="22"/>
        </w:rPr>
        <w:t>（见附表</w:t>
      </w:r>
      <w:r>
        <w:rPr>
          <w:color w:val="231F20"/>
          <w:sz w:val="22"/>
        </w:rPr>
        <w:t>一</w:t>
      </w:r>
      <w:r>
        <w:rPr>
          <w:color w:val="231F20"/>
          <w:spacing w:val="17"/>
          <w:sz w:val="22"/>
        </w:rPr>
        <w:t> 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pacing w:val="5"/>
          <w:sz w:val="22"/>
        </w:rPr>
        <w:t>，应为符合设计要求的合格产</w:t>
      </w:r>
      <w:r>
        <w:rPr>
          <w:color w:val="231F20"/>
          <w:sz w:val="22"/>
        </w:rPr>
        <w:t>品，并应按时供应到现场。凡约定由乙方提货的，甲方应将提货手续移交给乙方，由乙方承担运输费用。由甲方供应的材料，设备发生了质量问题或规格差异，对工程造成损失，责任由甲方承担。甲方供应的材料，经乙方验收后，由乙方负责保管，甲方应支付材料价值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% 的保管费。由于乙方保管不当造成损失，由乙方负责赔偿。</w:t>
      </w:r>
    </w:p>
    <w:p>
      <w:pPr>
        <w:pStyle w:val="ListParagraph"/>
        <w:numPr>
          <w:ilvl w:val="1"/>
          <w:numId w:val="7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88" w:firstLine="440"/>
        <w:jc w:val="left"/>
        <w:rPr>
          <w:sz w:val="22"/>
        </w:rPr>
      </w:pPr>
      <w:r>
        <w:rPr>
          <w:color w:val="231F20"/>
          <w:spacing w:val="0"/>
          <w:sz w:val="22"/>
        </w:rPr>
        <w:t>凡由乙方采购的材料、设备，如不符合质量要求或规格有差异，应禁止使用。若已</w:t>
      </w:r>
      <w:r>
        <w:rPr>
          <w:color w:val="231F20"/>
          <w:sz w:val="22"/>
        </w:rPr>
        <w:t>使用，对工程造成的损失由乙方负责。</w:t>
      </w:r>
    </w:p>
    <w:p>
      <w:pPr>
        <w:pStyle w:val="BodyText"/>
        <w:tabs>
          <w:tab w:pos="1437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有关安全生产和防火的约定</w:t>
      </w:r>
    </w:p>
    <w:p>
      <w:pPr>
        <w:pStyle w:val="ListParagraph"/>
        <w:numPr>
          <w:ilvl w:val="1"/>
          <w:numId w:val="8"/>
        </w:numPr>
        <w:tabs>
          <w:tab w:pos="1049" w:val="left" w:leader="none"/>
          <w:tab w:pos="1050" w:val="left" w:leader="none"/>
        </w:tabs>
        <w:spacing w:line="304" w:lineRule="auto" w:before="89" w:after="0"/>
        <w:ind w:left="117" w:right="195" w:firstLine="440"/>
        <w:jc w:val="left"/>
        <w:rPr>
          <w:sz w:val="22"/>
        </w:rPr>
      </w:pPr>
      <w:r>
        <w:rPr>
          <w:color w:val="231F20"/>
          <w:sz w:val="22"/>
        </w:rPr>
        <w:t>甲方提供的施工图纸或做法说明，应符合《中华人民共和国消防条例》和有关防火设计规范。</w:t>
      </w:r>
    </w:p>
    <w:p>
      <w:pPr>
        <w:pStyle w:val="ListParagraph"/>
        <w:numPr>
          <w:ilvl w:val="1"/>
          <w:numId w:val="8"/>
        </w:numPr>
        <w:tabs>
          <w:tab w:pos="1049" w:val="left" w:leader="none"/>
          <w:tab w:pos="1050" w:val="left" w:leader="none"/>
        </w:tabs>
        <w:spacing w:line="304" w:lineRule="auto" w:before="21" w:after="0"/>
        <w:ind w:left="117" w:right="195" w:firstLine="440"/>
        <w:jc w:val="left"/>
        <w:rPr>
          <w:sz w:val="22"/>
        </w:rPr>
      </w:pPr>
      <w:r>
        <w:rPr>
          <w:color w:val="231F20"/>
          <w:spacing w:val="-9"/>
          <w:sz w:val="22"/>
        </w:rPr>
        <w:t>乙方在施工期间应严格遵守《建筑安装工程安全技术规程》、《建筑安装工人安全操作</w:t>
      </w:r>
      <w:r>
        <w:rPr>
          <w:color w:val="231F20"/>
          <w:spacing w:val="-17"/>
          <w:sz w:val="22"/>
        </w:rPr>
        <w:t>规程》、《中华人民共和国消防条例》和其他相关的法规、规范。</w:t>
      </w:r>
    </w:p>
    <w:p>
      <w:pPr>
        <w:pStyle w:val="ListParagraph"/>
        <w:numPr>
          <w:ilvl w:val="1"/>
          <w:numId w:val="8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9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由于甲方确认的图纸或做法说明，违反有关安全操作规程、消防条例和防火设计规</w:t>
      </w:r>
      <w:r>
        <w:rPr>
          <w:color w:val="231F20"/>
          <w:sz w:val="22"/>
        </w:rPr>
        <w:t>范，导致发生安全或火灾事故，甲方应承担由此产生的一切经济损失。</w:t>
      </w:r>
    </w:p>
    <w:p>
      <w:pPr>
        <w:pStyle w:val="ListParagraph"/>
        <w:numPr>
          <w:ilvl w:val="1"/>
          <w:numId w:val="8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19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由于乙方在施工生产过程中违反有关安全操作规程、消防条例，导致发生安全或火</w:t>
      </w:r>
      <w:r>
        <w:rPr>
          <w:color w:val="231F20"/>
          <w:sz w:val="22"/>
        </w:rPr>
        <w:t>灾事故，乙方应承担由此引发的一切经济损失。</w:t>
      </w:r>
    </w:p>
    <w:p>
      <w:pPr>
        <w:pStyle w:val="BodyText"/>
        <w:tabs>
          <w:tab w:pos="1437" w:val="left" w:leader="none"/>
        </w:tabs>
        <w:spacing w:before="15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奖励和违约责任</w:t>
      </w:r>
    </w:p>
    <w:p>
      <w:pPr>
        <w:pStyle w:val="ListParagraph"/>
        <w:numPr>
          <w:ilvl w:val="1"/>
          <w:numId w:val="9"/>
        </w:numPr>
        <w:tabs>
          <w:tab w:pos="1056" w:val="left" w:leader="none"/>
          <w:tab w:pos="1057" w:val="left" w:leader="none"/>
          <w:tab w:pos="4859" w:val="left" w:leader="none"/>
        </w:tabs>
        <w:spacing w:line="304" w:lineRule="auto" w:before="89" w:after="0"/>
        <w:ind w:left="117" w:right="185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由于甲方原因导致延期开工或中途停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，甲方应补偿乙方因停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、窝工所造成的损</w:t>
      </w:r>
      <w:r>
        <w:rPr>
          <w:color w:val="231F20"/>
          <w:sz w:val="22"/>
        </w:rPr>
        <w:t>失</w:t>
      </w:r>
      <w:r>
        <w:rPr>
          <w:color w:val="231F20"/>
          <w:spacing w:val="6"/>
          <w:sz w:val="22"/>
        </w:rPr>
        <w:t>。每停工或窝工一</w:t>
      </w:r>
      <w:r>
        <w:rPr>
          <w:color w:val="231F20"/>
          <w:sz w:val="22"/>
        </w:rPr>
        <w:t>天</w:t>
      </w:r>
      <w:r>
        <w:rPr>
          <w:color w:val="231F20"/>
          <w:spacing w:val="6"/>
          <w:sz w:val="22"/>
        </w:rPr>
        <w:t>，甲方支付乙</w:t>
      </w:r>
      <w:r>
        <w:rPr>
          <w:color w:val="231F20"/>
          <w:sz w:val="22"/>
        </w:rPr>
        <w:t>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元</w:t>
      </w:r>
      <w:r>
        <w:rPr>
          <w:color w:val="231F20"/>
          <w:spacing w:val="6"/>
          <w:sz w:val="22"/>
        </w:rPr>
        <w:t>。甲方不按合同的约定拨付</w:t>
      </w:r>
      <w:r>
        <w:rPr>
          <w:color w:val="231F20"/>
          <w:sz w:val="22"/>
        </w:rPr>
        <w:t>款</w:t>
      </w:r>
      <w:r>
        <w:rPr>
          <w:color w:val="231F20"/>
          <w:spacing w:val="6"/>
          <w:sz w:val="22"/>
        </w:rPr>
        <w:t>，每拖期一</w:t>
      </w:r>
    </w:p>
    <w:p>
      <w:pPr>
        <w:spacing w:after="0" w:line="304" w:lineRule="auto"/>
        <w:jc w:val="left"/>
        <w:rPr>
          <w:sz w:val="22"/>
        </w:rPr>
        <w:sectPr>
          <w:pgSz w:w="11910" w:h="16840"/>
          <w:pgMar w:header="0" w:footer="832" w:top="1580" w:bottom="1020" w:left="1300" w:right="1220"/>
        </w:sectPr>
      </w:pPr>
    </w:p>
    <w:p>
      <w:pPr>
        <w:pStyle w:val="BodyText"/>
        <w:tabs>
          <w:tab w:pos="2537" w:val="left" w:leader="none"/>
        </w:tabs>
        <w:spacing w:before="24"/>
      </w:pPr>
      <w:r>
        <w:rPr>
          <w:color w:val="231F20"/>
        </w:rPr>
        <w:t>天，按付款额的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% 支付滞纳金。</w:t>
      </w:r>
    </w:p>
    <w:p>
      <w:pPr>
        <w:pStyle w:val="ListParagraph"/>
        <w:numPr>
          <w:ilvl w:val="1"/>
          <w:numId w:val="9"/>
        </w:numPr>
        <w:tabs>
          <w:tab w:pos="1057" w:val="left" w:leader="none"/>
          <w:tab w:pos="1058" w:val="left" w:leader="none"/>
          <w:tab w:pos="7157" w:val="left" w:leader="none"/>
          <w:tab w:pos="7373" w:val="left" w:leader="none"/>
        </w:tabs>
        <w:spacing w:line="304" w:lineRule="auto" w:before="89" w:after="0"/>
        <w:ind w:left="117" w:right="215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由于乙方原</w:t>
      </w:r>
      <w:r>
        <w:rPr>
          <w:color w:val="231F20"/>
          <w:sz w:val="22"/>
        </w:rPr>
        <w:t>因</w:t>
      </w:r>
      <w:r>
        <w:rPr>
          <w:color w:val="231F20"/>
          <w:spacing w:val="5"/>
          <w:sz w:val="22"/>
        </w:rPr>
        <w:t>，逾期竣</w:t>
      </w:r>
      <w:r>
        <w:rPr>
          <w:color w:val="231F20"/>
          <w:sz w:val="22"/>
        </w:rPr>
        <w:t>工</w:t>
      </w:r>
      <w:r>
        <w:rPr>
          <w:color w:val="231F20"/>
          <w:spacing w:val="5"/>
          <w:sz w:val="22"/>
        </w:rPr>
        <w:t>，每逾期一</w:t>
      </w:r>
      <w:r>
        <w:rPr>
          <w:color w:val="231F20"/>
          <w:sz w:val="22"/>
        </w:rPr>
        <w:t>天</w:t>
      </w:r>
      <w:r>
        <w:rPr>
          <w:color w:val="231F20"/>
          <w:spacing w:val="5"/>
          <w:sz w:val="22"/>
        </w:rPr>
        <w:t>，乙方支付甲</w:t>
      </w:r>
      <w:r>
        <w:rPr>
          <w:color w:val="231F20"/>
          <w:sz w:val="22"/>
        </w:rPr>
        <w:t>方</w:t>
      </w:r>
      <w:r>
        <w:rPr>
          <w:color w:val="231F20"/>
          <w:sz w:val="22"/>
          <w:u w:val="single" w:color="231F20"/>
        </w:rPr>
        <w:t> </w:t>
        <w:tab/>
        <w:tab/>
      </w:r>
      <w:r>
        <w:rPr>
          <w:color w:val="231F20"/>
          <w:spacing w:val="5"/>
          <w:sz w:val="22"/>
        </w:rPr>
        <w:t>元违约</w:t>
      </w:r>
      <w:r>
        <w:rPr>
          <w:color w:val="231F20"/>
          <w:sz w:val="22"/>
        </w:rPr>
        <w:t>金</w:t>
      </w:r>
      <w:r>
        <w:rPr>
          <w:color w:val="231F20"/>
          <w:spacing w:val="5"/>
          <w:sz w:val="22"/>
        </w:rPr>
        <w:t>。甲方</w:t>
      </w:r>
      <w:r>
        <w:rPr>
          <w:color w:val="231F20"/>
          <w:sz w:val="22"/>
        </w:rPr>
        <w:t>要 求提前竣工，除支付赶工措施费外，每提前一天，甲方支付乙方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元，作为奖励。</w:t>
      </w:r>
    </w:p>
    <w:p>
      <w:pPr>
        <w:pStyle w:val="ListParagraph"/>
        <w:numPr>
          <w:ilvl w:val="1"/>
          <w:numId w:val="9"/>
        </w:numPr>
        <w:tabs>
          <w:tab w:pos="1051" w:val="left" w:leader="none"/>
          <w:tab w:pos="1052" w:val="left" w:leader="none"/>
          <w:tab w:pos="3417" w:val="left" w:leader="none"/>
        </w:tabs>
        <w:spacing w:line="304" w:lineRule="auto" w:before="21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乙方按照甲方要求，全部或部分工程项目达到优良标准时，除按本合同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5.2</w:t>
      </w:r>
      <w:r>
        <w:rPr>
          <w:color w:val="231F20"/>
          <w:spacing w:val="12"/>
          <w:sz w:val="22"/>
        </w:rPr>
        <w:t> </w:t>
      </w:r>
      <w:r>
        <w:rPr>
          <w:color w:val="231F20"/>
          <w:sz w:val="22"/>
        </w:rPr>
        <w:t>款增加优质价款外，甲方支付乙方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52"/>
          <w:sz w:val="22"/>
        </w:rPr>
        <w:t>元</w:t>
      </w:r>
      <w:r>
        <w:rPr>
          <w:color w:val="231F20"/>
          <w:sz w:val="22"/>
        </w:rPr>
        <w:t>，作为奖励。</w:t>
      </w:r>
    </w:p>
    <w:p>
      <w:pPr>
        <w:pStyle w:val="ListParagraph"/>
        <w:numPr>
          <w:ilvl w:val="1"/>
          <w:numId w:val="9"/>
        </w:numPr>
        <w:tabs>
          <w:tab w:pos="1052" w:val="left" w:leader="none"/>
          <w:tab w:pos="1053" w:val="left" w:leader="none"/>
        </w:tabs>
        <w:spacing w:line="304" w:lineRule="auto" w:before="21" w:after="0"/>
        <w:ind w:left="117" w:right="105" w:firstLine="440"/>
        <w:jc w:val="left"/>
        <w:rPr>
          <w:sz w:val="22"/>
        </w:rPr>
      </w:pPr>
      <w:r>
        <w:rPr>
          <w:color w:val="231F20"/>
          <w:sz w:val="22"/>
        </w:rPr>
        <w:t>乙方应妥善保护甲方提供的设备及现场堆放的家具、陈设和工程成品，如造成损失， 应照价赔偿。</w:t>
      </w:r>
    </w:p>
    <w:p>
      <w:pPr>
        <w:pStyle w:val="ListParagraph"/>
        <w:numPr>
          <w:ilvl w:val="1"/>
          <w:numId w:val="9"/>
        </w:numPr>
        <w:tabs>
          <w:tab w:pos="1056" w:val="left" w:leader="none"/>
          <w:tab w:pos="1057" w:val="left" w:leader="none"/>
        </w:tabs>
        <w:spacing w:line="304" w:lineRule="auto" w:before="21" w:after="0"/>
        <w:ind w:left="117" w:right="210" w:firstLine="440"/>
        <w:jc w:val="left"/>
        <w:rPr>
          <w:sz w:val="22"/>
        </w:rPr>
      </w:pPr>
      <w:r>
        <w:rPr>
          <w:color w:val="231F20"/>
          <w:spacing w:val="2"/>
          <w:sz w:val="22"/>
        </w:rPr>
        <w:t>甲方未办理任何手续，擅自同意拆改原有建筑物结构或设备管线，由此发生的损失</w:t>
      </w:r>
      <w:r>
        <w:rPr>
          <w:color w:val="231F20"/>
          <w:sz w:val="22"/>
        </w:rPr>
        <w:t>或事故（包括罚款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，由甲方负责并承担损失。</w:t>
      </w:r>
    </w:p>
    <w:p>
      <w:pPr>
        <w:pStyle w:val="ListParagraph"/>
        <w:numPr>
          <w:ilvl w:val="1"/>
          <w:numId w:val="9"/>
        </w:numPr>
        <w:tabs>
          <w:tab w:pos="1049" w:val="left" w:leader="none"/>
          <w:tab w:pos="1050" w:val="left" w:leader="none"/>
        </w:tabs>
        <w:spacing w:line="304" w:lineRule="auto" w:before="21" w:after="0"/>
        <w:ind w:left="117" w:right="215" w:firstLine="440"/>
        <w:jc w:val="left"/>
        <w:rPr>
          <w:sz w:val="22"/>
        </w:rPr>
      </w:pPr>
      <w:r>
        <w:rPr>
          <w:color w:val="231F20"/>
          <w:sz w:val="22"/>
        </w:rPr>
        <w:t>未经甲方同意，乙方擅自拆改原建筑物结构或设备管线，由此发生的损失或事故（包括罚款</w:t>
      </w:r>
      <w:r>
        <w:rPr>
          <w:color w:val="231F20"/>
          <w:spacing w:val="-110"/>
          <w:sz w:val="22"/>
        </w:rPr>
        <w:t>）</w:t>
      </w:r>
      <w:r>
        <w:rPr>
          <w:color w:val="231F20"/>
          <w:sz w:val="22"/>
        </w:rPr>
        <w:t>，由乙方负责并承担损失。</w:t>
      </w:r>
    </w:p>
    <w:p>
      <w:pPr>
        <w:pStyle w:val="ListParagraph"/>
        <w:numPr>
          <w:ilvl w:val="1"/>
          <w:numId w:val="9"/>
        </w:numPr>
        <w:tabs>
          <w:tab w:pos="1049" w:val="left" w:leader="none"/>
          <w:tab w:pos="1050" w:val="left" w:leader="none"/>
        </w:tabs>
        <w:spacing w:line="240" w:lineRule="auto" w:before="21" w:after="0"/>
        <w:ind w:left="1049" w:right="0" w:hanging="492"/>
        <w:jc w:val="left"/>
        <w:rPr>
          <w:sz w:val="22"/>
        </w:rPr>
      </w:pPr>
      <w:r>
        <w:rPr>
          <w:color w:val="231F20"/>
          <w:sz w:val="22"/>
        </w:rPr>
        <w:t>未办理验收手续，甲方提前使用或擅自动用，造成损失由甲方负责。</w:t>
      </w:r>
    </w:p>
    <w:p>
      <w:pPr>
        <w:pStyle w:val="ListParagraph"/>
        <w:numPr>
          <w:ilvl w:val="1"/>
          <w:numId w:val="9"/>
        </w:numPr>
        <w:tabs>
          <w:tab w:pos="1126" w:val="left" w:leader="none"/>
          <w:tab w:pos="1127" w:val="left" w:leader="none"/>
        </w:tabs>
        <w:spacing w:line="304" w:lineRule="auto" w:before="89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因一方原因，合同无法继续履行时，应通知对方，办理合同终止协议，并由责任方赔偿对方由此造成的经济损失。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争议或纠纷处理</w:t>
      </w:r>
    </w:p>
    <w:p>
      <w:pPr>
        <w:pStyle w:val="ListParagraph"/>
        <w:numPr>
          <w:ilvl w:val="1"/>
          <w:numId w:val="10"/>
        </w:numPr>
        <w:tabs>
          <w:tab w:pos="1162" w:val="left" w:leader="none"/>
          <w:tab w:pos="1163" w:val="left" w:leader="none"/>
        </w:tabs>
        <w:spacing w:line="304" w:lineRule="auto" w:before="88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本合同在履行期间，双方发生争议时，在不影响工程进度的前提下，双方可采取协商解决或请有关部门进行调解。</w:t>
      </w:r>
    </w:p>
    <w:p>
      <w:pPr>
        <w:pStyle w:val="ListParagraph"/>
        <w:numPr>
          <w:ilvl w:val="1"/>
          <w:numId w:val="10"/>
        </w:numPr>
        <w:tabs>
          <w:tab w:pos="1163" w:val="left" w:leader="none"/>
          <w:tab w:pos="3214" w:val="left" w:leader="none"/>
        </w:tabs>
        <w:spacing w:line="304" w:lineRule="auto" w:before="20" w:after="0"/>
        <w:ind w:left="117" w:right="212" w:firstLine="440"/>
        <w:jc w:val="both"/>
        <w:rPr>
          <w:sz w:val="22"/>
        </w:rPr>
      </w:pPr>
      <w:r>
        <w:rPr>
          <w:color w:val="231F20"/>
          <w:sz w:val="22"/>
        </w:rPr>
        <w:t>当事人不愿通过协商、调解解决或者协商、调解不成时，本合同在执行中发生的争议双方同意由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仲裁委员会仲裁</w:t>
      </w:r>
      <w:r>
        <w:rPr>
          <w:color w:val="231F20"/>
          <w:spacing w:val="-52"/>
          <w:sz w:val="22"/>
        </w:rPr>
        <w:t>；</w:t>
      </w:r>
      <w:r>
        <w:rPr>
          <w:color w:val="231F20"/>
          <w:sz w:val="22"/>
        </w:rPr>
        <w:t>当事人未在本合同中约定仲裁机构，事后又  没有达成书面仲裁协议的，可向人民法院起诉。</w:t>
      </w:r>
    </w:p>
    <w:p>
      <w:pPr>
        <w:pStyle w:val="BodyText"/>
        <w:tabs>
          <w:tab w:pos="165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其他约定</w:t>
      </w:r>
    </w:p>
    <w:p>
      <w:pPr>
        <w:pStyle w:val="BodyText"/>
        <w:tabs>
          <w:tab w:pos="16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附则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本工程需要进行保修或保险时，应另订协议。</w:t>
      </w:r>
    </w:p>
    <w:p>
      <w:pPr>
        <w:pStyle w:val="ListParagraph"/>
        <w:numPr>
          <w:ilvl w:val="1"/>
          <w:numId w:val="11"/>
        </w:numPr>
        <w:tabs>
          <w:tab w:pos="1212" w:val="left" w:leader="none"/>
          <w:tab w:pos="1213" w:val="left" w:leader="none"/>
          <w:tab w:pos="5337" w:val="left" w:leader="none"/>
          <w:tab w:pos="6821" w:val="left" w:leader="none"/>
          <w:tab w:pos="8305" w:val="left" w:leader="none"/>
        </w:tabs>
        <w:spacing w:line="240" w:lineRule="auto" w:before="88" w:after="0"/>
        <w:ind w:left="1212" w:right="0" w:hanging="655"/>
        <w:jc w:val="left"/>
        <w:rPr>
          <w:sz w:val="22"/>
        </w:rPr>
      </w:pPr>
      <w:r>
        <w:rPr>
          <w:color w:val="231F20"/>
          <w:sz w:val="22"/>
        </w:rPr>
        <w:t>本合同正本两份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双方各执一份。副本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 , 甲方执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乙方执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份。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本合同履行完成后自动终止。</w:t>
      </w:r>
    </w:p>
    <w:p>
      <w:pPr>
        <w:pStyle w:val="ListParagraph"/>
        <w:numPr>
          <w:ilvl w:val="1"/>
          <w:numId w:val="11"/>
        </w:numPr>
        <w:tabs>
          <w:tab w:pos="1158" w:val="left" w:leader="none"/>
          <w:tab w:pos="1159" w:val="left" w:leader="none"/>
        </w:tabs>
        <w:spacing w:line="240" w:lineRule="auto" w:before="88" w:after="0"/>
        <w:ind w:left="1158" w:right="0" w:hanging="601"/>
        <w:jc w:val="left"/>
        <w:rPr>
          <w:sz w:val="22"/>
        </w:rPr>
      </w:pPr>
      <w:r>
        <w:rPr>
          <w:color w:val="231F20"/>
          <w:sz w:val="22"/>
        </w:rPr>
        <w:t>附件</w:t>
      </w:r>
    </w:p>
    <w:p>
      <w:pPr>
        <w:pStyle w:val="BodyText"/>
        <w:spacing w:before="88"/>
        <w:ind w:left="447"/>
      </w:pPr>
      <w:r>
        <w:rPr>
          <w:color w:val="231F20"/>
        </w:rPr>
        <w:t>（ 1）施工图纸或做法说明</w:t>
      </w:r>
    </w:p>
    <w:p>
      <w:pPr>
        <w:pStyle w:val="BodyText"/>
        <w:spacing w:before="88"/>
        <w:ind w:left="447"/>
      </w:pPr>
      <w:r>
        <w:rPr>
          <w:color w:val="231F20"/>
        </w:rPr>
        <w:t>（ 2）工程项目一览表</w:t>
      </w:r>
    </w:p>
    <w:p>
      <w:pPr>
        <w:pStyle w:val="BodyText"/>
        <w:spacing w:before="88"/>
        <w:ind w:left="447"/>
      </w:pPr>
      <w:r>
        <w:rPr>
          <w:color w:val="231F20"/>
        </w:rPr>
        <w:t>（ 3）工程预算书</w:t>
      </w:r>
    </w:p>
    <w:p>
      <w:pPr>
        <w:pStyle w:val="BodyText"/>
        <w:spacing w:before="88"/>
        <w:ind w:left="447"/>
      </w:pPr>
      <w:r>
        <w:rPr>
          <w:color w:val="231F20"/>
        </w:rPr>
        <w:t>（ 4）甲方提供货物清单</w:t>
      </w:r>
    </w:p>
    <w:p>
      <w:pPr>
        <w:pStyle w:val="BodyText"/>
        <w:spacing w:before="88"/>
        <w:ind w:left="447"/>
      </w:pPr>
      <w:r>
        <w:rPr>
          <w:color w:val="231F20"/>
        </w:rPr>
        <w:t>（ 5）会议纪要</w:t>
      </w:r>
    </w:p>
    <w:p>
      <w:pPr>
        <w:pStyle w:val="BodyText"/>
        <w:spacing w:before="88"/>
        <w:ind w:left="447"/>
      </w:pPr>
      <w:r>
        <w:rPr>
          <w:color w:val="231F20"/>
        </w:rPr>
        <w:t>（ 6）设计变更</w:t>
      </w:r>
    </w:p>
    <w:p>
      <w:pPr>
        <w:pStyle w:val="BodyText"/>
        <w:spacing w:before="88"/>
        <w:ind w:left="447"/>
      </w:pPr>
      <w:r>
        <w:rPr>
          <w:color w:val="231F20"/>
        </w:rPr>
        <w:t>（ 7）其他</w:t>
      </w:r>
    </w:p>
    <w:p>
      <w:pPr>
        <w:spacing w:after="0"/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26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7"/>
        <w:gridCol w:w="4057"/>
      </w:tblGrid>
      <w:tr>
        <w:trPr>
          <w:trHeight w:val="320" w:hRule="atLeast"/>
        </w:trPr>
        <w:tc>
          <w:tcPr>
            <w:tcW w:w="4067" w:type="dxa"/>
          </w:tcPr>
          <w:p>
            <w:pPr>
              <w:pStyle w:val="TableParagraph"/>
              <w:spacing w:line="253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甲方 ( 盖章 ):</w:t>
            </w:r>
          </w:p>
        </w:tc>
        <w:tc>
          <w:tcPr>
            <w:tcW w:w="4057" w:type="dxa"/>
          </w:tcPr>
          <w:p>
            <w:pPr>
              <w:pStyle w:val="TableParagraph"/>
              <w:spacing w:line="253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乙方 ( 盖章 ):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法定代表人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法定代表人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代理人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代理人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单位地址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单位地址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电话：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电话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传真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传真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邮编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邮编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开户银行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开户银行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户名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户名 :</w:t>
            </w:r>
          </w:p>
        </w:tc>
      </w:tr>
      <w:tr>
        <w:trPr>
          <w:trHeight w:val="400" w:hRule="atLeast"/>
        </w:trPr>
        <w:tc>
          <w:tcPr>
            <w:tcW w:w="4067" w:type="dxa"/>
          </w:tcPr>
          <w:p>
            <w:pPr>
              <w:pStyle w:val="TableParagraph"/>
              <w:spacing w:line="327" w:lineRule="exact"/>
              <w:ind w:left="200"/>
              <w:rPr>
                <w:sz w:val="22"/>
              </w:rPr>
            </w:pPr>
            <w:r>
              <w:rPr>
                <w:color w:val="231F20"/>
                <w:sz w:val="22"/>
              </w:rPr>
              <w:t>账号 :</w:t>
            </w:r>
          </w:p>
        </w:tc>
        <w:tc>
          <w:tcPr>
            <w:tcW w:w="4057" w:type="dxa"/>
          </w:tcPr>
          <w:p>
            <w:pPr>
              <w:pStyle w:val="TableParagraph"/>
              <w:spacing w:line="327" w:lineRule="exact"/>
              <w:ind w:left="1227"/>
              <w:rPr>
                <w:sz w:val="22"/>
              </w:rPr>
            </w:pPr>
            <w:r>
              <w:rPr>
                <w:color w:val="231F20"/>
                <w:sz w:val="22"/>
              </w:rPr>
              <w:t>账号 :</w:t>
            </w:r>
          </w:p>
        </w:tc>
      </w:tr>
      <w:tr>
        <w:trPr>
          <w:trHeight w:val="320" w:hRule="atLeast"/>
        </w:trPr>
        <w:tc>
          <w:tcPr>
            <w:tcW w:w="4067" w:type="dxa"/>
          </w:tcPr>
          <w:p>
            <w:pPr>
              <w:pStyle w:val="TableParagraph"/>
              <w:tabs>
                <w:tab w:pos="1959" w:val="left" w:leader="none"/>
                <w:tab w:pos="2619" w:val="left" w:leader="none"/>
              </w:tabs>
              <w:spacing w:line="307" w:lineRule="exact"/>
              <w:ind w:left="1299"/>
              <w:rPr>
                <w:sz w:val="22"/>
              </w:rPr>
            </w:pPr>
            <w:r>
              <w:rPr>
                <w:color w:val="231F20"/>
                <w:sz w:val="22"/>
              </w:rPr>
              <w:t>年</w:t>
              <w:tab/>
              <w:t>月</w:t>
              <w:tab/>
              <w:t>日</w:t>
            </w:r>
          </w:p>
        </w:tc>
        <w:tc>
          <w:tcPr>
            <w:tcW w:w="4057" w:type="dxa"/>
          </w:tcPr>
          <w:p>
            <w:pPr>
              <w:pStyle w:val="TableParagraph"/>
              <w:tabs>
                <w:tab w:pos="2976" w:val="left" w:leader="none"/>
                <w:tab w:pos="3636" w:val="left" w:leader="none"/>
              </w:tabs>
              <w:spacing w:line="307" w:lineRule="exact"/>
              <w:ind w:left="2316"/>
              <w:rPr>
                <w:sz w:val="22"/>
              </w:rPr>
            </w:pPr>
            <w:r>
              <w:rPr>
                <w:color w:val="231F20"/>
                <w:sz w:val="22"/>
              </w:rPr>
              <w:t>年</w:t>
              <w:tab/>
              <w:t>月</w:t>
              <w:tab/>
              <w:t>日</w:t>
            </w:r>
          </w:p>
        </w:tc>
      </w:tr>
    </w:tbl>
    <w:p>
      <w:pPr>
        <w:spacing w:after="0" w:line="307" w:lineRule="exact"/>
        <w:rPr>
          <w:sz w:val="22"/>
        </w:rPr>
        <w:sectPr>
          <w:pgSz w:w="11910" w:h="16840"/>
          <w:pgMar w:header="0" w:footer="832" w:top="1580" w:bottom="960" w:left="1540" w:right="1300"/>
        </w:sectPr>
      </w:pPr>
    </w:p>
    <w:p>
      <w:pPr>
        <w:pStyle w:val="BodyText"/>
        <w:spacing w:before="18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附表一：</w:t>
      </w:r>
    </w:p>
    <w:p>
      <w:pPr>
        <w:pStyle w:val="BodyText"/>
        <w:spacing w:before="2"/>
        <w:ind w:left="0"/>
        <w:rPr>
          <w:rFonts w:ascii="方正黑体_GBK"/>
          <w:sz w:val="28"/>
        </w:rPr>
      </w:pPr>
      <w:r>
        <w:rPr/>
        <w:br w:type="column"/>
      </w:r>
      <w:r>
        <w:rPr>
          <w:rFonts w:ascii="方正黑体_GBK"/>
          <w:sz w:val="28"/>
        </w:rPr>
      </w:r>
    </w:p>
    <w:p>
      <w:pPr>
        <w:pStyle w:val="Heading1"/>
      </w:pPr>
      <w:r>
        <w:rPr>
          <w:color w:val="231F20"/>
        </w:rPr>
        <w:t>xxx 工程甲方供应材料设备一览表</w:t>
      </w:r>
    </w:p>
    <w:p>
      <w:pPr>
        <w:spacing w:after="0"/>
        <w:sectPr>
          <w:pgSz w:w="11910" w:h="16840"/>
          <w:pgMar w:header="0" w:footer="832" w:top="1580" w:bottom="1020" w:left="1300" w:right="1300"/>
          <w:cols w:num="2" w:equalWidth="0">
            <w:col w:w="998" w:space="1473"/>
            <w:col w:w="6839"/>
          </w:cols>
        </w:sectPr>
      </w:pPr>
    </w:p>
    <w:p>
      <w:pPr>
        <w:pStyle w:val="BodyText"/>
        <w:spacing w:before="10"/>
        <w:ind w:left="0"/>
        <w:rPr>
          <w:rFonts w:ascii="方正黑体_GBK"/>
          <w:sz w:val="13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1748"/>
        <w:gridCol w:w="938"/>
        <w:gridCol w:w="938"/>
        <w:gridCol w:w="939"/>
        <w:gridCol w:w="938"/>
        <w:gridCol w:w="939"/>
        <w:gridCol w:w="938"/>
        <w:gridCol w:w="941"/>
      </w:tblGrid>
      <w:tr>
        <w:trPr>
          <w:trHeight w:val="14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87"/>
              <w:rPr>
                <w:sz w:val="18"/>
              </w:rPr>
            </w:pPr>
            <w:r>
              <w:rPr>
                <w:color w:val="231F20"/>
                <w:sz w:val="18"/>
              </w:rPr>
              <w:t>序号</w:t>
            </w:r>
          </w:p>
        </w:tc>
        <w:tc>
          <w:tcPr>
            <w:tcW w:w="174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43"/>
              <w:rPr>
                <w:sz w:val="18"/>
              </w:rPr>
            </w:pPr>
            <w:r>
              <w:rPr>
                <w:color w:val="231F20"/>
                <w:sz w:val="18"/>
              </w:rPr>
              <w:t>材料或设备名称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color w:val="231F20"/>
                <w:sz w:val="18"/>
              </w:rPr>
              <w:t>单位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2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939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供应时间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送达地点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rFonts w:ascii="方正黑体_GBK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方正黑体_GBK"/>
                <w:sz w:val="18"/>
              </w:rPr>
            </w:pPr>
          </w:p>
          <w:p>
            <w:pPr>
              <w:pStyle w:val="TableParagraph"/>
              <w:ind w:left="295"/>
              <w:rPr>
                <w:sz w:val="18"/>
              </w:rPr>
            </w:pPr>
            <w:r>
              <w:rPr>
                <w:color w:val="231F20"/>
                <w:sz w:val="18"/>
              </w:rPr>
              <w:t>备注</w:t>
            </w: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0" w:hRule="atLeast"/>
        </w:trPr>
        <w:tc>
          <w:tcPr>
            <w:tcW w:w="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09424pt;margin-top:789.265808pt;width:9pt;height:13.1pt;mso-position-horizontal-relative:page;mso-position-vertical-relative:page;z-index:-1055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1052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2"/>
      <w:numFmt w:val="decimal"/>
      <w:lvlText w:val="%1"/>
      <w:lvlJc w:val="left"/>
      <w:pPr>
        <w:ind w:left="1158" w:hanging="60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602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809" w:hanging="6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3" w:hanging="6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8" w:hanging="6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2" w:hanging="6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07" w:hanging="6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1" w:hanging="6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6" w:hanging="602"/>
      </w:pPr>
      <w:rPr>
        <w:rFonts w:hint="default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117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605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605"/>
      </w:pPr>
      <w:rPr>
        <w:rFonts w:hint="default"/>
      </w:rPr>
    </w:lvl>
  </w:abstractNum>
  <w:abstractNum w:abstractNumId="8">
    <w:multiLevelType w:val="hybridMultilevel"/>
    <w:lvl w:ilvl="0">
      <w:start w:val="9"/>
      <w:numFmt w:val="decimal"/>
      <w:lvlText w:val="%1"/>
      <w:lvlJc w:val="left"/>
      <w:pPr>
        <w:ind w:left="117" w:hanging="4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4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4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4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4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4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4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499"/>
      </w:pPr>
      <w:rPr>
        <w:rFonts w:hint="default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17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493"/>
      </w:pPr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117" w:hanging="57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71"/>
        <w:jc w:val="left"/>
      </w:pPr>
      <w:rPr>
        <w:rFonts w:hint="default" w:ascii="方正书宋_GBK" w:hAnsi="方正书宋_GBK" w:eastAsia="方正书宋_GBK" w:cs="方正书宋_GBK"/>
        <w:color w:val="231F20"/>
        <w:spacing w:val="-11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5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5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5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5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5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5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571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17" w:hanging="54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47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3" w:hanging="5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99" w:hanging="5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5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2" w:hanging="5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9" w:hanging="5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5" w:hanging="5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2" w:hanging="547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17" w:hanging="51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" w:hanging="518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81" w:hanging="5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1" w:hanging="5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2" w:hanging="5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2" w:hanging="5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3" w:hanging="5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3" w:hanging="5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518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149" w:hanging="49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7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71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3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5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6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8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2" w:hanging="493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217" w:hanging="4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" w:hanging="499"/>
        <w:jc w:val="righ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057" w:hanging="4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5" w:hanging="4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4" w:hanging="4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2" w:hanging="4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1" w:hanging="4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9" w:hanging="4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8" w:hanging="49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7"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501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977" w:hanging="5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5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5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5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5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5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50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49" w:hanging="49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493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713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9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6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2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5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32" w:hanging="493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117"/>
    </w:pPr>
    <w:rPr>
      <w:rFonts w:ascii="方正书宋_GBK" w:hAnsi="方正书宋_GBK" w:eastAsia="方正书宋_GBK" w:cs="方正书宋_GBK"/>
      <w:sz w:val="22"/>
      <w:szCs w:val="22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方正黑体_GBK" w:hAnsi="方正黑体_GBK" w:eastAsia="方正黑体_GBK" w:cs="方正黑体_GBK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89"/>
      <w:ind w:left="117" w:firstLine="440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2021-12-01T23:29:33Z</dcterms:created>
  <dcterms:modified xsi:type="dcterms:W3CDTF">2021-12-01T23:29:33Z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