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Default Extension="png" ContentType="image/png"/>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GF—2020—0216</w:t>
      </w: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3"/>
        <w:ind w:left="0"/>
        <w:rPr>
          <w:rFonts w:ascii="Times New Roman"/>
          <w:b/>
          <w:sz w:val="24"/>
        </w:rPr>
      </w:pPr>
    </w:p>
    <w:p>
      <w:pPr>
        <w:spacing w:line="577" w:lineRule="exact" w:before="0"/>
        <w:ind w:left="2435" w:right="2435" w:firstLine="0"/>
        <w:jc w:val="center"/>
        <w:rPr>
          <w:rFonts w:ascii="方正小标宋_GBK" w:eastAsia="方正小标宋_GBK" w:hint="eastAsia"/>
          <w:sz w:val="40"/>
        </w:rPr>
      </w:pPr>
      <w:r>
        <w:rPr>
          <w:rFonts w:ascii="方正小标宋_GBK" w:eastAsia="方正小标宋_GBK" w:hint="eastAsia"/>
          <w:color w:val="231F20"/>
          <w:sz w:val="40"/>
        </w:rPr>
        <w:t>建设项目工程总承包合同</w:t>
      </w:r>
    </w:p>
    <w:p>
      <w:pPr>
        <w:pStyle w:val="Heading1"/>
        <w:spacing w:before="152"/>
        <w:ind w:left="2435" w:right="2435"/>
        <w:rPr>
          <w:rFonts w:ascii="方正楷体_GBK" w:eastAsia="方正楷体_GBK" w:hint="eastAsia"/>
        </w:rPr>
      </w:pPr>
      <w:r>
        <w:rPr>
          <w:rFonts w:ascii="方正楷体_GBK" w:eastAsia="方正楷体_GBK" w:hint="eastAsia"/>
          <w:color w:val="231F20"/>
        </w:rPr>
        <w:t>（示范文本）</w:t>
      </w: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13"/>
        <w:ind w:left="0"/>
        <w:rPr>
          <w:rFonts w:ascii="方正楷体_GBK"/>
          <w:sz w:val="18"/>
        </w:rPr>
      </w:pPr>
    </w:p>
    <w:p>
      <w:pPr>
        <w:pStyle w:val="Heading2"/>
        <w:spacing w:line="305" w:lineRule="exact" w:before="13"/>
        <w:ind w:left="2314"/>
        <w:rPr>
          <w:rFonts w:ascii="方正楷体_GBK" w:eastAsia="方正楷体_GBK" w:hint="eastAsia"/>
        </w:rPr>
      </w:pPr>
      <w:r>
        <w:rPr>
          <w:rFonts w:ascii="方正楷体_GBK" w:eastAsia="方正楷体_GBK" w:hint="eastAsia"/>
          <w:color w:val="231F20"/>
        </w:rPr>
        <w:t>中华人民共和国住房和城乡建设部</w:t>
      </w:r>
    </w:p>
    <w:p>
      <w:pPr>
        <w:spacing w:line="220" w:lineRule="exact" w:before="0"/>
        <w:ind w:left="0" w:right="2152" w:firstLine="0"/>
        <w:jc w:val="right"/>
        <w:rPr>
          <w:rFonts w:ascii="方正楷体_GBK" w:eastAsia="方正楷体_GBK" w:hint="eastAsia"/>
          <w:sz w:val="26"/>
        </w:rPr>
      </w:pPr>
      <w:r>
        <w:rPr>
          <w:rFonts w:ascii="方正楷体_GBK" w:eastAsia="方正楷体_GBK" w:hint="eastAsia"/>
          <w:color w:val="231F20"/>
          <w:sz w:val="26"/>
        </w:rPr>
        <w:t>制定</w:t>
      </w:r>
    </w:p>
    <w:p>
      <w:pPr>
        <w:spacing w:line="285" w:lineRule="exact" w:before="0"/>
        <w:ind w:left="2314" w:right="0" w:firstLine="0"/>
        <w:jc w:val="left"/>
        <w:rPr>
          <w:rFonts w:ascii="方正楷体_GBK" w:eastAsia="方正楷体_GBK" w:hint="eastAsia"/>
          <w:sz w:val="26"/>
        </w:rPr>
      </w:pPr>
      <w:r>
        <w:rPr>
          <w:rFonts w:ascii="方正楷体_GBK" w:eastAsia="方正楷体_GBK" w:hint="eastAsia"/>
          <w:color w:val="231F20"/>
          <w:sz w:val="26"/>
        </w:rPr>
        <w:t>国  家  市  场  监  督  管  理  总  局</w:t>
      </w:r>
    </w:p>
    <w:p>
      <w:pPr>
        <w:spacing w:after="0" w:line="285" w:lineRule="exact"/>
        <w:jc w:val="left"/>
        <w:rPr>
          <w:rFonts w:ascii="方正楷体_GBK" w:eastAsia="方正楷体_GBK" w:hint="eastAsia"/>
          <w:sz w:val="26"/>
        </w:rPr>
        <w:sectPr>
          <w:footerReference w:type="default" r:id="rId5"/>
          <w:footerReference w:type="even" r:id="rId6"/>
          <w:type w:val="continuous"/>
          <w:pgSz w:w="11910" w:h="16840"/>
          <w:pgMar w:footer="832" w:top="1580" w:bottom="1020" w:left="1300" w:right="1300"/>
          <w:pgNumType w:start="1"/>
        </w:sect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4"/>
        <w:ind w:left="0"/>
        <w:rPr>
          <w:rFonts w:ascii="方正楷体_GBK"/>
          <w:sz w:val="14"/>
        </w:rPr>
      </w:pPr>
    </w:p>
    <w:p>
      <w:pPr>
        <w:tabs>
          <w:tab w:pos="559" w:val="left" w:leader="none"/>
        </w:tabs>
        <w:spacing w:before="3"/>
        <w:ind w:left="0" w:right="18" w:firstLine="0"/>
        <w:jc w:val="center"/>
        <w:rPr>
          <w:rFonts w:ascii="方正黑体_GBK" w:eastAsia="方正黑体_GBK" w:hint="eastAsia"/>
          <w:sz w:val="28"/>
        </w:rPr>
      </w:pPr>
      <w:r>
        <w:rPr>
          <w:rFonts w:ascii="方正黑体_GBK" w:eastAsia="方正黑体_GBK" w:hint="eastAsia"/>
          <w:color w:val="231F20"/>
          <w:sz w:val="28"/>
        </w:rPr>
        <w:t>说</w:t>
        <w:tab/>
        <w:t>明</w:t>
      </w:r>
    </w:p>
    <w:p>
      <w:pPr>
        <w:pStyle w:val="BodyText"/>
        <w:spacing w:before="13"/>
        <w:ind w:left="0"/>
        <w:rPr>
          <w:rFonts w:ascii="方正黑体_GBK"/>
          <w:sz w:val="26"/>
        </w:rPr>
      </w:pPr>
    </w:p>
    <w:p>
      <w:pPr>
        <w:pStyle w:val="BodyText"/>
        <w:spacing w:before="1"/>
        <w:ind w:left="657"/>
      </w:pPr>
      <w:r>
        <w:rPr>
          <w:color w:val="231F20"/>
        </w:rPr>
        <w:t>为指导建设项目工程总承包合同当事人的签约行为，维护合同当事人的合法权益，依据</w:t>
      </w:r>
    </w:p>
    <w:p>
      <w:pPr>
        <w:pStyle w:val="BodyText"/>
        <w:spacing w:line="319" w:lineRule="auto"/>
        <w:ind w:left="217" w:right="230" w:hanging="110"/>
        <w:jc w:val="both"/>
      </w:pPr>
      <w:r>
        <w:rPr>
          <w:color w:val="231F20"/>
          <w:spacing w:val="-20"/>
        </w:rPr>
        <w:t>《中华人民共和国民法典》、《中华人民共和国建筑法》、《中华人民共和国招标投标法》以及相</w:t>
      </w:r>
      <w:r>
        <w:rPr>
          <w:color w:val="231F20"/>
        </w:rPr>
        <w:t>关法律、法规，住房和城乡建设部、市场监管总局对《建设项目工程总承包合同示范文本（试行</w:t>
      </w:r>
      <w:r>
        <w:rPr>
          <w:color w:val="231F20"/>
          <w:spacing w:val="-55"/>
        </w:rPr>
        <w:t>）</w:t>
      </w:r>
      <w:r>
        <w:rPr>
          <w:color w:val="231F20"/>
          <w:spacing w:val="-110"/>
        </w:rPr>
        <w:t>》</w:t>
      </w:r>
      <w:r>
        <w:rPr>
          <w:color w:val="231F20"/>
        </w:rPr>
        <w:t>（ GF-2011-0216）进行了修订，制定了《建设项目工程总承包合同（示范文本</w:t>
      </w:r>
      <w:r>
        <w:rPr>
          <w:color w:val="231F20"/>
          <w:spacing w:val="-55"/>
        </w:rPr>
        <w:t>）</w:t>
      </w:r>
      <w:r>
        <w:rPr>
          <w:color w:val="231F20"/>
          <w:spacing w:val="-110"/>
        </w:rPr>
        <w:t>》</w:t>
      </w:r>
      <w:r>
        <w:rPr>
          <w:color w:val="231F20"/>
        </w:rPr>
        <w:t>（ GF- </w:t>
      </w:r>
      <w:r>
        <w:rPr>
          <w:color w:val="231F20"/>
          <w:spacing w:val="-1"/>
        </w:rPr>
        <w:t>2020-0216</w:t>
      </w:r>
      <w:r>
        <w:rPr>
          <w:color w:val="231F20"/>
          <w:spacing w:val="-110"/>
        </w:rPr>
        <w:t>）</w:t>
      </w:r>
      <w:r>
        <w:rPr>
          <w:color w:val="231F20"/>
        </w:rPr>
        <w:t>（</w:t>
      </w:r>
      <w:r>
        <w:rPr>
          <w:color w:val="231F20"/>
          <w:spacing w:val="-6"/>
        </w:rPr>
        <w:t>以下简称《示范文本》</w:t>
      </w:r>
      <w:r>
        <w:rPr>
          <w:color w:val="231F20"/>
          <w:spacing w:val="-83"/>
        </w:rPr>
        <w:t>）</w:t>
      </w:r>
      <w:r>
        <w:rPr>
          <w:color w:val="231F20"/>
        </w:rPr>
        <w:t>。现就有关问题说明如下：</w:t>
      </w:r>
    </w:p>
    <w:p>
      <w:pPr>
        <w:pStyle w:val="BodyText"/>
        <w:spacing w:before="19"/>
        <w:ind w:left="657"/>
        <w:rPr>
          <w:rFonts w:ascii="方正黑体_GBK" w:eastAsia="方正黑体_GBK" w:hint="eastAsia"/>
        </w:rPr>
      </w:pPr>
      <w:r>
        <w:rPr>
          <w:rFonts w:ascii="方正黑体_GBK" w:eastAsia="方正黑体_GBK" w:hint="eastAsia"/>
          <w:color w:val="231F20"/>
        </w:rPr>
        <w:t>一、《示范文本》的组成</w:t>
      </w:r>
    </w:p>
    <w:p>
      <w:pPr>
        <w:pStyle w:val="BodyText"/>
        <w:spacing w:before="122"/>
        <w:ind w:left="547"/>
      </w:pPr>
      <w:r>
        <w:rPr>
          <w:color w:val="231F20"/>
        </w:rPr>
        <w:t>《示范文本》由合同协议书、通用合同条件和专用合同条件三部分组成。</w:t>
      </w:r>
    </w:p>
    <w:p>
      <w:pPr>
        <w:pStyle w:val="BodyText"/>
        <w:ind w:left="547"/>
      </w:pPr>
      <w:r>
        <w:rPr>
          <w:color w:val="231F20"/>
        </w:rPr>
        <w:t>（一）合同协议书</w:t>
      </w:r>
    </w:p>
    <w:p>
      <w:pPr>
        <w:pStyle w:val="BodyText"/>
        <w:spacing w:line="319" w:lineRule="auto"/>
        <w:ind w:left="217" w:right="231" w:firstLine="330"/>
        <w:jc w:val="both"/>
      </w:pPr>
      <w:r>
        <w:rPr>
          <w:color w:val="231F20"/>
          <w:spacing w:val="1"/>
        </w:rPr>
        <w:t>《示范文本》合同协议书共计 </w:t>
      </w:r>
      <w:r>
        <w:rPr>
          <w:color w:val="231F20"/>
        </w:rPr>
        <w:t>11</w:t>
      </w:r>
      <w:r>
        <w:rPr>
          <w:color w:val="231F20"/>
          <w:spacing w:val="-4"/>
        </w:rPr>
        <w:t> 条，主要包括：工程概况、合同工期、质量标准、签约合同价与合同价格形式、工程总承包项目经理、合同文件构成、承诺、订立时间、订立地点、合同生效和合同份数，集中约定了合同当事人基本的合同权利义务。</w:t>
      </w:r>
    </w:p>
    <w:p>
      <w:pPr>
        <w:pStyle w:val="BodyText"/>
        <w:spacing w:before="26"/>
        <w:ind w:left="547"/>
      </w:pPr>
      <w:r>
        <w:rPr>
          <w:color w:val="231F20"/>
        </w:rPr>
        <w:t>（二）通用合同条件</w:t>
      </w:r>
    </w:p>
    <w:p>
      <w:pPr>
        <w:pStyle w:val="BodyText"/>
        <w:spacing w:line="319" w:lineRule="auto"/>
        <w:ind w:left="217" w:right="93" w:firstLine="440"/>
      </w:pPr>
      <w:r>
        <w:rPr>
          <w:color w:val="231F20"/>
        </w:rPr>
        <w:t>通用合同条件是合同当事人根据《中华人民共和国民法典》、《中华人民共和国建筑法》等法律法规的规定，就工程总承包项目的实施及相关事项，对合同当事人的权利义务作出的原则性约定。通用合同条件共计 20 条，具体条款分别为：第 1 条 一般约定，第 2 条 发包人，</w:t>
      </w:r>
    </w:p>
    <w:p>
      <w:pPr>
        <w:pStyle w:val="BodyText"/>
        <w:spacing w:before="25"/>
        <w:ind w:left="217"/>
      </w:pPr>
      <w:r>
        <w:rPr>
          <w:color w:val="231F20"/>
        </w:rPr>
        <w:t>第 3 条 发包人的管理，第 4 条 承包人，第 5 条 设计，第 6 条 材料、工程设备，第 7 条 施工，</w:t>
      </w:r>
    </w:p>
    <w:p>
      <w:pPr>
        <w:pStyle w:val="BodyText"/>
        <w:spacing w:before="108"/>
        <w:ind w:left="217"/>
      </w:pPr>
      <w:r>
        <w:rPr>
          <w:color w:val="231F20"/>
        </w:rPr>
        <w:t>第 8 条 工期和进度，第 9 条 竣工试验，第 10 条 验收和工程接收，第 11 条 缺陷责任与保修，</w:t>
      </w:r>
    </w:p>
    <w:p>
      <w:pPr>
        <w:pStyle w:val="BodyText"/>
        <w:spacing w:line="319" w:lineRule="auto" w:before="108"/>
        <w:ind w:left="217" w:right="227"/>
        <w:jc w:val="both"/>
      </w:pPr>
      <w:r>
        <w:rPr>
          <w:color w:val="231F20"/>
        </w:rPr>
        <w:t>第 12 条 竣工后试验，第 13 条 变更与调整，第 14 条 合同价格与支付，第 15 条 违约，第 16 条 合同解除，第 17 条 不可抗力，第 18 条 保险，第 19 条 索赔，第 20 条 争议解决。前述条款安排既考虑了现行法律法规对工程总承包活动的有关要求，也考虑了工程总承包项目管理的实际需要。</w:t>
      </w:r>
    </w:p>
    <w:p>
      <w:pPr>
        <w:pStyle w:val="BodyText"/>
        <w:spacing w:before="25"/>
        <w:ind w:left="547"/>
      </w:pPr>
      <w:r>
        <w:rPr>
          <w:color w:val="231F20"/>
        </w:rPr>
        <w:t>（三）专用合同条件</w:t>
      </w:r>
    </w:p>
    <w:p>
      <w:pPr>
        <w:pStyle w:val="BodyText"/>
        <w:spacing w:line="319" w:lineRule="auto"/>
        <w:ind w:left="217" w:right="237" w:firstLine="440"/>
        <w:jc w:val="both"/>
      </w:pPr>
      <w:r>
        <w:rPr>
          <w:color w:val="231F20"/>
        </w:rPr>
        <w:t>专用合同条件是合同当事人根据不同建设项目的特点及具体情况，通过双方的谈判、协商对通用合同条件原则性约定细化、完善、补充、修改或另行约定的合同条件。在编写专用合同条件时，应注意以下事项：</w:t>
      </w:r>
    </w:p>
    <w:p>
      <w:pPr>
        <w:pStyle w:val="ListParagraph"/>
        <w:numPr>
          <w:ilvl w:val="0"/>
          <w:numId w:val="1"/>
        </w:numPr>
        <w:tabs>
          <w:tab w:pos="876" w:val="left" w:leader="none"/>
        </w:tabs>
        <w:spacing w:line="240" w:lineRule="auto" w:before="26" w:after="0"/>
        <w:ind w:left="217" w:right="0" w:firstLine="440"/>
        <w:jc w:val="left"/>
        <w:rPr>
          <w:sz w:val="22"/>
        </w:rPr>
      </w:pPr>
      <w:r>
        <w:rPr>
          <w:color w:val="231F20"/>
          <w:sz w:val="22"/>
        </w:rPr>
        <w:t>专用合同条件的编号应与相应的通用合同条件的编号一致；</w:t>
      </w:r>
    </w:p>
    <w:p>
      <w:pPr>
        <w:pStyle w:val="ListParagraph"/>
        <w:numPr>
          <w:ilvl w:val="0"/>
          <w:numId w:val="1"/>
        </w:numPr>
        <w:tabs>
          <w:tab w:pos="867" w:val="left" w:leader="none"/>
        </w:tabs>
        <w:spacing w:line="319" w:lineRule="auto" w:before="109" w:after="0"/>
        <w:ind w:left="217" w:right="125" w:firstLine="440"/>
        <w:jc w:val="left"/>
        <w:rPr>
          <w:sz w:val="22"/>
        </w:rPr>
      </w:pPr>
      <w:r>
        <w:rPr>
          <w:color w:val="231F20"/>
          <w:spacing w:val="-5"/>
          <w:sz w:val="22"/>
        </w:rPr>
        <w:t>在专用合同条件中有横道线的地方，合同当事人可针对相应的通用合同条件进行细化、完</w:t>
      </w:r>
      <w:r>
        <w:rPr>
          <w:color w:val="231F20"/>
          <w:spacing w:val="-11"/>
          <w:sz w:val="22"/>
        </w:rPr>
        <w:t>善、补充、修改或另行约定；如无细化、完善、补充、修改或另行约定，则填写“无”或划“ </w:t>
      </w:r>
      <w:r>
        <w:rPr>
          <w:color w:val="231F20"/>
          <w:spacing w:val="-5"/>
          <w:sz w:val="22"/>
        </w:rPr>
        <w:t>/</w:t>
      </w:r>
      <w:r>
        <w:rPr>
          <w:color w:val="231F20"/>
          <w:spacing w:val="-58"/>
          <w:sz w:val="22"/>
        </w:rPr>
        <w:t>”；</w:t>
      </w:r>
    </w:p>
    <w:p>
      <w:pPr>
        <w:spacing w:after="0" w:line="319" w:lineRule="auto"/>
        <w:jc w:val="left"/>
        <w:rPr>
          <w:sz w:val="22"/>
        </w:rPr>
        <w:sectPr>
          <w:pgSz w:w="11910" w:h="16840"/>
          <w:pgMar w:header="0" w:footer="832" w:top="1580" w:bottom="1020" w:left="1200" w:right="1180"/>
        </w:sectPr>
      </w:pPr>
    </w:p>
    <w:p>
      <w:pPr>
        <w:pStyle w:val="ListParagraph"/>
        <w:numPr>
          <w:ilvl w:val="0"/>
          <w:numId w:val="1"/>
        </w:numPr>
        <w:tabs>
          <w:tab w:pos="776" w:val="left" w:leader="none"/>
        </w:tabs>
        <w:spacing w:line="319" w:lineRule="auto" w:before="24" w:after="0"/>
        <w:ind w:left="117" w:right="110" w:firstLine="440"/>
        <w:jc w:val="both"/>
        <w:rPr>
          <w:sz w:val="22"/>
        </w:rPr>
      </w:pPr>
      <w:r>
        <w:rPr>
          <w:color w:val="231F20"/>
          <w:sz w:val="22"/>
        </w:rPr>
        <w:t>对于在专用合同条件中未列出的通用合同条件中的条款，合同当事人根据建设项目的具体情况认为需要进行细化、完善、补充、修改或另行约定的，可在专用合同条件中，以同一条款号增加相关条款的内容。</w:t>
      </w:r>
    </w:p>
    <w:p>
      <w:pPr>
        <w:pStyle w:val="BodyText"/>
        <w:spacing w:before="19"/>
        <w:ind w:left="557"/>
        <w:rPr>
          <w:rFonts w:ascii="方正黑体_GBK" w:eastAsia="方正黑体_GBK" w:hint="eastAsia"/>
        </w:rPr>
      </w:pPr>
      <w:r>
        <w:rPr>
          <w:rFonts w:ascii="方正黑体_GBK" w:eastAsia="方正黑体_GBK" w:hint="eastAsia"/>
          <w:color w:val="231F20"/>
        </w:rPr>
        <w:t>二、《示范文本》的适用范围</w:t>
      </w:r>
    </w:p>
    <w:p>
      <w:pPr>
        <w:pStyle w:val="BodyText"/>
        <w:spacing w:before="121"/>
        <w:ind w:left="447"/>
      </w:pPr>
      <w:r>
        <w:rPr>
          <w:color w:val="231F20"/>
        </w:rPr>
        <w:t>《示范文本》适用于房屋建筑和市政基础设施项目工程总承包承发包活动。</w:t>
      </w:r>
    </w:p>
    <w:p>
      <w:pPr>
        <w:pStyle w:val="BodyText"/>
        <w:spacing w:before="102"/>
        <w:ind w:left="557"/>
        <w:rPr>
          <w:rFonts w:ascii="方正黑体_GBK" w:eastAsia="方正黑体_GBK" w:hint="eastAsia"/>
        </w:rPr>
      </w:pPr>
      <w:r>
        <w:rPr>
          <w:rFonts w:ascii="方正黑体_GBK" w:eastAsia="方正黑体_GBK" w:hint="eastAsia"/>
          <w:color w:val="231F20"/>
        </w:rPr>
        <w:t>三、《示范文本》的性质</w:t>
      </w:r>
    </w:p>
    <w:p>
      <w:pPr>
        <w:pStyle w:val="BodyText"/>
        <w:spacing w:line="319" w:lineRule="auto" w:before="121"/>
        <w:ind w:right="95" w:firstLine="330"/>
      </w:pPr>
      <w:r>
        <w:rPr>
          <w:color w:val="231F20"/>
        </w:rPr>
        <w:t>《示范文本》为推荐使用的非强制性使用文本。合同当事人可结合建设工程具体情况，参照《示范文本》订立合同，并按照法律法规和合同约定承担相应的法律责任及合同权利义务。</w:t>
      </w:r>
    </w:p>
    <w:p>
      <w:pPr>
        <w:spacing w:after="0" w:line="319" w:lineRule="auto"/>
        <w:sectPr>
          <w:pgSz w:w="11910" w:h="16840"/>
          <w:pgMar w:header="0" w:footer="832" w:top="1580" w:bottom="1020" w:left="1300" w:right="1300"/>
        </w:sectPr>
      </w:pPr>
    </w:p>
    <w:p>
      <w:pPr>
        <w:pStyle w:val="BodyText"/>
        <w:spacing w:before="0"/>
        <w:ind w:left="0"/>
        <w:rPr>
          <w:sz w:val="20"/>
        </w:rPr>
      </w:pPr>
    </w:p>
    <w:p>
      <w:pPr>
        <w:pStyle w:val="BodyText"/>
        <w:spacing w:before="0"/>
        <w:ind w:left="0"/>
        <w:rPr>
          <w:sz w:val="20"/>
        </w:rPr>
      </w:pPr>
    </w:p>
    <w:p>
      <w:pPr>
        <w:pStyle w:val="Heading1"/>
        <w:tabs>
          <w:tab w:pos="939" w:val="left" w:leader="none"/>
        </w:tabs>
        <w:ind w:left="379"/>
      </w:pPr>
      <w:r>
        <w:rPr>
          <w:color w:val="231F20"/>
        </w:rPr>
        <w:t>目</w:t>
        <w:tab/>
        <w:t>录</w:t>
      </w:r>
    </w:p>
    <w:p>
      <w:pPr>
        <w:pStyle w:val="BodyText"/>
        <w:spacing w:before="8"/>
        <w:ind w:left="0"/>
        <w:rPr>
          <w:rFonts w:ascii="方正黑体_GBK"/>
          <w:sz w:val="26"/>
        </w:rPr>
      </w:pPr>
    </w:p>
    <w:p>
      <w:pPr>
        <w:pStyle w:val="BodyText"/>
        <w:tabs>
          <w:tab w:pos="1657" w:val="left" w:leader="none"/>
        </w:tabs>
        <w:spacing w:before="0"/>
        <w:ind w:left="557"/>
        <w:rPr>
          <w:rFonts w:ascii="方正黑体_GBK" w:eastAsia="方正黑体_GBK" w:hint="eastAsia"/>
        </w:rPr>
      </w:pPr>
      <w:r>
        <w:rPr>
          <w:rFonts w:ascii="方正黑体_GBK" w:eastAsia="方正黑体_GBK" w:hint="eastAsia"/>
          <w:color w:val="231F20"/>
        </w:rPr>
        <w:t>第一部分</w:t>
        <w:tab/>
        <w:t>合同协议书</w:t>
      </w:r>
    </w:p>
    <w:p>
      <w:pPr>
        <w:pStyle w:val="BodyText"/>
        <w:spacing w:line="319" w:lineRule="auto" w:before="121"/>
        <w:ind w:left="557" w:right="7046"/>
        <w:jc w:val="both"/>
      </w:pPr>
      <w:r>
        <w:rPr>
          <w:color w:val="231F20"/>
        </w:rPr>
        <w:t>一、工程概况二、合同工期三、质量标准</w:t>
      </w:r>
    </w:p>
    <w:p>
      <w:pPr>
        <w:pStyle w:val="BodyText"/>
        <w:spacing w:line="319" w:lineRule="auto" w:before="25"/>
        <w:ind w:left="557" w:right="5273"/>
      </w:pPr>
      <w:r>
        <w:rPr>
          <w:color w:val="231F20"/>
        </w:rPr>
        <w:t>四、签约合同价与合同价格形式五、工程总承包项目经理</w:t>
      </w:r>
    </w:p>
    <w:p>
      <w:pPr>
        <w:pStyle w:val="BodyText"/>
        <w:spacing w:line="319" w:lineRule="auto" w:before="25"/>
        <w:ind w:left="557" w:right="6593"/>
      </w:pPr>
      <w:r>
        <w:rPr>
          <w:color w:val="231F20"/>
        </w:rPr>
        <w:t>六、合同文件构成七、承诺</w:t>
      </w:r>
    </w:p>
    <w:p>
      <w:pPr>
        <w:pStyle w:val="BodyText"/>
        <w:spacing w:line="319" w:lineRule="auto" w:before="25"/>
        <w:ind w:left="557" w:right="6826"/>
      </w:pPr>
      <w:r>
        <w:rPr>
          <w:color w:val="231F20"/>
        </w:rPr>
        <w:t>八、订立时间 九、订立地点 十、合同生效 十一、合同份数</w:t>
      </w:r>
    </w:p>
    <w:p>
      <w:pPr>
        <w:pStyle w:val="BodyText"/>
        <w:tabs>
          <w:tab w:pos="1657" w:val="left" w:leader="none"/>
        </w:tabs>
        <w:spacing w:before="19"/>
        <w:ind w:left="557"/>
        <w:rPr>
          <w:rFonts w:ascii="方正黑体_GBK" w:eastAsia="方正黑体_GBK" w:hint="eastAsia"/>
        </w:rPr>
      </w:pPr>
      <w:r>
        <w:rPr>
          <w:rFonts w:ascii="方正黑体_GBK" w:eastAsia="方正黑体_GBK" w:hint="eastAsia"/>
          <w:color w:val="231F20"/>
        </w:rPr>
        <w:t>第二部分</w:t>
        <w:tab/>
        <w:t>通用合同条件</w:t>
      </w:r>
    </w:p>
    <w:p>
      <w:pPr>
        <w:pStyle w:val="BodyText"/>
        <w:tabs>
          <w:tab w:pos="1436" w:val="left" w:leader="none"/>
        </w:tabs>
        <w:spacing w:before="121"/>
        <w:ind w:left="557"/>
      </w:pPr>
      <w:r>
        <w:rPr>
          <w:color w:val="231F20"/>
        </w:rPr>
        <w:t>第 1 条</w:t>
        <w:tab/>
        <w:t>一般约定</w:t>
      </w:r>
    </w:p>
    <w:p>
      <w:pPr>
        <w:pStyle w:val="ListParagraph"/>
        <w:numPr>
          <w:ilvl w:val="1"/>
          <w:numId w:val="2"/>
        </w:numPr>
        <w:tabs>
          <w:tab w:pos="1104" w:val="left" w:leader="none"/>
        </w:tabs>
        <w:spacing w:line="240" w:lineRule="auto" w:before="108" w:after="0"/>
        <w:ind w:left="1103" w:right="0" w:hanging="326"/>
        <w:jc w:val="left"/>
        <w:rPr>
          <w:sz w:val="22"/>
        </w:rPr>
      </w:pPr>
      <w:r>
        <w:rPr>
          <w:color w:val="231F20"/>
          <w:sz w:val="22"/>
        </w:rPr>
        <w:t>词语定义和解释</w:t>
      </w:r>
    </w:p>
    <w:p>
      <w:pPr>
        <w:pStyle w:val="ListParagraph"/>
        <w:numPr>
          <w:ilvl w:val="1"/>
          <w:numId w:val="2"/>
        </w:numPr>
        <w:tabs>
          <w:tab w:pos="1104" w:val="left" w:leader="none"/>
        </w:tabs>
        <w:spacing w:line="240" w:lineRule="auto" w:before="108" w:after="0"/>
        <w:ind w:left="1103" w:right="0" w:hanging="326"/>
        <w:jc w:val="left"/>
        <w:rPr>
          <w:sz w:val="22"/>
        </w:rPr>
      </w:pPr>
      <w:r>
        <w:rPr>
          <w:color w:val="231F20"/>
          <w:sz w:val="22"/>
        </w:rPr>
        <w:t>语言文字</w:t>
      </w:r>
    </w:p>
    <w:p>
      <w:pPr>
        <w:pStyle w:val="ListParagraph"/>
        <w:numPr>
          <w:ilvl w:val="1"/>
          <w:numId w:val="2"/>
        </w:numPr>
        <w:tabs>
          <w:tab w:pos="1104" w:val="left" w:leader="none"/>
        </w:tabs>
        <w:spacing w:line="240" w:lineRule="auto" w:before="108" w:after="0"/>
        <w:ind w:left="1103" w:right="0" w:hanging="326"/>
        <w:jc w:val="left"/>
        <w:rPr>
          <w:sz w:val="22"/>
        </w:rPr>
      </w:pPr>
      <w:r>
        <w:rPr>
          <w:color w:val="231F20"/>
          <w:sz w:val="22"/>
        </w:rPr>
        <w:t>法律</w:t>
      </w:r>
    </w:p>
    <w:p>
      <w:pPr>
        <w:pStyle w:val="ListParagraph"/>
        <w:numPr>
          <w:ilvl w:val="1"/>
          <w:numId w:val="2"/>
        </w:numPr>
        <w:tabs>
          <w:tab w:pos="1104" w:val="left" w:leader="none"/>
        </w:tabs>
        <w:spacing w:line="240" w:lineRule="auto" w:before="108" w:after="0"/>
        <w:ind w:left="1103" w:right="0" w:hanging="326"/>
        <w:jc w:val="left"/>
        <w:rPr>
          <w:sz w:val="22"/>
        </w:rPr>
      </w:pPr>
      <w:r>
        <w:rPr>
          <w:color w:val="231F20"/>
          <w:sz w:val="22"/>
        </w:rPr>
        <w:t>标准和规范</w:t>
      </w:r>
    </w:p>
    <w:p>
      <w:pPr>
        <w:pStyle w:val="ListParagraph"/>
        <w:numPr>
          <w:ilvl w:val="1"/>
          <w:numId w:val="2"/>
        </w:numPr>
        <w:tabs>
          <w:tab w:pos="1104" w:val="left" w:leader="none"/>
        </w:tabs>
        <w:spacing w:line="240" w:lineRule="auto" w:before="108" w:after="0"/>
        <w:ind w:left="1103" w:right="0" w:hanging="326"/>
        <w:jc w:val="left"/>
        <w:rPr>
          <w:sz w:val="22"/>
        </w:rPr>
      </w:pPr>
      <w:r>
        <w:rPr>
          <w:color w:val="231F20"/>
          <w:sz w:val="22"/>
        </w:rPr>
        <w:t>合同文件的优先顺序</w:t>
      </w:r>
    </w:p>
    <w:p>
      <w:pPr>
        <w:pStyle w:val="ListParagraph"/>
        <w:numPr>
          <w:ilvl w:val="1"/>
          <w:numId w:val="2"/>
        </w:numPr>
        <w:tabs>
          <w:tab w:pos="1104" w:val="left" w:leader="none"/>
        </w:tabs>
        <w:spacing w:line="240" w:lineRule="auto" w:before="108" w:after="0"/>
        <w:ind w:left="1103" w:right="0" w:hanging="326"/>
        <w:jc w:val="left"/>
        <w:rPr>
          <w:sz w:val="22"/>
        </w:rPr>
      </w:pPr>
      <w:r>
        <w:rPr>
          <w:color w:val="231F20"/>
          <w:sz w:val="22"/>
        </w:rPr>
        <w:t>文件的提供和照管</w:t>
      </w:r>
    </w:p>
    <w:p>
      <w:pPr>
        <w:pStyle w:val="ListParagraph"/>
        <w:numPr>
          <w:ilvl w:val="1"/>
          <w:numId w:val="2"/>
        </w:numPr>
        <w:tabs>
          <w:tab w:pos="1104" w:val="left" w:leader="none"/>
        </w:tabs>
        <w:spacing w:line="240" w:lineRule="auto" w:before="108" w:after="0"/>
        <w:ind w:left="1103" w:right="0" w:hanging="326"/>
        <w:jc w:val="left"/>
        <w:rPr>
          <w:sz w:val="22"/>
        </w:rPr>
      </w:pPr>
      <w:r>
        <w:rPr>
          <w:color w:val="231F20"/>
          <w:sz w:val="22"/>
        </w:rPr>
        <w:t>联络</w:t>
      </w:r>
    </w:p>
    <w:p>
      <w:pPr>
        <w:pStyle w:val="ListParagraph"/>
        <w:numPr>
          <w:ilvl w:val="1"/>
          <w:numId w:val="2"/>
        </w:numPr>
        <w:tabs>
          <w:tab w:pos="1104" w:val="left" w:leader="none"/>
        </w:tabs>
        <w:spacing w:line="240" w:lineRule="auto" w:before="108" w:after="0"/>
        <w:ind w:left="1103" w:right="0" w:hanging="326"/>
        <w:jc w:val="left"/>
        <w:rPr>
          <w:sz w:val="22"/>
        </w:rPr>
      </w:pPr>
      <w:r>
        <w:rPr>
          <w:color w:val="231F20"/>
          <w:sz w:val="22"/>
        </w:rPr>
        <w:t>严禁贿赂</w:t>
      </w:r>
    </w:p>
    <w:p>
      <w:pPr>
        <w:pStyle w:val="ListParagraph"/>
        <w:numPr>
          <w:ilvl w:val="1"/>
          <w:numId w:val="2"/>
        </w:numPr>
        <w:tabs>
          <w:tab w:pos="1104" w:val="left" w:leader="none"/>
        </w:tabs>
        <w:spacing w:line="240" w:lineRule="auto" w:before="108" w:after="0"/>
        <w:ind w:left="1103" w:right="0" w:hanging="326"/>
        <w:jc w:val="left"/>
        <w:rPr>
          <w:sz w:val="22"/>
        </w:rPr>
      </w:pPr>
      <w:r>
        <w:rPr>
          <w:color w:val="231F20"/>
          <w:sz w:val="22"/>
        </w:rPr>
        <w:t>化石、文物</w:t>
      </w:r>
    </w:p>
    <w:p>
      <w:pPr>
        <w:pStyle w:val="ListParagraph"/>
        <w:numPr>
          <w:ilvl w:val="1"/>
          <w:numId w:val="2"/>
        </w:numPr>
        <w:tabs>
          <w:tab w:pos="1213" w:val="left" w:leader="none"/>
        </w:tabs>
        <w:spacing w:line="240" w:lineRule="auto" w:before="108" w:after="0"/>
        <w:ind w:left="1212" w:right="0" w:hanging="435"/>
        <w:jc w:val="left"/>
        <w:rPr>
          <w:sz w:val="22"/>
        </w:rPr>
      </w:pPr>
      <w:r>
        <w:rPr>
          <w:color w:val="231F20"/>
          <w:sz w:val="22"/>
        </w:rPr>
        <w:t>知识产权</w:t>
      </w:r>
    </w:p>
    <w:p>
      <w:pPr>
        <w:pStyle w:val="ListParagraph"/>
        <w:numPr>
          <w:ilvl w:val="1"/>
          <w:numId w:val="2"/>
        </w:numPr>
        <w:tabs>
          <w:tab w:pos="1213" w:val="left" w:leader="none"/>
        </w:tabs>
        <w:spacing w:line="240" w:lineRule="auto" w:before="108" w:after="0"/>
        <w:ind w:left="1212" w:right="0" w:hanging="435"/>
        <w:jc w:val="left"/>
        <w:rPr>
          <w:sz w:val="22"/>
        </w:rPr>
      </w:pPr>
      <w:r>
        <w:rPr>
          <w:color w:val="231F20"/>
          <w:sz w:val="22"/>
        </w:rPr>
        <w:t>保密</w:t>
      </w:r>
    </w:p>
    <w:p>
      <w:pPr>
        <w:pStyle w:val="ListParagraph"/>
        <w:numPr>
          <w:ilvl w:val="1"/>
          <w:numId w:val="2"/>
        </w:numPr>
        <w:tabs>
          <w:tab w:pos="1160" w:val="left" w:leader="none"/>
        </w:tabs>
        <w:spacing w:line="240" w:lineRule="auto" w:before="108" w:after="0"/>
        <w:ind w:left="1159" w:right="0" w:hanging="382"/>
        <w:jc w:val="left"/>
        <w:rPr>
          <w:sz w:val="22"/>
        </w:rPr>
      </w:pPr>
      <w:r>
        <w:rPr>
          <w:color w:val="231F20"/>
          <w:sz w:val="22"/>
        </w:rPr>
        <w:t>《发包人要求》和基础资料中的错误</w:t>
      </w:r>
    </w:p>
    <w:p>
      <w:pPr>
        <w:pStyle w:val="ListParagraph"/>
        <w:numPr>
          <w:ilvl w:val="1"/>
          <w:numId w:val="2"/>
        </w:numPr>
        <w:tabs>
          <w:tab w:pos="1213" w:val="left" w:leader="none"/>
        </w:tabs>
        <w:spacing w:line="240" w:lineRule="auto" w:before="108" w:after="0"/>
        <w:ind w:left="1212" w:right="0" w:hanging="435"/>
        <w:jc w:val="left"/>
        <w:rPr>
          <w:sz w:val="22"/>
        </w:rPr>
      </w:pPr>
      <w:r>
        <w:rPr>
          <w:color w:val="231F20"/>
          <w:sz w:val="22"/>
        </w:rPr>
        <w:t>责任限制</w:t>
      </w:r>
    </w:p>
    <w:p>
      <w:pPr>
        <w:pStyle w:val="ListParagraph"/>
        <w:numPr>
          <w:ilvl w:val="1"/>
          <w:numId w:val="2"/>
        </w:numPr>
        <w:tabs>
          <w:tab w:pos="1213" w:val="left" w:leader="none"/>
        </w:tabs>
        <w:spacing w:line="240" w:lineRule="auto" w:before="108" w:after="0"/>
        <w:ind w:left="1212" w:right="0" w:hanging="435"/>
        <w:jc w:val="left"/>
        <w:rPr>
          <w:sz w:val="22"/>
        </w:rPr>
      </w:pPr>
      <w:r>
        <w:rPr>
          <w:color w:val="231F20"/>
          <w:sz w:val="22"/>
        </w:rPr>
        <w:t>建筑信息模型技术的应用</w:t>
      </w:r>
    </w:p>
    <w:p>
      <w:pPr>
        <w:spacing w:after="0" w:line="240" w:lineRule="auto"/>
        <w:jc w:val="left"/>
        <w:rPr>
          <w:sz w:val="22"/>
        </w:rPr>
        <w:sectPr>
          <w:pgSz w:w="11910" w:h="16840"/>
          <w:pgMar w:header="0" w:footer="832" w:top="1580" w:bottom="1020" w:left="1300" w:right="1680"/>
        </w:sectPr>
      </w:pPr>
    </w:p>
    <w:p>
      <w:pPr>
        <w:pStyle w:val="BodyText"/>
        <w:tabs>
          <w:tab w:pos="1056" w:val="left" w:leader="none"/>
        </w:tabs>
        <w:spacing w:before="24"/>
        <w:ind w:left="177"/>
      </w:pPr>
      <w:r>
        <w:rPr>
          <w:color w:val="231F20"/>
        </w:rPr>
        <w:t>第 2 条</w:t>
        <w:tab/>
        <w:t>发包人</w:t>
      </w:r>
    </w:p>
    <w:p>
      <w:pPr>
        <w:pStyle w:val="ListParagraph"/>
        <w:numPr>
          <w:ilvl w:val="1"/>
          <w:numId w:val="3"/>
        </w:numPr>
        <w:tabs>
          <w:tab w:pos="724" w:val="left" w:leader="none"/>
        </w:tabs>
        <w:spacing w:line="240" w:lineRule="auto" w:before="109" w:after="0"/>
        <w:ind w:left="723" w:right="0" w:hanging="326"/>
        <w:jc w:val="left"/>
        <w:rPr>
          <w:sz w:val="22"/>
        </w:rPr>
      </w:pPr>
      <w:r>
        <w:rPr>
          <w:color w:val="231F20"/>
          <w:sz w:val="22"/>
        </w:rPr>
        <w:t>遵守法律</w:t>
      </w:r>
    </w:p>
    <w:p>
      <w:pPr>
        <w:pStyle w:val="ListParagraph"/>
        <w:numPr>
          <w:ilvl w:val="1"/>
          <w:numId w:val="3"/>
        </w:numPr>
        <w:tabs>
          <w:tab w:pos="724" w:val="left" w:leader="none"/>
        </w:tabs>
        <w:spacing w:line="240" w:lineRule="auto" w:before="109" w:after="0"/>
        <w:ind w:left="723" w:right="0" w:hanging="326"/>
        <w:jc w:val="left"/>
        <w:rPr>
          <w:sz w:val="22"/>
        </w:rPr>
      </w:pPr>
      <w:r>
        <w:rPr>
          <w:color w:val="231F20"/>
          <w:sz w:val="22"/>
        </w:rPr>
        <w:t>提供施工现场和工作条件</w:t>
      </w:r>
    </w:p>
    <w:p>
      <w:pPr>
        <w:pStyle w:val="ListParagraph"/>
        <w:numPr>
          <w:ilvl w:val="1"/>
          <w:numId w:val="3"/>
        </w:numPr>
        <w:tabs>
          <w:tab w:pos="724" w:val="left" w:leader="none"/>
        </w:tabs>
        <w:spacing w:line="240" w:lineRule="auto" w:before="109" w:after="0"/>
        <w:ind w:left="723" w:right="0" w:hanging="326"/>
        <w:jc w:val="left"/>
        <w:rPr>
          <w:sz w:val="22"/>
        </w:rPr>
      </w:pPr>
      <w:r>
        <w:rPr>
          <w:color w:val="231F20"/>
          <w:sz w:val="22"/>
        </w:rPr>
        <w:t>提供基础资料</w:t>
      </w:r>
    </w:p>
    <w:p>
      <w:pPr>
        <w:pStyle w:val="ListParagraph"/>
        <w:numPr>
          <w:ilvl w:val="1"/>
          <w:numId w:val="3"/>
        </w:numPr>
        <w:tabs>
          <w:tab w:pos="724" w:val="left" w:leader="none"/>
        </w:tabs>
        <w:spacing w:line="240" w:lineRule="auto" w:before="109" w:after="0"/>
        <w:ind w:left="723" w:right="0" w:hanging="326"/>
        <w:jc w:val="left"/>
        <w:rPr>
          <w:sz w:val="22"/>
        </w:rPr>
      </w:pPr>
      <w:r>
        <w:rPr>
          <w:color w:val="231F20"/>
          <w:sz w:val="22"/>
        </w:rPr>
        <w:t>办理许可和批准</w:t>
      </w:r>
    </w:p>
    <w:p>
      <w:pPr>
        <w:pStyle w:val="ListParagraph"/>
        <w:numPr>
          <w:ilvl w:val="1"/>
          <w:numId w:val="3"/>
        </w:numPr>
        <w:tabs>
          <w:tab w:pos="724" w:val="left" w:leader="none"/>
        </w:tabs>
        <w:spacing w:line="240" w:lineRule="auto" w:before="109" w:after="0"/>
        <w:ind w:left="723" w:right="0" w:hanging="326"/>
        <w:jc w:val="left"/>
        <w:rPr>
          <w:sz w:val="22"/>
        </w:rPr>
      </w:pPr>
      <w:r>
        <w:rPr>
          <w:color w:val="231F20"/>
          <w:sz w:val="22"/>
        </w:rPr>
        <w:t>支付合同价款</w:t>
      </w:r>
    </w:p>
    <w:p>
      <w:pPr>
        <w:pStyle w:val="ListParagraph"/>
        <w:numPr>
          <w:ilvl w:val="1"/>
          <w:numId w:val="3"/>
        </w:numPr>
        <w:tabs>
          <w:tab w:pos="724" w:val="left" w:leader="none"/>
        </w:tabs>
        <w:spacing w:line="240" w:lineRule="auto" w:before="109" w:after="0"/>
        <w:ind w:left="723" w:right="0" w:hanging="326"/>
        <w:jc w:val="left"/>
        <w:rPr>
          <w:sz w:val="22"/>
        </w:rPr>
      </w:pPr>
      <w:r>
        <w:rPr>
          <w:color w:val="231F20"/>
          <w:sz w:val="22"/>
        </w:rPr>
        <w:t>现场管理配合</w:t>
      </w:r>
    </w:p>
    <w:p>
      <w:pPr>
        <w:pStyle w:val="ListParagraph"/>
        <w:numPr>
          <w:ilvl w:val="1"/>
          <w:numId w:val="3"/>
        </w:numPr>
        <w:tabs>
          <w:tab w:pos="724" w:val="left" w:leader="none"/>
        </w:tabs>
        <w:spacing w:line="240" w:lineRule="auto" w:before="109" w:after="0"/>
        <w:ind w:left="723" w:right="0" w:hanging="326"/>
        <w:jc w:val="left"/>
        <w:rPr>
          <w:sz w:val="22"/>
        </w:rPr>
      </w:pPr>
      <w:r>
        <w:rPr>
          <w:color w:val="231F20"/>
          <w:sz w:val="22"/>
        </w:rPr>
        <w:t>其他义务</w:t>
      </w:r>
    </w:p>
    <w:p>
      <w:pPr>
        <w:pStyle w:val="BodyText"/>
        <w:tabs>
          <w:tab w:pos="1056" w:val="left" w:leader="none"/>
        </w:tabs>
        <w:ind w:left="177"/>
      </w:pPr>
      <w:r>
        <w:rPr>
          <w:color w:val="231F20"/>
        </w:rPr>
        <w:t>第 3 条</w:t>
        <w:tab/>
        <w:t>发包人的管理</w:t>
      </w:r>
    </w:p>
    <w:p>
      <w:pPr>
        <w:pStyle w:val="ListParagraph"/>
        <w:numPr>
          <w:ilvl w:val="1"/>
          <w:numId w:val="4"/>
        </w:numPr>
        <w:tabs>
          <w:tab w:pos="724" w:val="left" w:leader="none"/>
        </w:tabs>
        <w:spacing w:line="240" w:lineRule="auto" w:before="109" w:after="0"/>
        <w:ind w:left="723" w:right="0" w:hanging="326"/>
        <w:jc w:val="left"/>
        <w:rPr>
          <w:sz w:val="22"/>
        </w:rPr>
      </w:pPr>
      <w:r>
        <w:rPr>
          <w:color w:val="231F20"/>
          <w:sz w:val="22"/>
        </w:rPr>
        <w:t>发包人代表</w:t>
      </w:r>
    </w:p>
    <w:p>
      <w:pPr>
        <w:pStyle w:val="ListParagraph"/>
        <w:numPr>
          <w:ilvl w:val="1"/>
          <w:numId w:val="4"/>
        </w:numPr>
        <w:tabs>
          <w:tab w:pos="724" w:val="left" w:leader="none"/>
        </w:tabs>
        <w:spacing w:line="240" w:lineRule="auto" w:before="109" w:after="0"/>
        <w:ind w:left="723" w:right="0" w:hanging="326"/>
        <w:jc w:val="left"/>
        <w:rPr>
          <w:sz w:val="22"/>
        </w:rPr>
      </w:pPr>
      <w:r>
        <w:rPr>
          <w:color w:val="231F20"/>
          <w:sz w:val="22"/>
        </w:rPr>
        <w:t>发包人人员</w:t>
      </w:r>
    </w:p>
    <w:p>
      <w:pPr>
        <w:pStyle w:val="ListParagraph"/>
        <w:numPr>
          <w:ilvl w:val="1"/>
          <w:numId w:val="4"/>
        </w:numPr>
        <w:tabs>
          <w:tab w:pos="724" w:val="left" w:leader="none"/>
        </w:tabs>
        <w:spacing w:line="240" w:lineRule="auto" w:before="109" w:after="0"/>
        <w:ind w:left="723" w:right="0" w:hanging="326"/>
        <w:jc w:val="left"/>
        <w:rPr>
          <w:sz w:val="22"/>
        </w:rPr>
      </w:pPr>
      <w:r>
        <w:rPr>
          <w:color w:val="231F20"/>
          <w:sz w:val="22"/>
        </w:rPr>
        <w:t>工程师</w:t>
      </w:r>
    </w:p>
    <w:p>
      <w:pPr>
        <w:pStyle w:val="ListParagraph"/>
        <w:numPr>
          <w:ilvl w:val="1"/>
          <w:numId w:val="4"/>
        </w:numPr>
        <w:tabs>
          <w:tab w:pos="724" w:val="left" w:leader="none"/>
        </w:tabs>
        <w:spacing w:line="240" w:lineRule="auto" w:before="109" w:after="0"/>
        <w:ind w:left="723" w:right="0" w:hanging="326"/>
        <w:jc w:val="left"/>
        <w:rPr>
          <w:sz w:val="22"/>
        </w:rPr>
      </w:pPr>
      <w:r>
        <w:rPr>
          <w:color w:val="231F20"/>
          <w:sz w:val="22"/>
        </w:rPr>
        <w:t>任命和授权</w:t>
      </w:r>
    </w:p>
    <w:p>
      <w:pPr>
        <w:pStyle w:val="ListParagraph"/>
        <w:numPr>
          <w:ilvl w:val="1"/>
          <w:numId w:val="4"/>
        </w:numPr>
        <w:tabs>
          <w:tab w:pos="724" w:val="left" w:leader="none"/>
        </w:tabs>
        <w:spacing w:line="240" w:lineRule="auto" w:before="109" w:after="0"/>
        <w:ind w:left="723" w:right="0" w:hanging="326"/>
        <w:jc w:val="left"/>
        <w:rPr>
          <w:sz w:val="22"/>
        </w:rPr>
      </w:pPr>
      <w:r>
        <w:rPr>
          <w:color w:val="231F20"/>
          <w:sz w:val="22"/>
        </w:rPr>
        <w:t>指示</w:t>
      </w:r>
    </w:p>
    <w:p>
      <w:pPr>
        <w:pStyle w:val="ListParagraph"/>
        <w:numPr>
          <w:ilvl w:val="1"/>
          <w:numId w:val="4"/>
        </w:numPr>
        <w:tabs>
          <w:tab w:pos="724" w:val="left" w:leader="none"/>
        </w:tabs>
        <w:spacing w:line="240" w:lineRule="auto" w:before="109" w:after="0"/>
        <w:ind w:left="723" w:right="0" w:hanging="326"/>
        <w:jc w:val="left"/>
        <w:rPr>
          <w:sz w:val="22"/>
        </w:rPr>
      </w:pPr>
      <w:r>
        <w:rPr>
          <w:color w:val="231F20"/>
          <w:sz w:val="22"/>
        </w:rPr>
        <w:t>商定或确定</w:t>
      </w:r>
    </w:p>
    <w:p>
      <w:pPr>
        <w:pStyle w:val="ListParagraph"/>
        <w:numPr>
          <w:ilvl w:val="1"/>
          <w:numId w:val="4"/>
        </w:numPr>
        <w:tabs>
          <w:tab w:pos="724" w:val="left" w:leader="none"/>
        </w:tabs>
        <w:spacing w:line="240" w:lineRule="auto" w:before="109" w:after="0"/>
        <w:ind w:left="723" w:right="0" w:hanging="326"/>
        <w:jc w:val="left"/>
        <w:rPr>
          <w:sz w:val="22"/>
        </w:rPr>
      </w:pPr>
      <w:r>
        <w:rPr>
          <w:color w:val="231F20"/>
          <w:sz w:val="22"/>
        </w:rPr>
        <w:t>会议</w:t>
      </w:r>
    </w:p>
    <w:p>
      <w:pPr>
        <w:pStyle w:val="BodyText"/>
        <w:tabs>
          <w:tab w:pos="1056" w:val="left" w:leader="none"/>
        </w:tabs>
        <w:ind w:left="177"/>
      </w:pPr>
      <w:r>
        <w:rPr>
          <w:color w:val="231F20"/>
        </w:rPr>
        <w:t>第 4 条</w:t>
        <w:tab/>
        <w:t>承包人</w:t>
      </w:r>
    </w:p>
    <w:p>
      <w:pPr>
        <w:pStyle w:val="ListParagraph"/>
        <w:numPr>
          <w:ilvl w:val="1"/>
          <w:numId w:val="5"/>
        </w:numPr>
        <w:tabs>
          <w:tab w:pos="724" w:val="left" w:leader="none"/>
        </w:tabs>
        <w:spacing w:line="240" w:lineRule="auto" w:before="109" w:after="0"/>
        <w:ind w:left="177" w:right="0" w:firstLine="220"/>
        <w:jc w:val="left"/>
        <w:rPr>
          <w:sz w:val="22"/>
        </w:rPr>
      </w:pPr>
      <w:r>
        <w:rPr>
          <w:color w:val="231F20"/>
          <w:sz w:val="22"/>
        </w:rPr>
        <w:t>承包人的一般义务</w:t>
      </w:r>
    </w:p>
    <w:p>
      <w:pPr>
        <w:pStyle w:val="ListParagraph"/>
        <w:numPr>
          <w:ilvl w:val="1"/>
          <w:numId w:val="5"/>
        </w:numPr>
        <w:tabs>
          <w:tab w:pos="724" w:val="left" w:leader="none"/>
        </w:tabs>
        <w:spacing w:line="240" w:lineRule="auto" w:before="109" w:after="0"/>
        <w:ind w:left="177" w:right="0" w:firstLine="220"/>
        <w:jc w:val="left"/>
        <w:rPr>
          <w:sz w:val="22"/>
        </w:rPr>
      </w:pPr>
      <w:r>
        <w:rPr>
          <w:color w:val="231F20"/>
          <w:sz w:val="22"/>
        </w:rPr>
        <w:t>履约担保</w:t>
      </w:r>
    </w:p>
    <w:p>
      <w:pPr>
        <w:pStyle w:val="ListParagraph"/>
        <w:numPr>
          <w:ilvl w:val="1"/>
          <w:numId w:val="5"/>
        </w:numPr>
        <w:tabs>
          <w:tab w:pos="724" w:val="left" w:leader="none"/>
        </w:tabs>
        <w:spacing w:line="240" w:lineRule="auto" w:before="109" w:after="0"/>
        <w:ind w:left="177" w:right="0" w:firstLine="220"/>
        <w:jc w:val="left"/>
        <w:rPr>
          <w:sz w:val="22"/>
        </w:rPr>
      </w:pPr>
      <w:r>
        <w:rPr>
          <w:color w:val="231F20"/>
          <w:sz w:val="22"/>
        </w:rPr>
        <w:t>工程总承包项目经理</w:t>
      </w:r>
    </w:p>
    <w:p>
      <w:pPr>
        <w:pStyle w:val="ListParagraph"/>
        <w:numPr>
          <w:ilvl w:val="1"/>
          <w:numId w:val="5"/>
        </w:numPr>
        <w:tabs>
          <w:tab w:pos="724" w:val="left" w:leader="none"/>
        </w:tabs>
        <w:spacing w:line="240" w:lineRule="auto" w:before="109" w:after="0"/>
        <w:ind w:left="177" w:right="0" w:firstLine="220"/>
        <w:jc w:val="left"/>
        <w:rPr>
          <w:sz w:val="22"/>
        </w:rPr>
      </w:pPr>
      <w:r>
        <w:rPr>
          <w:color w:val="231F20"/>
          <w:sz w:val="22"/>
        </w:rPr>
        <w:t>承包人人员</w:t>
      </w:r>
    </w:p>
    <w:p>
      <w:pPr>
        <w:pStyle w:val="ListParagraph"/>
        <w:numPr>
          <w:ilvl w:val="1"/>
          <w:numId w:val="5"/>
        </w:numPr>
        <w:tabs>
          <w:tab w:pos="724" w:val="left" w:leader="none"/>
        </w:tabs>
        <w:spacing w:line="240" w:lineRule="auto" w:before="109" w:after="0"/>
        <w:ind w:left="177" w:right="0" w:firstLine="220"/>
        <w:jc w:val="left"/>
        <w:rPr>
          <w:sz w:val="22"/>
        </w:rPr>
      </w:pPr>
      <w:r>
        <w:rPr>
          <w:color w:val="231F20"/>
          <w:sz w:val="22"/>
        </w:rPr>
        <w:t>分包</w:t>
      </w:r>
    </w:p>
    <w:p>
      <w:pPr>
        <w:pStyle w:val="ListParagraph"/>
        <w:numPr>
          <w:ilvl w:val="1"/>
          <w:numId w:val="5"/>
        </w:numPr>
        <w:tabs>
          <w:tab w:pos="724" w:val="left" w:leader="none"/>
        </w:tabs>
        <w:spacing w:line="240" w:lineRule="auto" w:before="109" w:after="0"/>
        <w:ind w:left="177" w:right="0" w:firstLine="220"/>
        <w:jc w:val="left"/>
        <w:rPr>
          <w:sz w:val="22"/>
        </w:rPr>
      </w:pPr>
      <w:r>
        <w:rPr>
          <w:color w:val="231F20"/>
          <w:sz w:val="22"/>
        </w:rPr>
        <w:t>联合体</w:t>
      </w:r>
    </w:p>
    <w:p>
      <w:pPr>
        <w:pStyle w:val="ListParagraph"/>
        <w:numPr>
          <w:ilvl w:val="1"/>
          <w:numId w:val="5"/>
        </w:numPr>
        <w:tabs>
          <w:tab w:pos="724" w:val="left" w:leader="none"/>
        </w:tabs>
        <w:spacing w:line="240" w:lineRule="auto" w:before="109" w:after="0"/>
        <w:ind w:left="177" w:right="0" w:firstLine="220"/>
        <w:jc w:val="left"/>
        <w:rPr>
          <w:sz w:val="22"/>
        </w:rPr>
      </w:pPr>
      <w:r>
        <w:rPr>
          <w:color w:val="231F20"/>
          <w:sz w:val="22"/>
        </w:rPr>
        <w:t>承包人现场查勘</w:t>
      </w:r>
    </w:p>
    <w:p>
      <w:pPr>
        <w:pStyle w:val="ListParagraph"/>
        <w:numPr>
          <w:ilvl w:val="1"/>
          <w:numId w:val="5"/>
        </w:numPr>
        <w:tabs>
          <w:tab w:pos="724" w:val="left" w:leader="none"/>
        </w:tabs>
        <w:spacing w:line="240" w:lineRule="auto" w:before="109" w:after="0"/>
        <w:ind w:left="177" w:right="0" w:firstLine="220"/>
        <w:jc w:val="left"/>
        <w:rPr>
          <w:sz w:val="22"/>
        </w:rPr>
      </w:pPr>
      <w:r>
        <w:rPr>
          <w:color w:val="231F20"/>
          <w:sz w:val="22"/>
        </w:rPr>
        <w:t>不可预见的困难</w:t>
      </w:r>
    </w:p>
    <w:p>
      <w:pPr>
        <w:pStyle w:val="ListParagraph"/>
        <w:numPr>
          <w:ilvl w:val="1"/>
          <w:numId w:val="5"/>
        </w:numPr>
        <w:tabs>
          <w:tab w:pos="724" w:val="left" w:leader="none"/>
          <w:tab w:pos="1056" w:val="left" w:leader="none"/>
        </w:tabs>
        <w:spacing w:line="319" w:lineRule="auto" w:before="109" w:after="0"/>
        <w:ind w:left="177" w:right="6879" w:firstLine="220"/>
        <w:jc w:val="left"/>
        <w:rPr>
          <w:sz w:val="22"/>
        </w:rPr>
      </w:pPr>
      <w:r>
        <w:rPr>
          <w:color w:val="231F20"/>
          <w:sz w:val="22"/>
        </w:rPr>
        <w:t>工程质量管理第 5 条</w:t>
        <w:tab/>
        <w:t>设计</w:t>
      </w:r>
    </w:p>
    <w:p>
      <w:pPr>
        <w:pStyle w:val="ListParagraph"/>
        <w:numPr>
          <w:ilvl w:val="1"/>
          <w:numId w:val="6"/>
        </w:numPr>
        <w:tabs>
          <w:tab w:pos="724" w:val="left" w:leader="none"/>
        </w:tabs>
        <w:spacing w:line="240" w:lineRule="auto" w:before="25" w:after="0"/>
        <w:ind w:left="723" w:right="0" w:hanging="326"/>
        <w:jc w:val="left"/>
        <w:rPr>
          <w:sz w:val="22"/>
        </w:rPr>
      </w:pPr>
      <w:r>
        <w:rPr>
          <w:color w:val="231F20"/>
          <w:sz w:val="22"/>
        </w:rPr>
        <w:t>承包人的设计义务</w:t>
      </w:r>
    </w:p>
    <w:p>
      <w:pPr>
        <w:pStyle w:val="ListParagraph"/>
        <w:numPr>
          <w:ilvl w:val="1"/>
          <w:numId w:val="6"/>
        </w:numPr>
        <w:tabs>
          <w:tab w:pos="724" w:val="left" w:leader="none"/>
        </w:tabs>
        <w:spacing w:line="240" w:lineRule="auto" w:before="108" w:after="0"/>
        <w:ind w:left="723" w:right="0" w:hanging="326"/>
        <w:jc w:val="left"/>
        <w:rPr>
          <w:sz w:val="22"/>
        </w:rPr>
      </w:pPr>
      <w:r>
        <w:rPr>
          <w:color w:val="231F20"/>
          <w:sz w:val="22"/>
        </w:rPr>
        <w:t>承包人文件审查</w:t>
      </w:r>
    </w:p>
    <w:p>
      <w:pPr>
        <w:pStyle w:val="ListParagraph"/>
        <w:numPr>
          <w:ilvl w:val="1"/>
          <w:numId w:val="6"/>
        </w:numPr>
        <w:tabs>
          <w:tab w:pos="724" w:val="left" w:leader="none"/>
        </w:tabs>
        <w:spacing w:line="240" w:lineRule="auto" w:before="108" w:after="0"/>
        <w:ind w:left="723" w:right="0" w:hanging="326"/>
        <w:jc w:val="left"/>
        <w:rPr>
          <w:sz w:val="22"/>
        </w:rPr>
      </w:pPr>
      <w:r>
        <w:rPr>
          <w:color w:val="231F20"/>
          <w:sz w:val="22"/>
        </w:rPr>
        <w:t>培训</w:t>
      </w:r>
    </w:p>
    <w:p>
      <w:pPr>
        <w:pStyle w:val="ListParagraph"/>
        <w:numPr>
          <w:ilvl w:val="1"/>
          <w:numId w:val="6"/>
        </w:numPr>
        <w:tabs>
          <w:tab w:pos="724" w:val="left" w:leader="none"/>
        </w:tabs>
        <w:spacing w:line="240" w:lineRule="auto" w:before="108" w:after="0"/>
        <w:ind w:left="723" w:right="0" w:hanging="326"/>
        <w:jc w:val="left"/>
        <w:rPr>
          <w:sz w:val="22"/>
        </w:rPr>
      </w:pPr>
      <w:r>
        <w:rPr>
          <w:color w:val="231F20"/>
          <w:sz w:val="22"/>
        </w:rPr>
        <w:t>竣工文件</w:t>
      </w:r>
    </w:p>
    <w:p>
      <w:pPr>
        <w:spacing w:after="0" w:line="240" w:lineRule="auto"/>
        <w:jc w:val="left"/>
        <w:rPr>
          <w:sz w:val="22"/>
        </w:rPr>
        <w:sectPr>
          <w:pgSz w:w="11910" w:h="16840"/>
          <w:pgMar w:header="0" w:footer="832" w:top="1580" w:bottom="1020" w:left="1680" w:right="1300"/>
        </w:sectPr>
      </w:pPr>
    </w:p>
    <w:p>
      <w:pPr>
        <w:pStyle w:val="ListParagraph"/>
        <w:numPr>
          <w:ilvl w:val="1"/>
          <w:numId w:val="6"/>
        </w:numPr>
        <w:tabs>
          <w:tab w:pos="1104" w:val="left" w:leader="none"/>
        </w:tabs>
        <w:spacing w:line="240" w:lineRule="auto" w:before="24" w:after="0"/>
        <w:ind w:left="1103" w:right="0" w:hanging="326"/>
        <w:jc w:val="left"/>
        <w:rPr>
          <w:sz w:val="22"/>
        </w:rPr>
      </w:pPr>
      <w:r>
        <w:rPr>
          <w:color w:val="231F20"/>
          <w:sz w:val="22"/>
        </w:rPr>
        <w:t>操作和维修手册</w:t>
      </w:r>
    </w:p>
    <w:p>
      <w:pPr>
        <w:pStyle w:val="ListParagraph"/>
        <w:numPr>
          <w:ilvl w:val="1"/>
          <w:numId w:val="6"/>
        </w:numPr>
        <w:tabs>
          <w:tab w:pos="1104" w:val="left" w:leader="none"/>
        </w:tabs>
        <w:spacing w:line="240" w:lineRule="auto" w:before="109" w:after="0"/>
        <w:ind w:left="1103" w:right="0" w:hanging="326"/>
        <w:jc w:val="left"/>
        <w:rPr>
          <w:sz w:val="22"/>
        </w:rPr>
      </w:pPr>
      <w:r>
        <w:rPr>
          <w:color w:val="231F20"/>
          <w:sz w:val="22"/>
        </w:rPr>
        <w:t>承包人文件错误</w:t>
      </w:r>
    </w:p>
    <w:p>
      <w:pPr>
        <w:pStyle w:val="BodyText"/>
        <w:tabs>
          <w:tab w:pos="1436" w:val="left" w:leader="none"/>
        </w:tabs>
        <w:ind w:left="557"/>
      </w:pPr>
      <w:r>
        <w:rPr>
          <w:color w:val="231F20"/>
        </w:rPr>
        <w:t>第 6 条</w:t>
        <w:tab/>
        <w:t>材料、工程设备</w:t>
      </w:r>
    </w:p>
    <w:p>
      <w:pPr>
        <w:pStyle w:val="ListParagraph"/>
        <w:numPr>
          <w:ilvl w:val="1"/>
          <w:numId w:val="7"/>
        </w:numPr>
        <w:tabs>
          <w:tab w:pos="1104" w:val="left" w:leader="none"/>
        </w:tabs>
        <w:spacing w:line="240" w:lineRule="auto" w:before="109" w:after="0"/>
        <w:ind w:left="557" w:right="0" w:firstLine="220"/>
        <w:jc w:val="left"/>
        <w:rPr>
          <w:sz w:val="22"/>
        </w:rPr>
      </w:pPr>
      <w:r>
        <w:rPr>
          <w:color w:val="231F20"/>
          <w:sz w:val="22"/>
        </w:rPr>
        <w:t>实施方法</w:t>
      </w:r>
    </w:p>
    <w:p>
      <w:pPr>
        <w:pStyle w:val="ListParagraph"/>
        <w:numPr>
          <w:ilvl w:val="1"/>
          <w:numId w:val="7"/>
        </w:numPr>
        <w:tabs>
          <w:tab w:pos="1104" w:val="left" w:leader="none"/>
        </w:tabs>
        <w:spacing w:line="240" w:lineRule="auto" w:before="109" w:after="0"/>
        <w:ind w:left="557" w:right="0" w:firstLine="220"/>
        <w:jc w:val="left"/>
        <w:rPr>
          <w:sz w:val="22"/>
        </w:rPr>
      </w:pPr>
      <w:r>
        <w:rPr>
          <w:color w:val="231F20"/>
          <w:sz w:val="22"/>
        </w:rPr>
        <w:t>材料和工程设备</w:t>
      </w:r>
    </w:p>
    <w:p>
      <w:pPr>
        <w:pStyle w:val="ListParagraph"/>
        <w:numPr>
          <w:ilvl w:val="1"/>
          <w:numId w:val="7"/>
        </w:numPr>
        <w:tabs>
          <w:tab w:pos="1104" w:val="left" w:leader="none"/>
        </w:tabs>
        <w:spacing w:line="240" w:lineRule="auto" w:before="109" w:after="0"/>
        <w:ind w:left="557" w:right="0" w:firstLine="220"/>
        <w:jc w:val="left"/>
        <w:rPr>
          <w:sz w:val="22"/>
        </w:rPr>
      </w:pPr>
      <w:r>
        <w:rPr>
          <w:color w:val="231F20"/>
          <w:sz w:val="22"/>
        </w:rPr>
        <w:t>样品</w:t>
      </w:r>
    </w:p>
    <w:p>
      <w:pPr>
        <w:pStyle w:val="ListParagraph"/>
        <w:numPr>
          <w:ilvl w:val="1"/>
          <w:numId w:val="7"/>
        </w:numPr>
        <w:tabs>
          <w:tab w:pos="1104" w:val="left" w:leader="none"/>
        </w:tabs>
        <w:spacing w:line="240" w:lineRule="auto" w:before="109" w:after="0"/>
        <w:ind w:left="557" w:right="0" w:firstLine="220"/>
        <w:jc w:val="left"/>
        <w:rPr>
          <w:sz w:val="22"/>
        </w:rPr>
      </w:pPr>
      <w:r>
        <w:rPr>
          <w:color w:val="231F20"/>
          <w:sz w:val="22"/>
        </w:rPr>
        <w:t>质量检查</w:t>
      </w:r>
    </w:p>
    <w:p>
      <w:pPr>
        <w:pStyle w:val="ListParagraph"/>
        <w:numPr>
          <w:ilvl w:val="1"/>
          <w:numId w:val="7"/>
        </w:numPr>
        <w:tabs>
          <w:tab w:pos="1104" w:val="left" w:leader="none"/>
        </w:tabs>
        <w:spacing w:line="240" w:lineRule="auto" w:before="109" w:after="0"/>
        <w:ind w:left="557" w:right="0" w:firstLine="220"/>
        <w:jc w:val="left"/>
        <w:rPr>
          <w:sz w:val="22"/>
        </w:rPr>
      </w:pPr>
      <w:r>
        <w:rPr>
          <w:color w:val="231F20"/>
          <w:sz w:val="22"/>
        </w:rPr>
        <w:t>由承包人试验和检验</w:t>
      </w:r>
    </w:p>
    <w:p>
      <w:pPr>
        <w:pStyle w:val="ListParagraph"/>
        <w:numPr>
          <w:ilvl w:val="1"/>
          <w:numId w:val="7"/>
        </w:numPr>
        <w:tabs>
          <w:tab w:pos="1104" w:val="left" w:leader="none"/>
          <w:tab w:pos="1436" w:val="left" w:leader="none"/>
        </w:tabs>
        <w:spacing w:line="319" w:lineRule="auto" w:before="109" w:after="0"/>
        <w:ind w:left="557" w:right="6719" w:firstLine="220"/>
        <w:jc w:val="left"/>
        <w:rPr>
          <w:sz w:val="22"/>
        </w:rPr>
      </w:pPr>
      <w:r>
        <w:rPr>
          <w:color w:val="231F20"/>
          <w:sz w:val="22"/>
        </w:rPr>
        <w:t>缺陷和修补第 7 条</w:t>
        <w:tab/>
        <w:t>施工</w:t>
      </w:r>
    </w:p>
    <w:p>
      <w:pPr>
        <w:pStyle w:val="ListParagraph"/>
        <w:numPr>
          <w:ilvl w:val="1"/>
          <w:numId w:val="8"/>
        </w:numPr>
        <w:tabs>
          <w:tab w:pos="1104" w:val="left" w:leader="none"/>
        </w:tabs>
        <w:spacing w:line="240" w:lineRule="auto" w:before="26" w:after="0"/>
        <w:ind w:left="1103" w:right="0" w:hanging="326"/>
        <w:jc w:val="left"/>
        <w:rPr>
          <w:sz w:val="22"/>
        </w:rPr>
      </w:pPr>
      <w:r>
        <w:rPr>
          <w:color w:val="231F20"/>
          <w:sz w:val="22"/>
        </w:rPr>
        <w:t>交通运输</w:t>
      </w:r>
    </w:p>
    <w:p>
      <w:pPr>
        <w:pStyle w:val="ListParagraph"/>
        <w:numPr>
          <w:ilvl w:val="1"/>
          <w:numId w:val="8"/>
        </w:numPr>
        <w:tabs>
          <w:tab w:pos="1104" w:val="left" w:leader="none"/>
        </w:tabs>
        <w:spacing w:line="240" w:lineRule="auto" w:before="109" w:after="0"/>
        <w:ind w:left="1103" w:right="0" w:hanging="326"/>
        <w:jc w:val="left"/>
        <w:rPr>
          <w:sz w:val="22"/>
        </w:rPr>
      </w:pPr>
      <w:r>
        <w:rPr>
          <w:color w:val="231F20"/>
          <w:sz w:val="22"/>
        </w:rPr>
        <w:t>施工设备和临时设施</w:t>
      </w:r>
    </w:p>
    <w:p>
      <w:pPr>
        <w:pStyle w:val="ListParagraph"/>
        <w:numPr>
          <w:ilvl w:val="1"/>
          <w:numId w:val="8"/>
        </w:numPr>
        <w:tabs>
          <w:tab w:pos="1104" w:val="left" w:leader="none"/>
        </w:tabs>
        <w:spacing w:line="240" w:lineRule="auto" w:before="109" w:after="0"/>
        <w:ind w:left="1103" w:right="0" w:hanging="326"/>
        <w:jc w:val="left"/>
        <w:rPr>
          <w:sz w:val="22"/>
        </w:rPr>
      </w:pPr>
      <w:r>
        <w:rPr>
          <w:color w:val="231F20"/>
          <w:sz w:val="22"/>
        </w:rPr>
        <w:t>现场合作</w:t>
      </w:r>
    </w:p>
    <w:p>
      <w:pPr>
        <w:pStyle w:val="ListParagraph"/>
        <w:numPr>
          <w:ilvl w:val="1"/>
          <w:numId w:val="8"/>
        </w:numPr>
        <w:tabs>
          <w:tab w:pos="1104" w:val="left" w:leader="none"/>
        </w:tabs>
        <w:spacing w:line="240" w:lineRule="auto" w:before="109" w:after="0"/>
        <w:ind w:left="1103" w:right="0" w:hanging="326"/>
        <w:jc w:val="left"/>
        <w:rPr>
          <w:sz w:val="22"/>
        </w:rPr>
      </w:pPr>
      <w:r>
        <w:rPr>
          <w:color w:val="231F20"/>
          <w:sz w:val="22"/>
        </w:rPr>
        <w:t>测量放线</w:t>
      </w:r>
    </w:p>
    <w:p>
      <w:pPr>
        <w:pStyle w:val="ListParagraph"/>
        <w:numPr>
          <w:ilvl w:val="1"/>
          <w:numId w:val="8"/>
        </w:numPr>
        <w:tabs>
          <w:tab w:pos="1104" w:val="left" w:leader="none"/>
        </w:tabs>
        <w:spacing w:line="240" w:lineRule="auto" w:before="109" w:after="0"/>
        <w:ind w:left="1103" w:right="0" w:hanging="326"/>
        <w:jc w:val="left"/>
        <w:rPr>
          <w:sz w:val="22"/>
        </w:rPr>
      </w:pPr>
      <w:r>
        <w:rPr>
          <w:color w:val="231F20"/>
          <w:sz w:val="22"/>
        </w:rPr>
        <w:t>现场劳动用工</w:t>
      </w:r>
    </w:p>
    <w:p>
      <w:pPr>
        <w:pStyle w:val="ListParagraph"/>
        <w:numPr>
          <w:ilvl w:val="1"/>
          <w:numId w:val="8"/>
        </w:numPr>
        <w:tabs>
          <w:tab w:pos="1104" w:val="left" w:leader="none"/>
        </w:tabs>
        <w:spacing w:line="240" w:lineRule="auto" w:before="109" w:after="0"/>
        <w:ind w:left="1103" w:right="0" w:hanging="326"/>
        <w:jc w:val="left"/>
        <w:rPr>
          <w:sz w:val="22"/>
        </w:rPr>
      </w:pPr>
      <w:r>
        <w:rPr>
          <w:color w:val="231F20"/>
          <w:sz w:val="22"/>
        </w:rPr>
        <w:t>安全文明施工</w:t>
      </w:r>
    </w:p>
    <w:p>
      <w:pPr>
        <w:pStyle w:val="ListParagraph"/>
        <w:numPr>
          <w:ilvl w:val="1"/>
          <w:numId w:val="8"/>
        </w:numPr>
        <w:tabs>
          <w:tab w:pos="1104" w:val="left" w:leader="none"/>
        </w:tabs>
        <w:spacing w:line="240" w:lineRule="auto" w:before="109" w:after="0"/>
        <w:ind w:left="1103" w:right="0" w:hanging="326"/>
        <w:jc w:val="left"/>
        <w:rPr>
          <w:sz w:val="22"/>
        </w:rPr>
      </w:pPr>
      <w:r>
        <w:rPr>
          <w:color w:val="231F20"/>
          <w:sz w:val="22"/>
        </w:rPr>
        <w:t>职业健康</w:t>
      </w:r>
    </w:p>
    <w:p>
      <w:pPr>
        <w:pStyle w:val="ListParagraph"/>
        <w:numPr>
          <w:ilvl w:val="1"/>
          <w:numId w:val="8"/>
        </w:numPr>
        <w:tabs>
          <w:tab w:pos="1104" w:val="left" w:leader="none"/>
        </w:tabs>
        <w:spacing w:line="240" w:lineRule="auto" w:before="109" w:after="0"/>
        <w:ind w:left="1103" w:right="0" w:hanging="326"/>
        <w:jc w:val="left"/>
        <w:rPr>
          <w:sz w:val="22"/>
        </w:rPr>
      </w:pPr>
      <w:r>
        <w:rPr>
          <w:color w:val="231F20"/>
          <w:sz w:val="22"/>
        </w:rPr>
        <w:t>环境保护</w:t>
      </w:r>
    </w:p>
    <w:p>
      <w:pPr>
        <w:pStyle w:val="ListParagraph"/>
        <w:numPr>
          <w:ilvl w:val="1"/>
          <w:numId w:val="8"/>
        </w:numPr>
        <w:tabs>
          <w:tab w:pos="1104" w:val="left" w:leader="none"/>
        </w:tabs>
        <w:spacing w:line="240" w:lineRule="auto" w:before="109" w:after="0"/>
        <w:ind w:left="1103" w:right="0" w:hanging="326"/>
        <w:jc w:val="left"/>
        <w:rPr>
          <w:sz w:val="22"/>
        </w:rPr>
      </w:pPr>
      <w:r>
        <w:rPr>
          <w:color w:val="231F20"/>
          <w:sz w:val="22"/>
        </w:rPr>
        <w:t>临时性公用设施</w:t>
      </w:r>
    </w:p>
    <w:p>
      <w:pPr>
        <w:pStyle w:val="ListParagraph"/>
        <w:numPr>
          <w:ilvl w:val="1"/>
          <w:numId w:val="8"/>
        </w:numPr>
        <w:tabs>
          <w:tab w:pos="1213" w:val="left" w:leader="none"/>
        </w:tabs>
        <w:spacing w:line="240" w:lineRule="auto" w:before="109" w:after="0"/>
        <w:ind w:left="1212" w:right="0" w:hanging="435"/>
        <w:jc w:val="left"/>
        <w:rPr>
          <w:sz w:val="22"/>
        </w:rPr>
      </w:pPr>
      <w:r>
        <w:rPr>
          <w:color w:val="231F20"/>
          <w:sz w:val="22"/>
        </w:rPr>
        <w:t>现场安保</w:t>
      </w:r>
    </w:p>
    <w:p>
      <w:pPr>
        <w:pStyle w:val="ListParagraph"/>
        <w:numPr>
          <w:ilvl w:val="1"/>
          <w:numId w:val="8"/>
        </w:numPr>
        <w:tabs>
          <w:tab w:pos="1213" w:val="left" w:leader="none"/>
        </w:tabs>
        <w:spacing w:line="240" w:lineRule="auto" w:before="109" w:after="0"/>
        <w:ind w:left="1212" w:right="0" w:hanging="435"/>
        <w:jc w:val="left"/>
        <w:rPr>
          <w:sz w:val="22"/>
        </w:rPr>
      </w:pPr>
      <w:r>
        <w:rPr>
          <w:color w:val="231F20"/>
          <w:sz w:val="22"/>
        </w:rPr>
        <w:t>工程照管</w:t>
      </w:r>
    </w:p>
    <w:p>
      <w:pPr>
        <w:pStyle w:val="BodyText"/>
        <w:tabs>
          <w:tab w:pos="1436" w:val="left" w:leader="none"/>
        </w:tabs>
        <w:ind w:left="557"/>
      </w:pPr>
      <w:r>
        <w:rPr>
          <w:color w:val="231F20"/>
        </w:rPr>
        <w:t>第 8 条</w:t>
        <w:tab/>
        <w:t>工期和进度</w:t>
      </w:r>
    </w:p>
    <w:p>
      <w:pPr>
        <w:pStyle w:val="ListParagraph"/>
        <w:numPr>
          <w:ilvl w:val="1"/>
          <w:numId w:val="9"/>
        </w:numPr>
        <w:tabs>
          <w:tab w:pos="1104" w:val="left" w:leader="none"/>
        </w:tabs>
        <w:spacing w:line="240" w:lineRule="auto" w:before="109" w:after="0"/>
        <w:ind w:left="1103" w:right="0" w:hanging="326"/>
        <w:jc w:val="left"/>
        <w:rPr>
          <w:sz w:val="22"/>
        </w:rPr>
      </w:pPr>
      <w:r>
        <w:rPr>
          <w:color w:val="231F20"/>
          <w:sz w:val="22"/>
        </w:rPr>
        <w:t>开始工作</w:t>
      </w:r>
    </w:p>
    <w:p>
      <w:pPr>
        <w:pStyle w:val="ListParagraph"/>
        <w:numPr>
          <w:ilvl w:val="1"/>
          <w:numId w:val="9"/>
        </w:numPr>
        <w:tabs>
          <w:tab w:pos="1104" w:val="left" w:leader="none"/>
        </w:tabs>
        <w:spacing w:line="240" w:lineRule="auto" w:before="109" w:after="0"/>
        <w:ind w:left="1103" w:right="0" w:hanging="326"/>
        <w:jc w:val="left"/>
        <w:rPr>
          <w:sz w:val="22"/>
        </w:rPr>
      </w:pPr>
      <w:r>
        <w:rPr>
          <w:color w:val="231F20"/>
          <w:sz w:val="22"/>
        </w:rPr>
        <w:t>竣工日期</w:t>
      </w:r>
    </w:p>
    <w:p>
      <w:pPr>
        <w:pStyle w:val="ListParagraph"/>
        <w:numPr>
          <w:ilvl w:val="1"/>
          <w:numId w:val="9"/>
        </w:numPr>
        <w:tabs>
          <w:tab w:pos="1104" w:val="left" w:leader="none"/>
        </w:tabs>
        <w:spacing w:line="240" w:lineRule="auto" w:before="109" w:after="0"/>
        <w:ind w:left="1103" w:right="0" w:hanging="326"/>
        <w:jc w:val="left"/>
        <w:rPr>
          <w:sz w:val="22"/>
        </w:rPr>
      </w:pPr>
      <w:r>
        <w:rPr>
          <w:color w:val="231F20"/>
          <w:sz w:val="22"/>
        </w:rPr>
        <w:t>项目实施计划</w:t>
      </w:r>
    </w:p>
    <w:p>
      <w:pPr>
        <w:pStyle w:val="ListParagraph"/>
        <w:numPr>
          <w:ilvl w:val="1"/>
          <w:numId w:val="9"/>
        </w:numPr>
        <w:tabs>
          <w:tab w:pos="1104" w:val="left" w:leader="none"/>
        </w:tabs>
        <w:spacing w:line="240" w:lineRule="auto" w:before="109" w:after="0"/>
        <w:ind w:left="1103" w:right="0" w:hanging="326"/>
        <w:jc w:val="left"/>
        <w:rPr>
          <w:sz w:val="22"/>
        </w:rPr>
      </w:pPr>
      <w:r>
        <w:rPr>
          <w:color w:val="231F20"/>
          <w:sz w:val="22"/>
        </w:rPr>
        <w:t>项目进度计划</w:t>
      </w:r>
    </w:p>
    <w:p>
      <w:pPr>
        <w:pStyle w:val="ListParagraph"/>
        <w:numPr>
          <w:ilvl w:val="1"/>
          <w:numId w:val="9"/>
        </w:numPr>
        <w:tabs>
          <w:tab w:pos="1104" w:val="left" w:leader="none"/>
        </w:tabs>
        <w:spacing w:line="240" w:lineRule="auto" w:before="109" w:after="0"/>
        <w:ind w:left="1103" w:right="0" w:hanging="326"/>
        <w:jc w:val="left"/>
        <w:rPr>
          <w:sz w:val="22"/>
        </w:rPr>
      </w:pPr>
      <w:r>
        <w:rPr>
          <w:color w:val="231F20"/>
          <w:sz w:val="22"/>
        </w:rPr>
        <w:t>进度报告</w:t>
      </w:r>
    </w:p>
    <w:p>
      <w:pPr>
        <w:pStyle w:val="ListParagraph"/>
        <w:numPr>
          <w:ilvl w:val="1"/>
          <w:numId w:val="9"/>
        </w:numPr>
        <w:tabs>
          <w:tab w:pos="1104" w:val="left" w:leader="none"/>
        </w:tabs>
        <w:spacing w:line="240" w:lineRule="auto" w:before="109" w:after="0"/>
        <w:ind w:left="1103" w:right="0" w:hanging="326"/>
        <w:jc w:val="left"/>
        <w:rPr>
          <w:sz w:val="22"/>
        </w:rPr>
      </w:pPr>
      <w:r>
        <w:rPr>
          <w:color w:val="231F20"/>
          <w:sz w:val="22"/>
        </w:rPr>
        <w:t>提前预警</w:t>
      </w:r>
    </w:p>
    <w:p>
      <w:pPr>
        <w:pStyle w:val="ListParagraph"/>
        <w:numPr>
          <w:ilvl w:val="1"/>
          <w:numId w:val="9"/>
        </w:numPr>
        <w:tabs>
          <w:tab w:pos="1104" w:val="left" w:leader="none"/>
        </w:tabs>
        <w:spacing w:line="240" w:lineRule="auto" w:before="109" w:after="0"/>
        <w:ind w:left="1103" w:right="0" w:hanging="326"/>
        <w:jc w:val="left"/>
        <w:rPr>
          <w:sz w:val="22"/>
        </w:rPr>
      </w:pPr>
      <w:r>
        <w:rPr>
          <w:color w:val="231F20"/>
          <w:sz w:val="22"/>
        </w:rPr>
        <w:t>工期延误</w:t>
      </w:r>
    </w:p>
    <w:p>
      <w:pPr>
        <w:pStyle w:val="ListParagraph"/>
        <w:numPr>
          <w:ilvl w:val="1"/>
          <w:numId w:val="9"/>
        </w:numPr>
        <w:tabs>
          <w:tab w:pos="1104" w:val="left" w:leader="none"/>
        </w:tabs>
        <w:spacing w:line="240" w:lineRule="auto" w:before="109" w:after="0"/>
        <w:ind w:left="1103" w:right="0" w:hanging="326"/>
        <w:jc w:val="left"/>
        <w:rPr>
          <w:sz w:val="22"/>
        </w:rPr>
      </w:pPr>
      <w:r>
        <w:rPr>
          <w:color w:val="231F20"/>
          <w:sz w:val="22"/>
        </w:rPr>
        <w:t>工期提前</w:t>
      </w:r>
    </w:p>
    <w:p>
      <w:pPr>
        <w:pStyle w:val="ListParagraph"/>
        <w:numPr>
          <w:ilvl w:val="1"/>
          <w:numId w:val="9"/>
        </w:numPr>
        <w:tabs>
          <w:tab w:pos="1104" w:val="left" w:leader="none"/>
        </w:tabs>
        <w:spacing w:line="240" w:lineRule="auto" w:before="109" w:after="0"/>
        <w:ind w:left="1103" w:right="0" w:hanging="326"/>
        <w:jc w:val="left"/>
        <w:rPr>
          <w:sz w:val="22"/>
        </w:rPr>
      </w:pPr>
      <w:r>
        <w:rPr>
          <w:color w:val="231F20"/>
          <w:sz w:val="22"/>
        </w:rPr>
        <w:t>暂停工作</w:t>
      </w:r>
    </w:p>
    <w:p>
      <w:pPr>
        <w:spacing w:after="0" w:line="240" w:lineRule="auto"/>
        <w:jc w:val="left"/>
        <w:rPr>
          <w:sz w:val="22"/>
        </w:rPr>
        <w:sectPr>
          <w:pgSz w:w="11910" w:h="16840"/>
          <w:pgMar w:header="0" w:footer="832" w:top="1580" w:bottom="1020" w:left="1300" w:right="1680"/>
        </w:sectPr>
      </w:pPr>
    </w:p>
    <w:p>
      <w:pPr>
        <w:pStyle w:val="ListParagraph"/>
        <w:numPr>
          <w:ilvl w:val="1"/>
          <w:numId w:val="9"/>
        </w:numPr>
        <w:tabs>
          <w:tab w:pos="833" w:val="left" w:leader="none"/>
        </w:tabs>
        <w:spacing w:line="240" w:lineRule="auto" w:before="24" w:after="0"/>
        <w:ind w:left="832" w:right="0" w:hanging="435"/>
        <w:jc w:val="left"/>
        <w:rPr>
          <w:sz w:val="22"/>
        </w:rPr>
      </w:pPr>
      <w:r>
        <w:rPr>
          <w:color w:val="231F20"/>
          <w:sz w:val="22"/>
        </w:rPr>
        <w:t>复工</w:t>
      </w:r>
    </w:p>
    <w:p>
      <w:pPr>
        <w:pStyle w:val="BodyText"/>
        <w:tabs>
          <w:tab w:pos="1056" w:val="left" w:leader="none"/>
        </w:tabs>
        <w:ind w:left="177"/>
      </w:pPr>
      <w:r>
        <w:rPr>
          <w:color w:val="231F20"/>
        </w:rPr>
        <w:t>第 9 条</w:t>
        <w:tab/>
        <w:t>竣工试验</w:t>
      </w:r>
    </w:p>
    <w:p>
      <w:pPr>
        <w:pStyle w:val="ListParagraph"/>
        <w:numPr>
          <w:ilvl w:val="1"/>
          <w:numId w:val="10"/>
        </w:numPr>
        <w:tabs>
          <w:tab w:pos="724" w:val="left" w:leader="none"/>
        </w:tabs>
        <w:spacing w:line="240" w:lineRule="auto" w:before="109" w:after="0"/>
        <w:ind w:left="177" w:right="0" w:firstLine="220"/>
        <w:jc w:val="left"/>
        <w:rPr>
          <w:sz w:val="22"/>
        </w:rPr>
      </w:pPr>
      <w:r>
        <w:rPr>
          <w:color w:val="231F20"/>
          <w:sz w:val="22"/>
        </w:rPr>
        <w:t>竣工试验的义务</w:t>
      </w:r>
    </w:p>
    <w:p>
      <w:pPr>
        <w:pStyle w:val="ListParagraph"/>
        <w:numPr>
          <w:ilvl w:val="1"/>
          <w:numId w:val="10"/>
        </w:numPr>
        <w:tabs>
          <w:tab w:pos="724" w:val="left" w:leader="none"/>
        </w:tabs>
        <w:spacing w:line="240" w:lineRule="auto" w:before="109" w:after="0"/>
        <w:ind w:left="177" w:right="0" w:firstLine="220"/>
        <w:jc w:val="left"/>
        <w:rPr>
          <w:sz w:val="22"/>
        </w:rPr>
      </w:pPr>
      <w:r>
        <w:rPr>
          <w:color w:val="231F20"/>
          <w:sz w:val="22"/>
        </w:rPr>
        <w:t>延误的试验</w:t>
      </w:r>
    </w:p>
    <w:p>
      <w:pPr>
        <w:pStyle w:val="ListParagraph"/>
        <w:numPr>
          <w:ilvl w:val="1"/>
          <w:numId w:val="10"/>
        </w:numPr>
        <w:tabs>
          <w:tab w:pos="724" w:val="left" w:leader="none"/>
        </w:tabs>
        <w:spacing w:line="240" w:lineRule="auto" w:before="109" w:after="0"/>
        <w:ind w:left="177" w:right="0" w:firstLine="220"/>
        <w:jc w:val="left"/>
        <w:rPr>
          <w:sz w:val="22"/>
        </w:rPr>
      </w:pPr>
      <w:r>
        <w:rPr>
          <w:color w:val="231F20"/>
          <w:sz w:val="22"/>
        </w:rPr>
        <w:t>重新试验</w:t>
      </w:r>
    </w:p>
    <w:p>
      <w:pPr>
        <w:pStyle w:val="ListParagraph"/>
        <w:numPr>
          <w:ilvl w:val="1"/>
          <w:numId w:val="10"/>
        </w:numPr>
        <w:tabs>
          <w:tab w:pos="724" w:val="left" w:leader="none"/>
          <w:tab w:pos="1165" w:val="left" w:leader="none"/>
        </w:tabs>
        <w:spacing w:line="319" w:lineRule="auto" w:before="109" w:after="0"/>
        <w:ind w:left="177" w:right="6217" w:firstLine="220"/>
        <w:jc w:val="left"/>
        <w:rPr>
          <w:sz w:val="22"/>
        </w:rPr>
      </w:pPr>
      <w:r>
        <w:rPr>
          <w:color w:val="231F20"/>
          <w:sz w:val="22"/>
        </w:rPr>
        <w:t>未能通过竣工试验 第</w:t>
      </w:r>
      <w:r>
        <w:rPr>
          <w:color w:val="231F20"/>
          <w:spacing w:val="-1"/>
          <w:sz w:val="22"/>
        </w:rPr>
        <w:t> </w:t>
      </w:r>
      <w:r>
        <w:rPr>
          <w:color w:val="231F20"/>
          <w:sz w:val="22"/>
        </w:rPr>
        <w:t>10</w:t>
      </w:r>
      <w:r>
        <w:rPr>
          <w:color w:val="231F20"/>
          <w:spacing w:val="-1"/>
          <w:sz w:val="22"/>
        </w:rPr>
        <w:t> </w:t>
      </w:r>
      <w:r>
        <w:rPr>
          <w:color w:val="231F20"/>
          <w:sz w:val="22"/>
        </w:rPr>
        <w:t>条</w:t>
        <w:tab/>
        <w:t>验收和工程接收</w:t>
      </w:r>
    </w:p>
    <w:p>
      <w:pPr>
        <w:pStyle w:val="ListParagraph"/>
        <w:numPr>
          <w:ilvl w:val="1"/>
          <w:numId w:val="11"/>
        </w:numPr>
        <w:tabs>
          <w:tab w:pos="833" w:val="left" w:leader="none"/>
        </w:tabs>
        <w:spacing w:line="240" w:lineRule="auto" w:before="25" w:after="0"/>
        <w:ind w:left="832" w:right="0" w:hanging="435"/>
        <w:jc w:val="left"/>
        <w:rPr>
          <w:sz w:val="22"/>
        </w:rPr>
      </w:pPr>
      <w:r>
        <w:rPr>
          <w:color w:val="231F20"/>
          <w:sz w:val="22"/>
        </w:rPr>
        <w:t>竣工验收</w:t>
      </w:r>
    </w:p>
    <w:p>
      <w:pPr>
        <w:pStyle w:val="ListParagraph"/>
        <w:numPr>
          <w:ilvl w:val="1"/>
          <w:numId w:val="11"/>
        </w:numPr>
        <w:tabs>
          <w:tab w:pos="833" w:val="left" w:leader="none"/>
        </w:tabs>
        <w:spacing w:line="240" w:lineRule="auto" w:before="108" w:after="0"/>
        <w:ind w:left="832" w:right="0" w:hanging="435"/>
        <w:jc w:val="left"/>
        <w:rPr>
          <w:sz w:val="22"/>
        </w:rPr>
      </w:pPr>
      <w:r>
        <w:rPr>
          <w:color w:val="231F20"/>
          <w:sz w:val="22"/>
        </w:rPr>
        <w:t>单位 / 区段工程的验收</w:t>
      </w:r>
    </w:p>
    <w:p>
      <w:pPr>
        <w:pStyle w:val="ListParagraph"/>
        <w:numPr>
          <w:ilvl w:val="1"/>
          <w:numId w:val="11"/>
        </w:numPr>
        <w:tabs>
          <w:tab w:pos="833" w:val="left" w:leader="none"/>
        </w:tabs>
        <w:spacing w:line="240" w:lineRule="auto" w:before="108" w:after="0"/>
        <w:ind w:left="832" w:right="0" w:hanging="435"/>
        <w:jc w:val="left"/>
        <w:rPr>
          <w:sz w:val="22"/>
        </w:rPr>
      </w:pPr>
      <w:r>
        <w:rPr>
          <w:color w:val="231F20"/>
          <w:sz w:val="22"/>
        </w:rPr>
        <w:t>工程的接收</w:t>
      </w:r>
    </w:p>
    <w:p>
      <w:pPr>
        <w:pStyle w:val="ListParagraph"/>
        <w:numPr>
          <w:ilvl w:val="1"/>
          <w:numId w:val="11"/>
        </w:numPr>
        <w:tabs>
          <w:tab w:pos="833" w:val="left" w:leader="none"/>
        </w:tabs>
        <w:spacing w:line="240" w:lineRule="auto" w:before="108" w:after="0"/>
        <w:ind w:left="832" w:right="0" w:hanging="435"/>
        <w:jc w:val="left"/>
        <w:rPr>
          <w:sz w:val="22"/>
        </w:rPr>
      </w:pPr>
      <w:r>
        <w:rPr>
          <w:color w:val="231F20"/>
          <w:sz w:val="22"/>
        </w:rPr>
        <w:t>接收证书</w:t>
      </w:r>
    </w:p>
    <w:p>
      <w:pPr>
        <w:pStyle w:val="ListParagraph"/>
        <w:numPr>
          <w:ilvl w:val="1"/>
          <w:numId w:val="11"/>
        </w:numPr>
        <w:tabs>
          <w:tab w:pos="833" w:val="left" w:leader="none"/>
        </w:tabs>
        <w:spacing w:line="240" w:lineRule="auto" w:before="108" w:after="0"/>
        <w:ind w:left="832" w:right="0" w:hanging="435"/>
        <w:jc w:val="left"/>
        <w:rPr>
          <w:sz w:val="22"/>
        </w:rPr>
      </w:pPr>
      <w:r>
        <w:rPr>
          <w:color w:val="231F20"/>
          <w:sz w:val="22"/>
        </w:rPr>
        <w:t>竣工退场</w:t>
      </w:r>
    </w:p>
    <w:p>
      <w:pPr>
        <w:pStyle w:val="BodyText"/>
        <w:tabs>
          <w:tab w:pos="1165" w:val="left" w:leader="none"/>
        </w:tabs>
        <w:spacing w:before="108"/>
        <w:ind w:left="177"/>
      </w:pPr>
      <w:r>
        <w:rPr>
          <w:color w:val="231F20"/>
        </w:rPr>
        <w:t>第</w:t>
      </w:r>
      <w:r>
        <w:rPr>
          <w:color w:val="231F20"/>
          <w:spacing w:val="-1"/>
        </w:rPr>
        <w:t> </w:t>
      </w:r>
      <w:r>
        <w:rPr>
          <w:color w:val="231F20"/>
        </w:rPr>
        <w:t>11</w:t>
      </w:r>
      <w:r>
        <w:rPr>
          <w:color w:val="231F20"/>
          <w:spacing w:val="-1"/>
        </w:rPr>
        <w:t> </w:t>
      </w:r>
      <w:r>
        <w:rPr>
          <w:color w:val="231F20"/>
        </w:rPr>
        <w:t>条</w:t>
        <w:tab/>
        <w:t>缺陷责任与保修</w:t>
      </w:r>
    </w:p>
    <w:p>
      <w:pPr>
        <w:pStyle w:val="ListParagraph"/>
        <w:numPr>
          <w:ilvl w:val="1"/>
          <w:numId w:val="12"/>
        </w:numPr>
        <w:tabs>
          <w:tab w:pos="833" w:val="left" w:leader="none"/>
        </w:tabs>
        <w:spacing w:line="240" w:lineRule="auto" w:before="108" w:after="0"/>
        <w:ind w:left="832" w:right="0" w:hanging="435"/>
        <w:jc w:val="left"/>
        <w:rPr>
          <w:sz w:val="22"/>
        </w:rPr>
      </w:pPr>
      <w:r>
        <w:rPr>
          <w:color w:val="231F20"/>
          <w:sz w:val="22"/>
        </w:rPr>
        <w:t>工程保修的原则</w:t>
      </w:r>
    </w:p>
    <w:p>
      <w:pPr>
        <w:pStyle w:val="ListParagraph"/>
        <w:numPr>
          <w:ilvl w:val="1"/>
          <w:numId w:val="12"/>
        </w:numPr>
        <w:tabs>
          <w:tab w:pos="833" w:val="left" w:leader="none"/>
        </w:tabs>
        <w:spacing w:line="240" w:lineRule="auto" w:before="108" w:after="0"/>
        <w:ind w:left="832" w:right="0" w:hanging="435"/>
        <w:jc w:val="left"/>
        <w:rPr>
          <w:sz w:val="22"/>
        </w:rPr>
      </w:pPr>
      <w:r>
        <w:rPr>
          <w:color w:val="231F20"/>
          <w:sz w:val="22"/>
        </w:rPr>
        <w:t>缺陷责任期</w:t>
      </w:r>
    </w:p>
    <w:p>
      <w:pPr>
        <w:pStyle w:val="ListParagraph"/>
        <w:numPr>
          <w:ilvl w:val="1"/>
          <w:numId w:val="12"/>
        </w:numPr>
        <w:tabs>
          <w:tab w:pos="833" w:val="left" w:leader="none"/>
        </w:tabs>
        <w:spacing w:line="240" w:lineRule="auto" w:before="108" w:after="0"/>
        <w:ind w:left="832" w:right="0" w:hanging="435"/>
        <w:jc w:val="left"/>
        <w:rPr>
          <w:sz w:val="22"/>
        </w:rPr>
      </w:pPr>
      <w:r>
        <w:rPr>
          <w:color w:val="231F20"/>
          <w:sz w:val="22"/>
        </w:rPr>
        <w:t>缺陷调查</w:t>
      </w:r>
    </w:p>
    <w:p>
      <w:pPr>
        <w:pStyle w:val="ListParagraph"/>
        <w:numPr>
          <w:ilvl w:val="1"/>
          <w:numId w:val="12"/>
        </w:numPr>
        <w:tabs>
          <w:tab w:pos="833" w:val="left" w:leader="none"/>
        </w:tabs>
        <w:spacing w:line="240" w:lineRule="auto" w:before="108" w:after="0"/>
        <w:ind w:left="832" w:right="0" w:hanging="435"/>
        <w:jc w:val="left"/>
        <w:rPr>
          <w:sz w:val="22"/>
        </w:rPr>
      </w:pPr>
      <w:r>
        <w:rPr>
          <w:color w:val="231F20"/>
          <w:sz w:val="22"/>
        </w:rPr>
        <w:t>缺陷修复后的进一步试验</w:t>
      </w:r>
    </w:p>
    <w:p>
      <w:pPr>
        <w:pStyle w:val="ListParagraph"/>
        <w:numPr>
          <w:ilvl w:val="1"/>
          <w:numId w:val="12"/>
        </w:numPr>
        <w:tabs>
          <w:tab w:pos="833" w:val="left" w:leader="none"/>
        </w:tabs>
        <w:spacing w:line="240" w:lineRule="auto" w:before="108" w:after="0"/>
        <w:ind w:left="832" w:right="0" w:hanging="435"/>
        <w:jc w:val="left"/>
        <w:rPr>
          <w:sz w:val="22"/>
        </w:rPr>
      </w:pPr>
      <w:r>
        <w:rPr>
          <w:color w:val="231F20"/>
          <w:sz w:val="22"/>
        </w:rPr>
        <w:t>承包人出入权</w:t>
      </w:r>
    </w:p>
    <w:p>
      <w:pPr>
        <w:pStyle w:val="ListParagraph"/>
        <w:numPr>
          <w:ilvl w:val="1"/>
          <w:numId w:val="12"/>
        </w:numPr>
        <w:tabs>
          <w:tab w:pos="833" w:val="left" w:leader="none"/>
        </w:tabs>
        <w:spacing w:line="240" w:lineRule="auto" w:before="108" w:after="0"/>
        <w:ind w:left="832" w:right="0" w:hanging="435"/>
        <w:jc w:val="left"/>
        <w:rPr>
          <w:sz w:val="22"/>
        </w:rPr>
      </w:pPr>
      <w:r>
        <w:rPr>
          <w:color w:val="231F20"/>
          <w:sz w:val="22"/>
        </w:rPr>
        <w:t>缺陷责任期终止证书</w:t>
      </w:r>
    </w:p>
    <w:p>
      <w:pPr>
        <w:pStyle w:val="ListParagraph"/>
        <w:numPr>
          <w:ilvl w:val="1"/>
          <w:numId w:val="12"/>
        </w:numPr>
        <w:tabs>
          <w:tab w:pos="833" w:val="left" w:leader="none"/>
        </w:tabs>
        <w:spacing w:line="240" w:lineRule="auto" w:before="108" w:after="0"/>
        <w:ind w:left="832" w:right="0" w:hanging="435"/>
        <w:jc w:val="left"/>
        <w:rPr>
          <w:sz w:val="22"/>
        </w:rPr>
      </w:pPr>
      <w:r>
        <w:rPr>
          <w:color w:val="231F20"/>
          <w:sz w:val="22"/>
        </w:rPr>
        <w:t>保修责任</w:t>
      </w:r>
    </w:p>
    <w:p>
      <w:pPr>
        <w:pStyle w:val="BodyText"/>
        <w:tabs>
          <w:tab w:pos="1165" w:val="left" w:leader="none"/>
        </w:tabs>
        <w:spacing w:before="108"/>
        <w:ind w:left="177"/>
      </w:pPr>
      <w:r>
        <w:rPr>
          <w:color w:val="231F20"/>
        </w:rPr>
        <w:t>第</w:t>
      </w:r>
      <w:r>
        <w:rPr>
          <w:color w:val="231F20"/>
          <w:spacing w:val="-1"/>
        </w:rPr>
        <w:t> </w:t>
      </w:r>
      <w:r>
        <w:rPr>
          <w:color w:val="231F20"/>
        </w:rPr>
        <w:t>12</w:t>
      </w:r>
      <w:r>
        <w:rPr>
          <w:color w:val="231F20"/>
          <w:spacing w:val="-1"/>
        </w:rPr>
        <w:t> </w:t>
      </w:r>
      <w:r>
        <w:rPr>
          <w:color w:val="231F20"/>
        </w:rPr>
        <w:t>条</w:t>
        <w:tab/>
        <w:t>竣工后试验</w:t>
      </w:r>
    </w:p>
    <w:p>
      <w:pPr>
        <w:pStyle w:val="ListParagraph"/>
        <w:numPr>
          <w:ilvl w:val="1"/>
          <w:numId w:val="13"/>
        </w:numPr>
        <w:tabs>
          <w:tab w:pos="833" w:val="left" w:leader="none"/>
        </w:tabs>
        <w:spacing w:line="240" w:lineRule="auto" w:before="108" w:after="0"/>
        <w:ind w:left="177" w:right="0" w:firstLine="220"/>
        <w:jc w:val="left"/>
        <w:rPr>
          <w:sz w:val="22"/>
        </w:rPr>
      </w:pPr>
      <w:r>
        <w:rPr>
          <w:color w:val="231F20"/>
          <w:sz w:val="22"/>
        </w:rPr>
        <w:t>竣工后试验的程序</w:t>
      </w:r>
    </w:p>
    <w:p>
      <w:pPr>
        <w:pStyle w:val="ListParagraph"/>
        <w:numPr>
          <w:ilvl w:val="1"/>
          <w:numId w:val="13"/>
        </w:numPr>
        <w:tabs>
          <w:tab w:pos="833" w:val="left" w:leader="none"/>
        </w:tabs>
        <w:spacing w:line="240" w:lineRule="auto" w:before="108" w:after="0"/>
        <w:ind w:left="177" w:right="0" w:firstLine="220"/>
        <w:jc w:val="left"/>
        <w:rPr>
          <w:sz w:val="22"/>
        </w:rPr>
      </w:pPr>
      <w:r>
        <w:rPr>
          <w:color w:val="231F20"/>
          <w:sz w:val="22"/>
        </w:rPr>
        <w:t>延误的试验</w:t>
      </w:r>
    </w:p>
    <w:p>
      <w:pPr>
        <w:pStyle w:val="ListParagraph"/>
        <w:numPr>
          <w:ilvl w:val="1"/>
          <w:numId w:val="13"/>
        </w:numPr>
        <w:tabs>
          <w:tab w:pos="833" w:val="left" w:leader="none"/>
        </w:tabs>
        <w:spacing w:line="240" w:lineRule="auto" w:before="108" w:after="0"/>
        <w:ind w:left="177" w:right="0" w:firstLine="220"/>
        <w:jc w:val="left"/>
        <w:rPr>
          <w:sz w:val="22"/>
        </w:rPr>
      </w:pPr>
      <w:r>
        <w:rPr>
          <w:color w:val="231F20"/>
          <w:sz w:val="22"/>
        </w:rPr>
        <w:t>重新试验</w:t>
      </w:r>
    </w:p>
    <w:p>
      <w:pPr>
        <w:pStyle w:val="ListParagraph"/>
        <w:numPr>
          <w:ilvl w:val="1"/>
          <w:numId w:val="13"/>
        </w:numPr>
        <w:tabs>
          <w:tab w:pos="833" w:val="left" w:leader="none"/>
          <w:tab w:pos="1165" w:val="left" w:leader="none"/>
        </w:tabs>
        <w:spacing w:line="319" w:lineRule="auto" w:before="108" w:after="0"/>
        <w:ind w:left="177" w:right="6110" w:firstLine="220"/>
        <w:jc w:val="left"/>
        <w:rPr>
          <w:sz w:val="22"/>
        </w:rPr>
      </w:pPr>
      <w:r>
        <w:rPr>
          <w:color w:val="231F20"/>
          <w:sz w:val="22"/>
        </w:rPr>
        <w:t>未能通过竣工后试验第</w:t>
      </w:r>
      <w:r>
        <w:rPr>
          <w:color w:val="231F20"/>
          <w:spacing w:val="-1"/>
          <w:sz w:val="22"/>
        </w:rPr>
        <w:t> </w:t>
      </w:r>
      <w:r>
        <w:rPr>
          <w:color w:val="231F20"/>
          <w:sz w:val="22"/>
        </w:rPr>
        <w:t>13</w:t>
      </w:r>
      <w:r>
        <w:rPr>
          <w:color w:val="231F20"/>
          <w:spacing w:val="-1"/>
          <w:sz w:val="22"/>
        </w:rPr>
        <w:t> </w:t>
      </w:r>
      <w:r>
        <w:rPr>
          <w:color w:val="231F20"/>
          <w:sz w:val="22"/>
        </w:rPr>
        <w:t>条</w:t>
        <w:tab/>
        <w:t>变更与调整</w:t>
      </w:r>
    </w:p>
    <w:p>
      <w:pPr>
        <w:pStyle w:val="ListParagraph"/>
        <w:numPr>
          <w:ilvl w:val="1"/>
          <w:numId w:val="14"/>
        </w:numPr>
        <w:tabs>
          <w:tab w:pos="833" w:val="left" w:leader="none"/>
        </w:tabs>
        <w:spacing w:line="240" w:lineRule="auto" w:before="25" w:after="0"/>
        <w:ind w:left="557" w:right="0" w:hanging="160"/>
        <w:jc w:val="left"/>
        <w:rPr>
          <w:sz w:val="22"/>
        </w:rPr>
      </w:pPr>
      <w:r>
        <w:rPr>
          <w:color w:val="231F20"/>
          <w:sz w:val="22"/>
        </w:rPr>
        <w:t>发包人变更权</w:t>
      </w:r>
    </w:p>
    <w:p>
      <w:pPr>
        <w:pStyle w:val="ListParagraph"/>
        <w:numPr>
          <w:ilvl w:val="1"/>
          <w:numId w:val="14"/>
        </w:numPr>
        <w:tabs>
          <w:tab w:pos="833" w:val="left" w:leader="none"/>
        </w:tabs>
        <w:spacing w:line="240" w:lineRule="auto" w:before="109" w:after="0"/>
        <w:ind w:left="557" w:right="0" w:hanging="160"/>
        <w:jc w:val="left"/>
        <w:rPr>
          <w:sz w:val="22"/>
        </w:rPr>
      </w:pPr>
      <w:r>
        <w:rPr>
          <w:color w:val="231F20"/>
          <w:sz w:val="22"/>
        </w:rPr>
        <w:t>承包人的合理化建议</w:t>
      </w:r>
    </w:p>
    <w:p>
      <w:pPr>
        <w:pStyle w:val="ListParagraph"/>
        <w:numPr>
          <w:ilvl w:val="1"/>
          <w:numId w:val="14"/>
        </w:numPr>
        <w:tabs>
          <w:tab w:pos="833" w:val="left" w:leader="none"/>
        </w:tabs>
        <w:spacing w:line="240" w:lineRule="auto" w:before="109" w:after="0"/>
        <w:ind w:left="557" w:right="0" w:hanging="160"/>
        <w:jc w:val="left"/>
        <w:rPr>
          <w:sz w:val="22"/>
        </w:rPr>
      </w:pPr>
      <w:r>
        <w:rPr>
          <w:color w:val="231F20"/>
          <w:sz w:val="22"/>
        </w:rPr>
        <w:t>变更程序</w:t>
      </w:r>
    </w:p>
    <w:p>
      <w:pPr>
        <w:pStyle w:val="ListParagraph"/>
        <w:numPr>
          <w:ilvl w:val="1"/>
          <w:numId w:val="14"/>
        </w:numPr>
        <w:tabs>
          <w:tab w:pos="833" w:val="left" w:leader="none"/>
        </w:tabs>
        <w:spacing w:line="240" w:lineRule="auto" w:before="109" w:after="0"/>
        <w:ind w:left="557" w:right="0" w:hanging="160"/>
        <w:jc w:val="left"/>
        <w:rPr>
          <w:sz w:val="22"/>
        </w:rPr>
      </w:pPr>
      <w:r>
        <w:rPr>
          <w:color w:val="231F20"/>
          <w:sz w:val="22"/>
        </w:rPr>
        <w:t>暂估价</w:t>
      </w:r>
    </w:p>
    <w:p>
      <w:pPr>
        <w:pStyle w:val="ListParagraph"/>
        <w:numPr>
          <w:ilvl w:val="1"/>
          <w:numId w:val="14"/>
        </w:numPr>
        <w:tabs>
          <w:tab w:pos="833" w:val="left" w:leader="none"/>
        </w:tabs>
        <w:spacing w:line="240" w:lineRule="auto" w:before="109" w:after="0"/>
        <w:ind w:left="557" w:right="0" w:hanging="160"/>
        <w:jc w:val="left"/>
        <w:rPr>
          <w:sz w:val="22"/>
        </w:rPr>
      </w:pPr>
      <w:r>
        <w:rPr>
          <w:color w:val="231F20"/>
          <w:sz w:val="22"/>
        </w:rPr>
        <w:t>暂列金额</w:t>
      </w:r>
    </w:p>
    <w:p>
      <w:pPr>
        <w:spacing w:after="0" w:line="240" w:lineRule="auto"/>
        <w:jc w:val="left"/>
        <w:rPr>
          <w:sz w:val="22"/>
        </w:rPr>
        <w:sectPr>
          <w:pgSz w:w="11910" w:h="16840"/>
          <w:pgMar w:header="0" w:footer="832" w:top="1580" w:bottom="1020" w:left="1680" w:right="1300"/>
        </w:sectPr>
      </w:pPr>
    </w:p>
    <w:p>
      <w:pPr>
        <w:pStyle w:val="ListParagraph"/>
        <w:numPr>
          <w:ilvl w:val="1"/>
          <w:numId w:val="14"/>
        </w:numPr>
        <w:tabs>
          <w:tab w:pos="1213" w:val="left" w:leader="none"/>
        </w:tabs>
        <w:spacing w:line="240" w:lineRule="auto" w:before="24" w:after="0"/>
        <w:ind w:left="1212" w:right="0" w:hanging="435"/>
        <w:jc w:val="left"/>
        <w:rPr>
          <w:sz w:val="22"/>
        </w:rPr>
      </w:pPr>
      <w:r>
        <w:rPr>
          <w:color w:val="231F20"/>
          <w:sz w:val="22"/>
        </w:rPr>
        <w:t>计日工</w:t>
      </w:r>
    </w:p>
    <w:p>
      <w:pPr>
        <w:pStyle w:val="ListParagraph"/>
        <w:numPr>
          <w:ilvl w:val="1"/>
          <w:numId w:val="14"/>
        </w:numPr>
        <w:tabs>
          <w:tab w:pos="1213" w:val="left" w:leader="none"/>
        </w:tabs>
        <w:spacing w:line="240" w:lineRule="auto" w:before="109" w:after="0"/>
        <w:ind w:left="1212" w:right="0" w:hanging="435"/>
        <w:jc w:val="left"/>
        <w:rPr>
          <w:sz w:val="22"/>
        </w:rPr>
      </w:pPr>
      <w:r>
        <w:rPr>
          <w:color w:val="231F20"/>
          <w:sz w:val="22"/>
        </w:rPr>
        <w:t>法律变化引起的调整</w:t>
      </w:r>
    </w:p>
    <w:p>
      <w:pPr>
        <w:pStyle w:val="ListParagraph"/>
        <w:numPr>
          <w:ilvl w:val="1"/>
          <w:numId w:val="14"/>
        </w:numPr>
        <w:tabs>
          <w:tab w:pos="1213" w:val="left" w:leader="none"/>
          <w:tab w:pos="1545" w:val="left" w:leader="none"/>
        </w:tabs>
        <w:spacing w:line="319" w:lineRule="auto" w:before="109" w:after="0"/>
        <w:ind w:left="557" w:right="5290" w:firstLine="220"/>
        <w:jc w:val="left"/>
        <w:rPr>
          <w:sz w:val="22"/>
        </w:rPr>
      </w:pPr>
      <w:r>
        <w:rPr>
          <w:color w:val="231F20"/>
          <w:sz w:val="22"/>
        </w:rPr>
        <w:t>市场价格波动引起的调整第</w:t>
      </w:r>
      <w:r>
        <w:rPr>
          <w:color w:val="231F20"/>
          <w:spacing w:val="-1"/>
          <w:sz w:val="22"/>
        </w:rPr>
        <w:t> </w:t>
      </w:r>
      <w:r>
        <w:rPr>
          <w:color w:val="231F20"/>
          <w:sz w:val="22"/>
        </w:rPr>
        <w:t>14</w:t>
      </w:r>
      <w:r>
        <w:rPr>
          <w:color w:val="231F20"/>
          <w:spacing w:val="-1"/>
          <w:sz w:val="22"/>
        </w:rPr>
        <w:t> </w:t>
      </w:r>
      <w:r>
        <w:rPr>
          <w:color w:val="231F20"/>
          <w:sz w:val="22"/>
        </w:rPr>
        <w:t>条</w:t>
        <w:tab/>
        <w:t>合同价格与支付</w:t>
      </w:r>
    </w:p>
    <w:p>
      <w:pPr>
        <w:pStyle w:val="ListParagraph"/>
        <w:numPr>
          <w:ilvl w:val="1"/>
          <w:numId w:val="15"/>
        </w:numPr>
        <w:tabs>
          <w:tab w:pos="1213" w:val="left" w:leader="none"/>
        </w:tabs>
        <w:spacing w:line="240" w:lineRule="auto" w:before="26" w:after="0"/>
        <w:ind w:left="557" w:right="0" w:firstLine="220"/>
        <w:jc w:val="left"/>
        <w:rPr>
          <w:sz w:val="22"/>
        </w:rPr>
      </w:pPr>
      <w:r>
        <w:rPr>
          <w:color w:val="231F20"/>
          <w:sz w:val="22"/>
        </w:rPr>
        <w:t>合同价格形式</w:t>
      </w:r>
    </w:p>
    <w:p>
      <w:pPr>
        <w:pStyle w:val="ListParagraph"/>
        <w:numPr>
          <w:ilvl w:val="1"/>
          <w:numId w:val="15"/>
        </w:numPr>
        <w:tabs>
          <w:tab w:pos="1213" w:val="left" w:leader="none"/>
        </w:tabs>
        <w:spacing w:line="240" w:lineRule="auto" w:before="109" w:after="0"/>
        <w:ind w:left="557" w:right="0" w:firstLine="220"/>
        <w:jc w:val="left"/>
        <w:rPr>
          <w:sz w:val="22"/>
        </w:rPr>
      </w:pPr>
      <w:r>
        <w:rPr>
          <w:color w:val="231F20"/>
          <w:sz w:val="22"/>
        </w:rPr>
        <w:t>预付款</w:t>
      </w:r>
    </w:p>
    <w:p>
      <w:pPr>
        <w:pStyle w:val="ListParagraph"/>
        <w:numPr>
          <w:ilvl w:val="1"/>
          <w:numId w:val="15"/>
        </w:numPr>
        <w:tabs>
          <w:tab w:pos="1213" w:val="left" w:leader="none"/>
        </w:tabs>
        <w:spacing w:line="240" w:lineRule="auto" w:before="109" w:after="0"/>
        <w:ind w:left="557" w:right="0" w:firstLine="220"/>
        <w:jc w:val="left"/>
        <w:rPr>
          <w:sz w:val="22"/>
        </w:rPr>
      </w:pPr>
      <w:r>
        <w:rPr>
          <w:color w:val="231F20"/>
          <w:sz w:val="22"/>
        </w:rPr>
        <w:t>工程进度款</w:t>
      </w:r>
    </w:p>
    <w:p>
      <w:pPr>
        <w:pStyle w:val="ListParagraph"/>
        <w:numPr>
          <w:ilvl w:val="1"/>
          <w:numId w:val="15"/>
        </w:numPr>
        <w:tabs>
          <w:tab w:pos="1213" w:val="left" w:leader="none"/>
        </w:tabs>
        <w:spacing w:line="240" w:lineRule="auto" w:before="109" w:after="0"/>
        <w:ind w:left="557" w:right="0" w:firstLine="220"/>
        <w:jc w:val="left"/>
        <w:rPr>
          <w:sz w:val="22"/>
        </w:rPr>
      </w:pPr>
      <w:r>
        <w:rPr>
          <w:color w:val="231F20"/>
          <w:sz w:val="22"/>
        </w:rPr>
        <w:t>付款计划表</w:t>
      </w:r>
    </w:p>
    <w:p>
      <w:pPr>
        <w:pStyle w:val="ListParagraph"/>
        <w:numPr>
          <w:ilvl w:val="1"/>
          <w:numId w:val="15"/>
        </w:numPr>
        <w:tabs>
          <w:tab w:pos="1213" w:val="left" w:leader="none"/>
        </w:tabs>
        <w:spacing w:line="240" w:lineRule="auto" w:before="109" w:after="0"/>
        <w:ind w:left="557" w:right="0" w:firstLine="220"/>
        <w:jc w:val="left"/>
        <w:rPr>
          <w:sz w:val="22"/>
        </w:rPr>
      </w:pPr>
      <w:r>
        <w:rPr>
          <w:color w:val="231F20"/>
          <w:sz w:val="22"/>
        </w:rPr>
        <w:t>竣工结算</w:t>
      </w:r>
    </w:p>
    <w:p>
      <w:pPr>
        <w:pStyle w:val="ListParagraph"/>
        <w:numPr>
          <w:ilvl w:val="1"/>
          <w:numId w:val="15"/>
        </w:numPr>
        <w:tabs>
          <w:tab w:pos="1213" w:val="left" w:leader="none"/>
        </w:tabs>
        <w:spacing w:line="240" w:lineRule="auto" w:before="109" w:after="0"/>
        <w:ind w:left="557" w:right="0" w:firstLine="220"/>
        <w:jc w:val="left"/>
        <w:rPr>
          <w:sz w:val="22"/>
        </w:rPr>
      </w:pPr>
      <w:r>
        <w:rPr>
          <w:color w:val="231F20"/>
          <w:sz w:val="22"/>
        </w:rPr>
        <w:t>质量保证金</w:t>
      </w:r>
    </w:p>
    <w:p>
      <w:pPr>
        <w:pStyle w:val="ListParagraph"/>
        <w:numPr>
          <w:ilvl w:val="1"/>
          <w:numId w:val="15"/>
        </w:numPr>
        <w:tabs>
          <w:tab w:pos="1213" w:val="left" w:leader="none"/>
          <w:tab w:pos="1545" w:val="left" w:leader="none"/>
        </w:tabs>
        <w:spacing w:line="319" w:lineRule="auto" w:before="109" w:after="0"/>
        <w:ind w:left="557" w:right="6830" w:firstLine="220"/>
        <w:jc w:val="left"/>
        <w:rPr>
          <w:sz w:val="22"/>
        </w:rPr>
      </w:pPr>
      <w:r>
        <w:rPr>
          <w:color w:val="231F20"/>
          <w:sz w:val="22"/>
        </w:rPr>
        <w:t>最终结清第</w:t>
      </w:r>
      <w:r>
        <w:rPr>
          <w:color w:val="231F20"/>
          <w:spacing w:val="-1"/>
          <w:sz w:val="22"/>
        </w:rPr>
        <w:t> </w:t>
      </w:r>
      <w:r>
        <w:rPr>
          <w:color w:val="231F20"/>
          <w:sz w:val="22"/>
        </w:rPr>
        <w:t>15</w:t>
      </w:r>
      <w:r>
        <w:rPr>
          <w:color w:val="231F20"/>
          <w:spacing w:val="-1"/>
          <w:sz w:val="22"/>
        </w:rPr>
        <w:t> </w:t>
      </w:r>
      <w:r>
        <w:rPr>
          <w:color w:val="231F20"/>
          <w:sz w:val="22"/>
        </w:rPr>
        <w:t>条</w:t>
        <w:tab/>
        <w:t>违约</w:t>
      </w:r>
    </w:p>
    <w:p>
      <w:pPr>
        <w:pStyle w:val="ListParagraph"/>
        <w:numPr>
          <w:ilvl w:val="1"/>
          <w:numId w:val="16"/>
        </w:numPr>
        <w:tabs>
          <w:tab w:pos="1213" w:val="left" w:leader="none"/>
        </w:tabs>
        <w:spacing w:line="240" w:lineRule="auto" w:before="26" w:after="0"/>
        <w:ind w:left="557" w:right="0" w:firstLine="220"/>
        <w:jc w:val="left"/>
        <w:rPr>
          <w:sz w:val="22"/>
        </w:rPr>
      </w:pPr>
      <w:r>
        <w:rPr>
          <w:color w:val="231F20"/>
          <w:sz w:val="22"/>
        </w:rPr>
        <w:t>发包人违约</w:t>
      </w:r>
    </w:p>
    <w:p>
      <w:pPr>
        <w:pStyle w:val="ListParagraph"/>
        <w:numPr>
          <w:ilvl w:val="1"/>
          <w:numId w:val="16"/>
        </w:numPr>
        <w:tabs>
          <w:tab w:pos="1213" w:val="left" w:leader="none"/>
        </w:tabs>
        <w:spacing w:line="240" w:lineRule="auto" w:before="109" w:after="0"/>
        <w:ind w:left="557" w:right="0" w:firstLine="220"/>
        <w:jc w:val="left"/>
        <w:rPr>
          <w:sz w:val="22"/>
        </w:rPr>
      </w:pPr>
      <w:r>
        <w:rPr>
          <w:color w:val="231F20"/>
          <w:sz w:val="22"/>
        </w:rPr>
        <w:t>承包人违约</w:t>
      </w:r>
    </w:p>
    <w:p>
      <w:pPr>
        <w:pStyle w:val="ListParagraph"/>
        <w:numPr>
          <w:ilvl w:val="1"/>
          <w:numId w:val="16"/>
        </w:numPr>
        <w:tabs>
          <w:tab w:pos="1213" w:val="left" w:leader="none"/>
          <w:tab w:pos="1545" w:val="left" w:leader="none"/>
        </w:tabs>
        <w:spacing w:line="319" w:lineRule="auto" w:before="109" w:after="0"/>
        <w:ind w:left="557" w:right="5950" w:firstLine="220"/>
        <w:jc w:val="left"/>
        <w:rPr>
          <w:sz w:val="22"/>
        </w:rPr>
      </w:pPr>
      <w:r>
        <w:rPr>
          <w:color w:val="231F20"/>
          <w:sz w:val="22"/>
        </w:rPr>
        <w:t>第三人造成的违约第</w:t>
      </w:r>
      <w:r>
        <w:rPr>
          <w:color w:val="231F20"/>
          <w:spacing w:val="-1"/>
          <w:sz w:val="22"/>
        </w:rPr>
        <w:t> </w:t>
      </w:r>
      <w:r>
        <w:rPr>
          <w:color w:val="231F20"/>
          <w:sz w:val="22"/>
        </w:rPr>
        <w:t>16</w:t>
      </w:r>
      <w:r>
        <w:rPr>
          <w:color w:val="231F20"/>
          <w:spacing w:val="-1"/>
          <w:sz w:val="22"/>
        </w:rPr>
        <w:t> </w:t>
      </w:r>
      <w:r>
        <w:rPr>
          <w:color w:val="231F20"/>
          <w:sz w:val="22"/>
        </w:rPr>
        <w:t>条</w:t>
        <w:tab/>
        <w:t>合同解除</w:t>
      </w:r>
    </w:p>
    <w:p>
      <w:pPr>
        <w:pStyle w:val="ListParagraph"/>
        <w:numPr>
          <w:ilvl w:val="1"/>
          <w:numId w:val="17"/>
        </w:numPr>
        <w:tabs>
          <w:tab w:pos="1213" w:val="left" w:leader="none"/>
        </w:tabs>
        <w:spacing w:line="240" w:lineRule="auto" w:before="26" w:after="0"/>
        <w:ind w:left="557" w:right="0" w:firstLine="220"/>
        <w:jc w:val="left"/>
        <w:rPr>
          <w:sz w:val="22"/>
        </w:rPr>
      </w:pPr>
      <w:r>
        <w:rPr>
          <w:color w:val="231F20"/>
          <w:sz w:val="22"/>
        </w:rPr>
        <w:t>由发包人解除合同</w:t>
      </w:r>
    </w:p>
    <w:p>
      <w:pPr>
        <w:pStyle w:val="ListParagraph"/>
        <w:numPr>
          <w:ilvl w:val="1"/>
          <w:numId w:val="17"/>
        </w:numPr>
        <w:tabs>
          <w:tab w:pos="1213" w:val="left" w:leader="none"/>
        </w:tabs>
        <w:spacing w:line="240" w:lineRule="auto" w:before="109" w:after="0"/>
        <w:ind w:left="557" w:right="0" w:firstLine="220"/>
        <w:jc w:val="left"/>
        <w:rPr>
          <w:sz w:val="22"/>
        </w:rPr>
      </w:pPr>
      <w:r>
        <w:rPr>
          <w:color w:val="231F20"/>
          <w:sz w:val="22"/>
        </w:rPr>
        <w:t>由承包人解除合同</w:t>
      </w:r>
    </w:p>
    <w:p>
      <w:pPr>
        <w:pStyle w:val="ListParagraph"/>
        <w:numPr>
          <w:ilvl w:val="1"/>
          <w:numId w:val="17"/>
        </w:numPr>
        <w:tabs>
          <w:tab w:pos="1213" w:val="left" w:leader="none"/>
          <w:tab w:pos="1545" w:val="left" w:leader="none"/>
        </w:tabs>
        <w:spacing w:line="319" w:lineRule="auto" w:before="109" w:after="0"/>
        <w:ind w:left="557" w:right="5950" w:firstLine="220"/>
        <w:jc w:val="left"/>
        <w:rPr>
          <w:sz w:val="22"/>
        </w:rPr>
      </w:pPr>
      <w:r>
        <w:rPr>
          <w:color w:val="231F20"/>
          <w:sz w:val="22"/>
        </w:rPr>
        <w:t>合同解除后的事项第</w:t>
      </w:r>
      <w:r>
        <w:rPr>
          <w:color w:val="231F20"/>
          <w:spacing w:val="-1"/>
          <w:sz w:val="22"/>
        </w:rPr>
        <w:t> </w:t>
      </w:r>
      <w:r>
        <w:rPr>
          <w:color w:val="231F20"/>
          <w:sz w:val="22"/>
        </w:rPr>
        <w:t>17</w:t>
      </w:r>
      <w:r>
        <w:rPr>
          <w:color w:val="231F20"/>
          <w:spacing w:val="-1"/>
          <w:sz w:val="22"/>
        </w:rPr>
        <w:t> </w:t>
      </w:r>
      <w:r>
        <w:rPr>
          <w:color w:val="231F20"/>
          <w:sz w:val="22"/>
        </w:rPr>
        <w:t>条</w:t>
        <w:tab/>
        <w:t>不可抗力</w:t>
      </w:r>
    </w:p>
    <w:p>
      <w:pPr>
        <w:pStyle w:val="ListParagraph"/>
        <w:numPr>
          <w:ilvl w:val="1"/>
          <w:numId w:val="18"/>
        </w:numPr>
        <w:tabs>
          <w:tab w:pos="1213" w:val="left" w:leader="none"/>
        </w:tabs>
        <w:spacing w:line="240" w:lineRule="auto" w:before="26" w:after="0"/>
        <w:ind w:left="557" w:right="0" w:firstLine="220"/>
        <w:jc w:val="left"/>
        <w:rPr>
          <w:sz w:val="22"/>
        </w:rPr>
      </w:pPr>
      <w:r>
        <w:rPr>
          <w:color w:val="231F20"/>
          <w:sz w:val="22"/>
        </w:rPr>
        <w:t>不可抗力的定义</w:t>
      </w:r>
    </w:p>
    <w:p>
      <w:pPr>
        <w:pStyle w:val="ListParagraph"/>
        <w:numPr>
          <w:ilvl w:val="1"/>
          <w:numId w:val="18"/>
        </w:numPr>
        <w:tabs>
          <w:tab w:pos="1213" w:val="left" w:leader="none"/>
        </w:tabs>
        <w:spacing w:line="240" w:lineRule="auto" w:before="109" w:after="0"/>
        <w:ind w:left="557" w:right="0" w:firstLine="220"/>
        <w:jc w:val="left"/>
        <w:rPr>
          <w:sz w:val="22"/>
        </w:rPr>
      </w:pPr>
      <w:r>
        <w:rPr>
          <w:color w:val="231F20"/>
          <w:sz w:val="22"/>
        </w:rPr>
        <w:t>不可抗力的通知</w:t>
      </w:r>
    </w:p>
    <w:p>
      <w:pPr>
        <w:pStyle w:val="ListParagraph"/>
        <w:numPr>
          <w:ilvl w:val="1"/>
          <w:numId w:val="18"/>
        </w:numPr>
        <w:tabs>
          <w:tab w:pos="1213" w:val="left" w:leader="none"/>
        </w:tabs>
        <w:spacing w:line="240" w:lineRule="auto" w:before="109" w:after="0"/>
        <w:ind w:left="557" w:right="0" w:firstLine="220"/>
        <w:jc w:val="left"/>
        <w:rPr>
          <w:sz w:val="22"/>
        </w:rPr>
      </w:pPr>
      <w:r>
        <w:rPr>
          <w:color w:val="231F20"/>
          <w:sz w:val="22"/>
        </w:rPr>
        <w:t>将损失减至最小的义务</w:t>
      </w:r>
    </w:p>
    <w:p>
      <w:pPr>
        <w:pStyle w:val="ListParagraph"/>
        <w:numPr>
          <w:ilvl w:val="1"/>
          <w:numId w:val="18"/>
        </w:numPr>
        <w:tabs>
          <w:tab w:pos="1213" w:val="left" w:leader="none"/>
        </w:tabs>
        <w:spacing w:line="240" w:lineRule="auto" w:before="109" w:after="0"/>
        <w:ind w:left="557" w:right="0" w:firstLine="220"/>
        <w:jc w:val="left"/>
        <w:rPr>
          <w:sz w:val="22"/>
        </w:rPr>
      </w:pPr>
      <w:r>
        <w:rPr>
          <w:color w:val="231F20"/>
          <w:sz w:val="22"/>
        </w:rPr>
        <w:t>不可抗力后果的承担</w:t>
      </w:r>
    </w:p>
    <w:p>
      <w:pPr>
        <w:pStyle w:val="ListParagraph"/>
        <w:numPr>
          <w:ilvl w:val="1"/>
          <w:numId w:val="18"/>
        </w:numPr>
        <w:tabs>
          <w:tab w:pos="1213" w:val="left" w:leader="none"/>
        </w:tabs>
        <w:spacing w:line="240" w:lineRule="auto" w:before="109" w:after="0"/>
        <w:ind w:left="557" w:right="0" w:firstLine="220"/>
        <w:jc w:val="left"/>
        <w:rPr>
          <w:sz w:val="22"/>
        </w:rPr>
      </w:pPr>
      <w:r>
        <w:rPr>
          <w:color w:val="231F20"/>
          <w:sz w:val="22"/>
        </w:rPr>
        <w:t>不可抗力影响分包人</w:t>
      </w:r>
    </w:p>
    <w:p>
      <w:pPr>
        <w:pStyle w:val="ListParagraph"/>
        <w:numPr>
          <w:ilvl w:val="1"/>
          <w:numId w:val="18"/>
        </w:numPr>
        <w:tabs>
          <w:tab w:pos="1213" w:val="left" w:leader="none"/>
          <w:tab w:pos="1545" w:val="left" w:leader="none"/>
        </w:tabs>
        <w:spacing w:line="319" w:lineRule="auto" w:before="109" w:after="0"/>
        <w:ind w:left="557" w:right="5730" w:firstLine="220"/>
        <w:jc w:val="left"/>
        <w:rPr>
          <w:sz w:val="22"/>
        </w:rPr>
      </w:pPr>
      <w:r>
        <w:rPr>
          <w:color w:val="231F20"/>
          <w:sz w:val="22"/>
        </w:rPr>
        <w:t>因不可抗力解除合同第</w:t>
      </w:r>
      <w:r>
        <w:rPr>
          <w:color w:val="231F20"/>
          <w:spacing w:val="-1"/>
          <w:sz w:val="22"/>
        </w:rPr>
        <w:t> </w:t>
      </w:r>
      <w:r>
        <w:rPr>
          <w:color w:val="231F20"/>
          <w:sz w:val="22"/>
        </w:rPr>
        <w:t>18</w:t>
      </w:r>
      <w:r>
        <w:rPr>
          <w:color w:val="231F20"/>
          <w:spacing w:val="-1"/>
          <w:sz w:val="22"/>
        </w:rPr>
        <w:t> </w:t>
      </w:r>
      <w:r>
        <w:rPr>
          <w:color w:val="231F20"/>
          <w:sz w:val="22"/>
        </w:rPr>
        <w:t>条</w:t>
        <w:tab/>
        <w:t>保险</w:t>
      </w:r>
    </w:p>
    <w:p>
      <w:pPr>
        <w:pStyle w:val="ListParagraph"/>
        <w:numPr>
          <w:ilvl w:val="1"/>
          <w:numId w:val="19"/>
        </w:numPr>
        <w:tabs>
          <w:tab w:pos="1213" w:val="left" w:leader="none"/>
        </w:tabs>
        <w:spacing w:line="240" w:lineRule="auto" w:before="25" w:after="0"/>
        <w:ind w:left="177" w:right="0" w:firstLine="600"/>
        <w:jc w:val="left"/>
        <w:rPr>
          <w:sz w:val="22"/>
        </w:rPr>
      </w:pPr>
      <w:r>
        <w:rPr>
          <w:color w:val="231F20"/>
          <w:sz w:val="22"/>
        </w:rPr>
        <w:t>设计和工程保险</w:t>
      </w:r>
    </w:p>
    <w:p>
      <w:pPr>
        <w:pStyle w:val="ListParagraph"/>
        <w:numPr>
          <w:ilvl w:val="1"/>
          <w:numId w:val="19"/>
        </w:numPr>
        <w:tabs>
          <w:tab w:pos="1213" w:val="left" w:leader="none"/>
        </w:tabs>
        <w:spacing w:line="240" w:lineRule="auto" w:before="108" w:after="0"/>
        <w:ind w:left="177" w:right="0" w:firstLine="600"/>
        <w:jc w:val="left"/>
        <w:rPr>
          <w:sz w:val="22"/>
        </w:rPr>
      </w:pPr>
      <w:r>
        <w:rPr>
          <w:color w:val="231F20"/>
          <w:sz w:val="22"/>
        </w:rPr>
        <w:t>工伤和意外伤害保险</w:t>
      </w:r>
    </w:p>
    <w:p>
      <w:pPr>
        <w:pStyle w:val="ListParagraph"/>
        <w:numPr>
          <w:ilvl w:val="1"/>
          <w:numId w:val="19"/>
        </w:numPr>
        <w:tabs>
          <w:tab w:pos="1213" w:val="left" w:leader="none"/>
        </w:tabs>
        <w:spacing w:line="240" w:lineRule="auto" w:before="108" w:after="0"/>
        <w:ind w:left="177" w:right="0" w:firstLine="600"/>
        <w:jc w:val="left"/>
        <w:rPr>
          <w:sz w:val="22"/>
        </w:rPr>
      </w:pPr>
      <w:r>
        <w:rPr>
          <w:color w:val="231F20"/>
          <w:sz w:val="22"/>
        </w:rPr>
        <w:t>货物保险</w:t>
      </w:r>
    </w:p>
    <w:p>
      <w:pPr>
        <w:pStyle w:val="ListParagraph"/>
        <w:numPr>
          <w:ilvl w:val="1"/>
          <w:numId w:val="19"/>
        </w:numPr>
        <w:tabs>
          <w:tab w:pos="1213" w:val="left" w:leader="none"/>
        </w:tabs>
        <w:spacing w:line="240" w:lineRule="auto" w:before="108" w:after="0"/>
        <w:ind w:left="177" w:right="0" w:firstLine="600"/>
        <w:jc w:val="left"/>
        <w:rPr>
          <w:sz w:val="22"/>
        </w:rPr>
      </w:pPr>
      <w:r>
        <w:rPr>
          <w:color w:val="231F20"/>
          <w:sz w:val="22"/>
        </w:rPr>
        <w:t>其他保险</w:t>
      </w:r>
    </w:p>
    <w:p>
      <w:pPr>
        <w:spacing w:after="0" w:line="240" w:lineRule="auto"/>
        <w:jc w:val="left"/>
        <w:rPr>
          <w:sz w:val="22"/>
        </w:rPr>
        <w:sectPr>
          <w:pgSz w:w="11910" w:h="16840"/>
          <w:pgMar w:header="0" w:footer="832" w:top="1580" w:bottom="1020" w:left="1300" w:right="1680"/>
        </w:sectPr>
      </w:pPr>
    </w:p>
    <w:p>
      <w:pPr>
        <w:pStyle w:val="ListParagraph"/>
        <w:numPr>
          <w:ilvl w:val="1"/>
          <w:numId w:val="19"/>
        </w:numPr>
        <w:tabs>
          <w:tab w:pos="833" w:val="left" w:leader="none"/>
          <w:tab w:pos="1165" w:val="left" w:leader="none"/>
        </w:tabs>
        <w:spacing w:line="319" w:lineRule="auto" w:before="24" w:after="0"/>
        <w:ind w:left="177" w:right="5890" w:firstLine="220"/>
        <w:jc w:val="left"/>
        <w:rPr>
          <w:sz w:val="22"/>
        </w:rPr>
      </w:pPr>
      <w:r>
        <w:rPr>
          <w:color w:val="231F20"/>
          <w:sz w:val="22"/>
        </w:rPr>
        <w:t>对各项保险的一般要求第</w:t>
      </w:r>
      <w:r>
        <w:rPr>
          <w:color w:val="231F20"/>
          <w:spacing w:val="-1"/>
          <w:sz w:val="22"/>
        </w:rPr>
        <w:t> </w:t>
      </w:r>
      <w:r>
        <w:rPr>
          <w:color w:val="231F20"/>
          <w:sz w:val="22"/>
        </w:rPr>
        <w:t>19</w:t>
      </w:r>
      <w:r>
        <w:rPr>
          <w:color w:val="231F20"/>
          <w:spacing w:val="-1"/>
          <w:sz w:val="22"/>
        </w:rPr>
        <w:t> </w:t>
      </w:r>
      <w:r>
        <w:rPr>
          <w:color w:val="231F20"/>
          <w:sz w:val="22"/>
        </w:rPr>
        <w:t>条</w:t>
        <w:tab/>
        <w:t>索赔</w:t>
      </w:r>
    </w:p>
    <w:p>
      <w:pPr>
        <w:pStyle w:val="ListParagraph"/>
        <w:numPr>
          <w:ilvl w:val="1"/>
          <w:numId w:val="20"/>
        </w:numPr>
        <w:tabs>
          <w:tab w:pos="833" w:val="left" w:leader="none"/>
        </w:tabs>
        <w:spacing w:line="240" w:lineRule="auto" w:before="26" w:after="0"/>
        <w:ind w:left="177" w:right="0" w:firstLine="220"/>
        <w:jc w:val="left"/>
        <w:rPr>
          <w:sz w:val="22"/>
        </w:rPr>
      </w:pPr>
      <w:r>
        <w:rPr>
          <w:color w:val="231F20"/>
          <w:sz w:val="22"/>
        </w:rPr>
        <w:t>索赔的提出</w:t>
      </w:r>
    </w:p>
    <w:p>
      <w:pPr>
        <w:pStyle w:val="ListParagraph"/>
        <w:numPr>
          <w:ilvl w:val="1"/>
          <w:numId w:val="20"/>
        </w:numPr>
        <w:tabs>
          <w:tab w:pos="833" w:val="left" w:leader="none"/>
        </w:tabs>
        <w:spacing w:line="240" w:lineRule="auto" w:before="109" w:after="0"/>
        <w:ind w:left="177" w:right="0" w:firstLine="220"/>
        <w:jc w:val="left"/>
        <w:rPr>
          <w:sz w:val="22"/>
        </w:rPr>
      </w:pPr>
      <w:r>
        <w:rPr>
          <w:color w:val="231F20"/>
          <w:sz w:val="22"/>
        </w:rPr>
        <w:t>承包人索赔的处理程序</w:t>
      </w:r>
    </w:p>
    <w:p>
      <w:pPr>
        <w:pStyle w:val="ListParagraph"/>
        <w:numPr>
          <w:ilvl w:val="1"/>
          <w:numId w:val="20"/>
        </w:numPr>
        <w:tabs>
          <w:tab w:pos="833" w:val="left" w:leader="none"/>
        </w:tabs>
        <w:spacing w:line="240" w:lineRule="auto" w:before="109" w:after="0"/>
        <w:ind w:left="177" w:right="0" w:firstLine="220"/>
        <w:jc w:val="left"/>
        <w:rPr>
          <w:sz w:val="22"/>
        </w:rPr>
      </w:pPr>
      <w:r>
        <w:rPr>
          <w:color w:val="231F20"/>
          <w:sz w:val="22"/>
        </w:rPr>
        <w:t>发包人索赔的处理程序</w:t>
      </w:r>
    </w:p>
    <w:p>
      <w:pPr>
        <w:pStyle w:val="ListParagraph"/>
        <w:numPr>
          <w:ilvl w:val="1"/>
          <w:numId w:val="20"/>
        </w:numPr>
        <w:tabs>
          <w:tab w:pos="833" w:val="left" w:leader="none"/>
          <w:tab w:pos="1165" w:val="left" w:leader="none"/>
        </w:tabs>
        <w:spacing w:line="319" w:lineRule="auto" w:before="109" w:after="0"/>
        <w:ind w:left="177" w:right="6550" w:firstLine="220"/>
        <w:jc w:val="left"/>
        <w:rPr>
          <w:sz w:val="22"/>
        </w:rPr>
      </w:pPr>
      <w:r>
        <w:rPr>
          <w:color w:val="231F20"/>
          <w:sz w:val="22"/>
        </w:rPr>
        <w:t>提出索赔的期限第</w:t>
      </w:r>
      <w:r>
        <w:rPr>
          <w:color w:val="231F20"/>
          <w:spacing w:val="-1"/>
          <w:sz w:val="22"/>
        </w:rPr>
        <w:t> </w:t>
      </w:r>
      <w:r>
        <w:rPr>
          <w:color w:val="231F20"/>
          <w:sz w:val="22"/>
        </w:rPr>
        <w:t>20</w:t>
      </w:r>
      <w:r>
        <w:rPr>
          <w:color w:val="231F20"/>
          <w:spacing w:val="-1"/>
          <w:sz w:val="22"/>
        </w:rPr>
        <w:t> </w:t>
      </w:r>
      <w:r>
        <w:rPr>
          <w:color w:val="231F20"/>
          <w:sz w:val="22"/>
        </w:rPr>
        <w:t>条</w:t>
        <w:tab/>
        <w:t>争议解决</w:t>
      </w:r>
    </w:p>
    <w:p>
      <w:pPr>
        <w:pStyle w:val="ListParagraph"/>
        <w:numPr>
          <w:ilvl w:val="1"/>
          <w:numId w:val="21"/>
        </w:numPr>
        <w:tabs>
          <w:tab w:pos="833" w:val="left" w:leader="none"/>
        </w:tabs>
        <w:spacing w:line="240" w:lineRule="auto" w:before="25" w:after="0"/>
        <w:ind w:left="177" w:right="0" w:firstLine="220"/>
        <w:jc w:val="left"/>
        <w:rPr>
          <w:sz w:val="22"/>
        </w:rPr>
      </w:pPr>
      <w:r>
        <w:rPr>
          <w:color w:val="231F20"/>
          <w:sz w:val="22"/>
        </w:rPr>
        <w:t>和解</w:t>
      </w:r>
    </w:p>
    <w:p>
      <w:pPr>
        <w:pStyle w:val="ListParagraph"/>
        <w:numPr>
          <w:ilvl w:val="1"/>
          <w:numId w:val="21"/>
        </w:numPr>
        <w:tabs>
          <w:tab w:pos="833" w:val="left" w:leader="none"/>
        </w:tabs>
        <w:spacing w:line="240" w:lineRule="auto" w:before="109" w:after="0"/>
        <w:ind w:left="177" w:right="0" w:firstLine="220"/>
        <w:jc w:val="left"/>
        <w:rPr>
          <w:sz w:val="22"/>
        </w:rPr>
      </w:pPr>
      <w:r>
        <w:rPr>
          <w:color w:val="231F20"/>
          <w:sz w:val="22"/>
        </w:rPr>
        <w:t>调解</w:t>
      </w:r>
    </w:p>
    <w:p>
      <w:pPr>
        <w:pStyle w:val="ListParagraph"/>
        <w:numPr>
          <w:ilvl w:val="1"/>
          <w:numId w:val="21"/>
        </w:numPr>
        <w:tabs>
          <w:tab w:pos="833" w:val="left" w:leader="none"/>
        </w:tabs>
        <w:spacing w:line="240" w:lineRule="auto" w:before="109" w:after="0"/>
        <w:ind w:left="177" w:right="0" w:firstLine="220"/>
        <w:jc w:val="left"/>
        <w:rPr>
          <w:sz w:val="22"/>
        </w:rPr>
      </w:pPr>
      <w:r>
        <w:rPr>
          <w:color w:val="231F20"/>
          <w:sz w:val="22"/>
        </w:rPr>
        <w:t>争议评审</w:t>
      </w:r>
    </w:p>
    <w:p>
      <w:pPr>
        <w:pStyle w:val="ListParagraph"/>
        <w:numPr>
          <w:ilvl w:val="1"/>
          <w:numId w:val="21"/>
        </w:numPr>
        <w:tabs>
          <w:tab w:pos="833" w:val="left" w:leader="none"/>
        </w:tabs>
        <w:spacing w:line="240" w:lineRule="auto" w:before="109" w:after="0"/>
        <w:ind w:left="177" w:right="0" w:firstLine="220"/>
        <w:jc w:val="left"/>
        <w:rPr>
          <w:sz w:val="22"/>
        </w:rPr>
      </w:pPr>
      <w:r>
        <w:rPr>
          <w:color w:val="231F20"/>
          <w:sz w:val="22"/>
        </w:rPr>
        <w:t>仲裁或诉讼</w:t>
      </w:r>
    </w:p>
    <w:p>
      <w:pPr>
        <w:pStyle w:val="ListParagraph"/>
        <w:numPr>
          <w:ilvl w:val="1"/>
          <w:numId w:val="21"/>
        </w:numPr>
        <w:tabs>
          <w:tab w:pos="833" w:val="left" w:leader="none"/>
        </w:tabs>
        <w:spacing w:line="321" w:lineRule="auto" w:before="109" w:after="0"/>
        <w:ind w:left="177" w:right="6326" w:firstLine="220"/>
        <w:jc w:val="both"/>
        <w:rPr>
          <w:sz w:val="22"/>
        </w:rPr>
      </w:pPr>
      <w:r>
        <w:rPr>
          <w:color w:val="231F20"/>
          <w:sz w:val="22"/>
        </w:rPr>
        <w:t>争议解决条款效力</w:t>
      </w:r>
      <w:r>
        <w:rPr>
          <w:rFonts w:ascii="方正黑体_GBK" w:eastAsia="方正黑体_GBK" w:hint="eastAsia"/>
          <w:color w:val="231F20"/>
          <w:sz w:val="22"/>
        </w:rPr>
        <w:t>第三部分 专用合同条件</w:t>
      </w:r>
      <w:r>
        <w:rPr>
          <w:color w:val="231F20"/>
          <w:sz w:val="22"/>
        </w:rPr>
        <w:t>第 1 条    一般约定</w:t>
      </w:r>
    </w:p>
    <w:p>
      <w:pPr>
        <w:pStyle w:val="BodyText"/>
        <w:tabs>
          <w:tab w:pos="1056" w:val="left" w:leader="none"/>
        </w:tabs>
        <w:spacing w:before="23"/>
        <w:ind w:left="177"/>
      </w:pPr>
      <w:r>
        <w:rPr>
          <w:color w:val="231F20"/>
        </w:rPr>
        <w:t>第 2 条</w:t>
        <w:tab/>
        <w:t>发包人</w:t>
      </w:r>
    </w:p>
    <w:p>
      <w:pPr>
        <w:pStyle w:val="BodyText"/>
        <w:tabs>
          <w:tab w:pos="1056" w:val="left" w:leader="none"/>
        </w:tabs>
        <w:spacing w:line="319" w:lineRule="auto"/>
        <w:ind w:left="177" w:right="6547"/>
      </w:pPr>
      <w:r>
        <w:rPr>
          <w:color w:val="231F20"/>
        </w:rPr>
        <w:t>第 3 条</w:t>
        <w:tab/>
        <w:t>发包人的管理第 4 条</w:t>
        <w:tab/>
        <w:t>承包人</w:t>
      </w:r>
    </w:p>
    <w:p>
      <w:pPr>
        <w:pStyle w:val="BodyText"/>
        <w:tabs>
          <w:tab w:pos="1056" w:val="left" w:leader="none"/>
        </w:tabs>
        <w:spacing w:before="25"/>
        <w:ind w:left="177"/>
      </w:pPr>
      <w:r>
        <w:rPr>
          <w:color w:val="231F20"/>
        </w:rPr>
        <w:t>第 5 条</w:t>
        <w:tab/>
        <w:t>设计</w:t>
      </w:r>
    </w:p>
    <w:p>
      <w:pPr>
        <w:pStyle w:val="BodyText"/>
        <w:tabs>
          <w:tab w:pos="1056" w:val="left" w:leader="none"/>
        </w:tabs>
        <w:spacing w:line="319" w:lineRule="auto" w:before="108"/>
        <w:ind w:left="177" w:right="6327"/>
      </w:pPr>
      <w:r>
        <w:rPr>
          <w:color w:val="231F20"/>
        </w:rPr>
        <w:t>第 6 条</w:t>
        <w:tab/>
        <w:t>材料、工程设备第 7 条</w:t>
        <w:tab/>
        <w:t>施工</w:t>
      </w:r>
    </w:p>
    <w:p>
      <w:pPr>
        <w:pStyle w:val="BodyText"/>
        <w:tabs>
          <w:tab w:pos="1056" w:val="left" w:leader="none"/>
        </w:tabs>
        <w:spacing w:line="319" w:lineRule="auto" w:before="25"/>
        <w:ind w:left="177" w:right="6767"/>
      </w:pPr>
      <w:r>
        <w:rPr>
          <w:color w:val="231F20"/>
        </w:rPr>
        <w:t>第 8 条</w:t>
        <w:tab/>
        <w:t>工期和进度第 9 条</w:t>
        <w:tab/>
        <w:t>竣工试验</w:t>
      </w:r>
    </w:p>
    <w:p>
      <w:pPr>
        <w:pStyle w:val="BodyText"/>
        <w:spacing w:line="319" w:lineRule="auto" w:before="25"/>
        <w:ind w:left="177" w:right="6217"/>
        <w:jc w:val="both"/>
      </w:pPr>
      <w:r>
        <w:rPr>
          <w:color w:val="231F20"/>
        </w:rPr>
        <w:t>第 10 条 验收和工程接收第 11 条 缺陷责任与保修第 12 条    竣工后试验</w:t>
      </w:r>
    </w:p>
    <w:p>
      <w:pPr>
        <w:pStyle w:val="BodyText"/>
        <w:tabs>
          <w:tab w:pos="1165" w:val="left" w:leader="none"/>
        </w:tabs>
        <w:spacing w:before="25"/>
        <w:ind w:left="177"/>
      </w:pPr>
      <w:r>
        <w:rPr>
          <w:color w:val="231F20"/>
        </w:rPr>
        <w:t>第</w:t>
      </w:r>
      <w:r>
        <w:rPr>
          <w:color w:val="231F20"/>
          <w:spacing w:val="-1"/>
        </w:rPr>
        <w:t> </w:t>
      </w:r>
      <w:r>
        <w:rPr>
          <w:color w:val="231F20"/>
        </w:rPr>
        <w:t>13</w:t>
      </w:r>
      <w:r>
        <w:rPr>
          <w:color w:val="231F20"/>
          <w:spacing w:val="-1"/>
        </w:rPr>
        <w:t> </w:t>
      </w:r>
      <w:r>
        <w:rPr>
          <w:color w:val="231F20"/>
        </w:rPr>
        <w:t>条</w:t>
        <w:tab/>
        <w:t>变更与调整</w:t>
      </w:r>
    </w:p>
    <w:p>
      <w:pPr>
        <w:pStyle w:val="BodyText"/>
        <w:tabs>
          <w:tab w:pos="1165" w:val="left" w:leader="none"/>
        </w:tabs>
        <w:spacing w:line="319" w:lineRule="auto"/>
        <w:ind w:left="177" w:right="6217"/>
      </w:pPr>
      <w:r>
        <w:rPr>
          <w:color w:val="231F20"/>
        </w:rPr>
        <w:t>第</w:t>
      </w:r>
      <w:r>
        <w:rPr>
          <w:color w:val="231F20"/>
          <w:spacing w:val="-1"/>
        </w:rPr>
        <w:t> </w:t>
      </w:r>
      <w:r>
        <w:rPr>
          <w:color w:val="231F20"/>
        </w:rPr>
        <w:t>14</w:t>
      </w:r>
      <w:r>
        <w:rPr>
          <w:color w:val="231F20"/>
          <w:spacing w:val="-1"/>
        </w:rPr>
        <w:t> </w:t>
      </w:r>
      <w:r>
        <w:rPr>
          <w:color w:val="231F20"/>
        </w:rPr>
        <w:t>条</w:t>
        <w:tab/>
        <w:t>合同价格与支付第</w:t>
      </w:r>
      <w:r>
        <w:rPr>
          <w:color w:val="231F20"/>
          <w:spacing w:val="-1"/>
        </w:rPr>
        <w:t> </w:t>
      </w:r>
      <w:r>
        <w:rPr>
          <w:color w:val="231F20"/>
        </w:rPr>
        <w:t>15</w:t>
      </w:r>
      <w:r>
        <w:rPr>
          <w:color w:val="231F20"/>
          <w:spacing w:val="-1"/>
        </w:rPr>
        <w:t> </w:t>
      </w:r>
      <w:r>
        <w:rPr>
          <w:color w:val="231F20"/>
        </w:rPr>
        <w:t>条</w:t>
        <w:tab/>
        <w:t>违约</w:t>
      </w:r>
    </w:p>
    <w:p>
      <w:pPr>
        <w:pStyle w:val="BodyText"/>
        <w:spacing w:line="319" w:lineRule="auto" w:before="26"/>
        <w:ind w:left="177" w:right="6877"/>
        <w:jc w:val="both"/>
      </w:pPr>
      <w:r>
        <w:rPr>
          <w:color w:val="231F20"/>
        </w:rPr>
        <w:t>第 16 条 合同解除第 17 条 不可抗力第 18 条   保 险</w:t>
      </w:r>
    </w:p>
    <w:p>
      <w:pPr>
        <w:spacing w:after="0" w:line="319" w:lineRule="auto"/>
        <w:jc w:val="both"/>
        <w:sectPr>
          <w:pgSz w:w="11910" w:h="16840"/>
          <w:pgMar w:header="0" w:footer="832" w:top="1580" w:bottom="1020" w:left="1680" w:right="1300"/>
        </w:sectPr>
      </w:pPr>
    </w:p>
    <w:p>
      <w:pPr>
        <w:pStyle w:val="BodyText"/>
        <w:tabs>
          <w:tab w:pos="1545" w:val="left" w:leader="none"/>
        </w:tabs>
        <w:spacing w:line="319" w:lineRule="auto" w:before="24"/>
        <w:ind w:left="557" w:right="6497"/>
      </w:pPr>
      <w:r>
        <w:rPr>
          <w:color w:val="231F20"/>
        </w:rPr>
        <w:t>第</w:t>
      </w:r>
      <w:r>
        <w:rPr>
          <w:color w:val="231F20"/>
          <w:spacing w:val="-1"/>
        </w:rPr>
        <w:t> </w:t>
      </w:r>
      <w:r>
        <w:rPr>
          <w:color w:val="231F20"/>
        </w:rPr>
        <w:t>20</w:t>
      </w:r>
      <w:r>
        <w:rPr>
          <w:color w:val="231F20"/>
          <w:spacing w:val="-1"/>
        </w:rPr>
        <w:t> </w:t>
      </w:r>
      <w:r>
        <w:rPr>
          <w:color w:val="231F20"/>
        </w:rPr>
        <w:t>条</w:t>
        <w:tab/>
        <w:t>争议解决专用合同条件附件</w:t>
      </w:r>
    </w:p>
    <w:p>
      <w:pPr>
        <w:pStyle w:val="BodyText"/>
        <w:spacing w:before="26"/>
        <w:ind w:left="997"/>
      </w:pPr>
      <w:r>
        <w:rPr>
          <w:color w:val="231F20"/>
        </w:rPr>
        <w:t>附件 1  《发包人要求》</w:t>
      </w:r>
    </w:p>
    <w:p>
      <w:pPr>
        <w:pStyle w:val="BodyText"/>
        <w:tabs>
          <w:tab w:pos="1821" w:val="left" w:leader="none"/>
        </w:tabs>
        <w:ind w:left="997"/>
      </w:pPr>
      <w:r>
        <w:rPr>
          <w:color w:val="231F20"/>
        </w:rPr>
        <w:t>附件 2</w:t>
        <w:tab/>
        <w:t>发包人供应材料设备一览表</w:t>
      </w:r>
    </w:p>
    <w:p>
      <w:pPr>
        <w:pStyle w:val="BodyText"/>
        <w:tabs>
          <w:tab w:pos="1821" w:val="left" w:leader="none"/>
        </w:tabs>
        <w:ind w:left="997"/>
      </w:pPr>
      <w:r>
        <w:rPr>
          <w:color w:val="231F20"/>
        </w:rPr>
        <w:t>附件 3</w:t>
        <w:tab/>
        <w:t>工程质量保修书</w:t>
      </w:r>
    </w:p>
    <w:p>
      <w:pPr>
        <w:pStyle w:val="BodyText"/>
        <w:tabs>
          <w:tab w:pos="1821" w:val="left" w:leader="none"/>
        </w:tabs>
        <w:ind w:left="997"/>
      </w:pPr>
      <w:r>
        <w:rPr>
          <w:color w:val="231F20"/>
        </w:rPr>
        <w:t>附件 4</w:t>
        <w:tab/>
        <w:t>主要建设工程文件目录</w:t>
      </w:r>
    </w:p>
    <w:p>
      <w:pPr>
        <w:pStyle w:val="BodyText"/>
        <w:tabs>
          <w:tab w:pos="1821" w:val="left" w:leader="none"/>
        </w:tabs>
        <w:ind w:left="997"/>
      </w:pPr>
      <w:r>
        <w:rPr>
          <w:color w:val="231F20"/>
        </w:rPr>
        <w:t>附件 5</w:t>
        <w:tab/>
        <w:t>承包人主要管理人员表</w:t>
      </w:r>
    </w:p>
    <w:p>
      <w:pPr>
        <w:pStyle w:val="BodyText"/>
        <w:tabs>
          <w:tab w:pos="1821" w:val="left" w:leader="none"/>
        </w:tabs>
        <w:ind w:left="997"/>
      </w:pPr>
      <w:r>
        <w:rPr>
          <w:color w:val="231F20"/>
        </w:rPr>
        <w:t>附件 6</w:t>
        <w:tab/>
        <w:t>价格指数权重表</w:t>
      </w:r>
    </w:p>
    <w:p>
      <w:pPr>
        <w:spacing w:after="0"/>
        <w:sectPr>
          <w:footerReference w:type="even" r:id="rId7"/>
          <w:footerReference w:type="default" r:id="rId8"/>
          <w:pgSz w:w="11910" w:h="16840"/>
          <w:pgMar w:footer="832" w:header="0" w:top="1580" w:bottom="1020" w:left="1300" w:right="1680"/>
        </w:sectPr>
      </w:pPr>
    </w:p>
    <w:p>
      <w:pPr>
        <w:pStyle w:val="Heading1"/>
        <w:tabs>
          <w:tab w:pos="4652" w:val="left" w:leader="none"/>
        </w:tabs>
        <w:spacing w:line="407" w:lineRule="exact" w:before="0"/>
        <w:ind w:left="3252"/>
        <w:jc w:val="left"/>
      </w:pPr>
      <w:r>
        <w:rPr>
          <w:color w:val="231F20"/>
        </w:rPr>
        <w:t>第一部分</w:t>
        <w:tab/>
        <w:t>合同协议书</w:t>
      </w:r>
    </w:p>
    <w:p>
      <w:pPr>
        <w:pStyle w:val="BodyText"/>
        <w:spacing w:before="14"/>
        <w:ind w:left="0"/>
        <w:rPr>
          <w:rFonts w:ascii="方正黑体_GBK"/>
          <w:sz w:val="26"/>
        </w:rPr>
      </w:pPr>
    </w:p>
    <w:p>
      <w:pPr>
        <w:pStyle w:val="BodyText"/>
        <w:tabs>
          <w:tab w:pos="9188" w:val="left" w:leader="none"/>
        </w:tabs>
        <w:spacing w:line="319" w:lineRule="auto" w:before="0"/>
        <w:ind w:left="557" w:right="105"/>
        <w:jc w:val="both"/>
      </w:pPr>
      <w:r>
        <w:rPr>
          <w:color w:val="231F20"/>
        </w:rPr>
        <w:t>发包人（全称</w:t>
      </w:r>
      <w:r>
        <w:rPr>
          <w:color w:val="231F20"/>
          <w:spacing w:val="-28"/>
        </w:rPr>
        <w:t>）：</w:t>
      </w:r>
      <w:r>
        <w:rPr>
          <w:color w:val="231F20"/>
        </w:rPr>
        <w:tab/>
        <w:t> 承包人（全称</w:t>
      </w:r>
      <w:r>
        <w:rPr>
          <w:color w:val="231F20"/>
          <w:spacing w:val="-28"/>
        </w:rPr>
        <w:t>）：</w:t>
      </w:r>
      <w:r>
        <w:rPr>
          <w:color w:val="231F20"/>
        </w:rPr>
        <w:tab/>
        <w:t> </w:t>
      </w:r>
      <w:r>
        <w:rPr>
          <w:color w:val="231F20"/>
          <w:spacing w:val="2"/>
        </w:rPr>
        <w:t>根</w:t>
      </w:r>
      <w:r>
        <w:rPr>
          <w:color w:val="231F20"/>
        </w:rPr>
        <w:t>据</w:t>
      </w:r>
      <w:r>
        <w:rPr>
          <w:color w:val="231F20"/>
          <w:spacing w:val="2"/>
        </w:rPr>
        <w:t>《中华人民共和国民法典</w:t>
      </w:r>
      <w:r>
        <w:rPr>
          <w:color w:val="231F20"/>
          <w:spacing w:val="-110"/>
        </w:rPr>
        <w:t>》、</w:t>
      </w:r>
      <w:r>
        <w:rPr>
          <w:color w:val="231F20"/>
          <w:spacing w:val="2"/>
        </w:rPr>
        <w:t>《中华人民共和国建筑法》及有关法律规</w:t>
      </w:r>
      <w:r>
        <w:rPr>
          <w:color w:val="231F20"/>
        </w:rPr>
        <w:t>定</w:t>
      </w:r>
      <w:r>
        <w:rPr>
          <w:color w:val="231F20"/>
          <w:spacing w:val="2"/>
        </w:rPr>
        <w:t>，遵循平</w:t>
      </w:r>
      <w:r>
        <w:rPr>
          <w:color w:val="231F20"/>
        </w:rPr>
        <w:t>等、</w:t>
      </w:r>
    </w:p>
    <w:p>
      <w:pPr>
        <w:pStyle w:val="BodyText"/>
        <w:tabs>
          <w:tab w:pos="5668" w:val="left" w:leader="none"/>
        </w:tabs>
        <w:spacing w:line="319" w:lineRule="auto" w:before="25"/>
        <w:ind w:right="215"/>
      </w:pPr>
      <w:r>
        <w:rPr>
          <w:color w:val="231F20"/>
        </w:rPr>
        <w:t>自愿、公平和诚实信用的原则，双方就</w:t>
      </w:r>
      <w:r>
        <w:rPr>
          <w:color w:val="231F20"/>
          <w:u w:val="single" w:color="231F20"/>
        </w:rPr>
        <w:t> </w:t>
        <w:tab/>
      </w:r>
      <w:r>
        <w:rPr>
          <w:color w:val="231F20"/>
        </w:rPr>
        <w:t>项目的工程总承包及有关事项协商一致，共同达成如下协议：</w:t>
      </w:r>
    </w:p>
    <w:p>
      <w:pPr>
        <w:pStyle w:val="BodyText"/>
        <w:spacing w:before="19"/>
        <w:rPr>
          <w:rFonts w:ascii="方正黑体_GBK" w:eastAsia="方正黑体_GBK" w:hint="eastAsia"/>
        </w:rPr>
      </w:pPr>
      <w:r>
        <w:rPr>
          <w:rFonts w:ascii="方正黑体_GBK" w:eastAsia="方正黑体_GBK" w:hint="eastAsia"/>
          <w:color w:val="231F20"/>
        </w:rPr>
        <w:t>一、工程概况</w:t>
      </w:r>
    </w:p>
    <w:p>
      <w:pPr>
        <w:pStyle w:val="ListParagraph"/>
        <w:numPr>
          <w:ilvl w:val="0"/>
          <w:numId w:val="22"/>
        </w:numPr>
        <w:tabs>
          <w:tab w:pos="775" w:val="left" w:leader="none"/>
          <w:tab w:pos="9078" w:val="left" w:leader="none"/>
        </w:tabs>
        <w:spacing w:line="240" w:lineRule="auto" w:before="122" w:after="0"/>
        <w:ind w:left="774" w:right="0" w:hanging="217"/>
        <w:jc w:val="left"/>
        <w:rPr>
          <w:sz w:val="22"/>
        </w:rPr>
      </w:pPr>
      <w:r>
        <w:rPr>
          <w:color w:val="231F20"/>
          <w:sz w:val="22"/>
        </w:rPr>
        <w:t>工程名称</w:t>
      </w:r>
      <w:r>
        <w:rPr>
          <w:color w:val="231F20"/>
          <w:sz w:val="22"/>
          <w:u w:val="single" w:color="231F20"/>
        </w:rPr>
        <w:t>：</w:t>
        <w:tab/>
      </w:r>
      <w:r>
        <w:rPr>
          <w:color w:val="231F20"/>
          <w:sz w:val="22"/>
        </w:rPr>
        <w:t>。</w:t>
      </w:r>
    </w:p>
    <w:p>
      <w:pPr>
        <w:pStyle w:val="ListParagraph"/>
        <w:numPr>
          <w:ilvl w:val="0"/>
          <w:numId w:val="22"/>
        </w:numPr>
        <w:tabs>
          <w:tab w:pos="775" w:val="left" w:leader="none"/>
          <w:tab w:pos="9078" w:val="left" w:leader="none"/>
        </w:tabs>
        <w:spacing w:line="240" w:lineRule="auto" w:before="109" w:after="0"/>
        <w:ind w:left="774" w:right="0" w:hanging="217"/>
        <w:jc w:val="left"/>
        <w:rPr>
          <w:sz w:val="22"/>
        </w:rPr>
      </w:pPr>
      <w:r>
        <w:rPr>
          <w:color w:val="231F20"/>
          <w:sz w:val="22"/>
        </w:rPr>
        <w:t>工程地点</w:t>
      </w:r>
      <w:r>
        <w:rPr>
          <w:color w:val="231F20"/>
          <w:sz w:val="22"/>
          <w:u w:val="single" w:color="231F20"/>
        </w:rPr>
        <w:t>：</w:t>
        <w:tab/>
      </w:r>
      <w:r>
        <w:rPr>
          <w:color w:val="231F20"/>
          <w:sz w:val="22"/>
        </w:rPr>
        <w:t>。</w:t>
      </w:r>
    </w:p>
    <w:p>
      <w:pPr>
        <w:pStyle w:val="ListParagraph"/>
        <w:numPr>
          <w:ilvl w:val="0"/>
          <w:numId w:val="22"/>
        </w:numPr>
        <w:tabs>
          <w:tab w:pos="775" w:val="left" w:leader="none"/>
          <w:tab w:pos="9078" w:val="left" w:leader="none"/>
        </w:tabs>
        <w:spacing w:line="240" w:lineRule="auto" w:before="109" w:after="0"/>
        <w:ind w:left="774" w:right="0" w:hanging="217"/>
        <w:jc w:val="left"/>
        <w:rPr>
          <w:sz w:val="22"/>
        </w:rPr>
      </w:pPr>
      <w:r>
        <w:rPr>
          <w:color w:val="231F20"/>
          <w:sz w:val="22"/>
        </w:rPr>
        <w:t>工程审批、核准或备案文号</w:t>
      </w:r>
      <w:r>
        <w:rPr>
          <w:color w:val="231F20"/>
          <w:sz w:val="22"/>
          <w:u w:val="single" w:color="231F20"/>
        </w:rPr>
        <w:t>：</w:t>
        <w:tab/>
      </w:r>
      <w:r>
        <w:rPr>
          <w:color w:val="231F20"/>
          <w:sz w:val="22"/>
        </w:rPr>
        <w:t>。</w:t>
      </w:r>
    </w:p>
    <w:p>
      <w:pPr>
        <w:pStyle w:val="ListParagraph"/>
        <w:numPr>
          <w:ilvl w:val="0"/>
          <w:numId w:val="22"/>
        </w:numPr>
        <w:tabs>
          <w:tab w:pos="775" w:val="left" w:leader="none"/>
          <w:tab w:pos="9078" w:val="left" w:leader="none"/>
        </w:tabs>
        <w:spacing w:line="240" w:lineRule="auto" w:before="109" w:after="0"/>
        <w:ind w:left="774" w:right="0" w:hanging="217"/>
        <w:jc w:val="left"/>
        <w:rPr>
          <w:sz w:val="22"/>
        </w:rPr>
      </w:pPr>
      <w:r>
        <w:rPr>
          <w:color w:val="231F20"/>
          <w:sz w:val="22"/>
        </w:rPr>
        <w:t>资金来源</w:t>
      </w:r>
      <w:r>
        <w:rPr>
          <w:color w:val="231F20"/>
          <w:sz w:val="22"/>
          <w:u w:val="single" w:color="231F20"/>
        </w:rPr>
        <w:t>：</w:t>
        <w:tab/>
      </w:r>
      <w:r>
        <w:rPr>
          <w:color w:val="231F20"/>
          <w:sz w:val="22"/>
        </w:rPr>
        <w:t>。</w:t>
      </w:r>
    </w:p>
    <w:p>
      <w:pPr>
        <w:pStyle w:val="ListParagraph"/>
        <w:numPr>
          <w:ilvl w:val="0"/>
          <w:numId w:val="22"/>
        </w:numPr>
        <w:tabs>
          <w:tab w:pos="775" w:val="left" w:leader="none"/>
          <w:tab w:pos="9078" w:val="left" w:leader="none"/>
        </w:tabs>
        <w:spacing w:line="240" w:lineRule="auto" w:before="109" w:after="0"/>
        <w:ind w:left="774" w:right="0" w:hanging="217"/>
        <w:jc w:val="left"/>
        <w:rPr>
          <w:sz w:val="22"/>
        </w:rPr>
      </w:pPr>
      <w:r>
        <w:rPr>
          <w:color w:val="231F20"/>
          <w:sz w:val="22"/>
        </w:rPr>
        <w:t>工程内容及规模</w:t>
      </w:r>
      <w:r>
        <w:rPr>
          <w:color w:val="231F20"/>
          <w:sz w:val="22"/>
          <w:u w:val="single" w:color="231F20"/>
        </w:rPr>
        <w:t>：</w:t>
        <w:tab/>
      </w:r>
      <w:r>
        <w:rPr>
          <w:color w:val="231F20"/>
          <w:sz w:val="22"/>
        </w:rPr>
        <w:t>。</w:t>
      </w:r>
    </w:p>
    <w:p>
      <w:pPr>
        <w:pStyle w:val="ListParagraph"/>
        <w:numPr>
          <w:ilvl w:val="0"/>
          <w:numId w:val="22"/>
        </w:numPr>
        <w:tabs>
          <w:tab w:pos="775" w:val="left" w:leader="none"/>
          <w:tab w:pos="9078" w:val="left" w:leader="none"/>
        </w:tabs>
        <w:spacing w:line="240" w:lineRule="auto" w:before="109" w:after="0"/>
        <w:ind w:left="774" w:right="0" w:hanging="217"/>
        <w:jc w:val="left"/>
        <w:rPr>
          <w:sz w:val="22"/>
        </w:rPr>
      </w:pPr>
      <w:r>
        <w:rPr>
          <w:color w:val="231F20"/>
          <w:sz w:val="22"/>
        </w:rPr>
        <w:t>工程承包范围</w:t>
      </w:r>
      <w:r>
        <w:rPr>
          <w:color w:val="231F20"/>
          <w:sz w:val="22"/>
          <w:u w:val="single" w:color="231F20"/>
        </w:rPr>
        <w:t>：</w:t>
        <w:tab/>
      </w:r>
      <w:r>
        <w:rPr>
          <w:color w:val="231F20"/>
          <w:sz w:val="22"/>
        </w:rPr>
        <w:t>。</w:t>
      </w:r>
    </w:p>
    <w:p>
      <w:pPr>
        <w:pStyle w:val="BodyText"/>
        <w:spacing w:before="102"/>
        <w:rPr>
          <w:rFonts w:ascii="方正黑体_GBK" w:eastAsia="方正黑体_GBK" w:hint="eastAsia"/>
        </w:rPr>
      </w:pPr>
      <w:r>
        <w:rPr>
          <w:rFonts w:ascii="方正黑体_GBK" w:eastAsia="方正黑体_GBK" w:hint="eastAsia"/>
          <w:color w:val="231F20"/>
        </w:rPr>
        <w:t>二、合同工期</w:t>
      </w:r>
    </w:p>
    <w:p>
      <w:pPr>
        <w:pStyle w:val="BodyText"/>
        <w:tabs>
          <w:tab w:pos="3362" w:val="left" w:leader="none"/>
          <w:tab w:pos="4022" w:val="left" w:leader="none"/>
          <w:tab w:pos="4682" w:val="left" w:leader="none"/>
        </w:tabs>
        <w:spacing w:before="121"/>
        <w:ind w:left="557"/>
      </w:pPr>
      <w:r>
        <w:rPr>
          <w:color w:val="231F20"/>
        </w:rPr>
        <w:t>计划开始工作日期</w:t>
      </w:r>
      <w:r>
        <w:rPr>
          <w:color w:val="231F20"/>
          <w:u w:val="single" w:color="231F20"/>
        </w:rPr>
        <w:t>：</w:t>
        <w:tab/>
      </w:r>
      <w:r>
        <w:rPr>
          <w:color w:val="231F20"/>
        </w:rPr>
        <w:t>年</w:t>
      </w:r>
      <w:r>
        <w:rPr>
          <w:color w:val="231F20"/>
          <w:u w:val="single" w:color="231F20"/>
        </w:rPr>
        <w:t> </w:t>
        <w:tab/>
      </w:r>
      <w:r>
        <w:rPr>
          <w:color w:val="231F20"/>
        </w:rPr>
        <w:t>月</w:t>
      </w:r>
      <w:r>
        <w:rPr>
          <w:color w:val="231F20"/>
          <w:u w:val="single" w:color="231F20"/>
        </w:rPr>
        <w:t> </w:t>
        <w:tab/>
      </w:r>
      <w:r>
        <w:rPr>
          <w:color w:val="231F20"/>
        </w:rPr>
        <w:t>日。</w:t>
      </w:r>
    </w:p>
    <w:p>
      <w:pPr>
        <w:pStyle w:val="BodyText"/>
        <w:tabs>
          <w:tab w:pos="2922" w:val="left" w:leader="none"/>
          <w:tab w:pos="3582" w:val="left" w:leader="none"/>
          <w:tab w:pos="3802" w:val="left" w:leader="none"/>
          <w:tab w:pos="4242" w:val="left" w:leader="none"/>
          <w:tab w:pos="4462" w:val="left" w:leader="none"/>
          <w:tab w:pos="5122" w:val="left" w:leader="none"/>
        </w:tabs>
        <w:spacing w:line="319" w:lineRule="auto"/>
        <w:ind w:left="557" w:right="3841"/>
      </w:pPr>
      <w:r>
        <w:rPr>
          <w:color w:val="231F20"/>
        </w:rPr>
        <w:t>计划开始现场施工日期</w:t>
      </w:r>
      <w:r>
        <w:rPr>
          <w:color w:val="231F20"/>
          <w:u w:val="single" w:color="231F20"/>
        </w:rPr>
        <w:t>：</w:t>
        <w:tab/>
        <w:tab/>
      </w:r>
      <w:r>
        <w:rPr>
          <w:color w:val="231F20"/>
        </w:rPr>
        <w:t>年</w:t>
      </w:r>
      <w:r>
        <w:rPr>
          <w:color w:val="231F20"/>
          <w:u w:val="single" w:color="231F20"/>
        </w:rPr>
        <w:t> </w:t>
        <w:tab/>
        <w:tab/>
      </w:r>
      <w:r>
        <w:rPr>
          <w:color w:val="231F20"/>
        </w:rPr>
        <w:t>月</w:t>
      </w:r>
      <w:r>
        <w:rPr>
          <w:color w:val="231F20"/>
          <w:u w:val="single" w:color="231F20"/>
        </w:rPr>
        <w:t> </w:t>
        <w:tab/>
      </w:r>
      <w:r>
        <w:rPr>
          <w:color w:val="231F20"/>
        </w:rPr>
        <w:t>日。计划竣工日期</w:t>
      </w:r>
      <w:r>
        <w:rPr>
          <w:color w:val="231F20"/>
          <w:u w:val="single" w:color="231F20"/>
        </w:rPr>
        <w:t>：</w:t>
        <w:tab/>
      </w:r>
      <w:r>
        <w:rPr>
          <w:color w:val="231F20"/>
        </w:rPr>
        <w:t>年</w:t>
      </w:r>
      <w:r>
        <w:rPr>
          <w:color w:val="231F20"/>
          <w:u w:val="single" w:color="231F20"/>
        </w:rPr>
        <w:t> </w:t>
        <w:tab/>
      </w:r>
      <w:r>
        <w:rPr>
          <w:color w:val="231F20"/>
        </w:rPr>
        <w:t>月</w:t>
      </w:r>
      <w:r>
        <w:rPr>
          <w:color w:val="231F20"/>
          <w:u w:val="single" w:color="231F20"/>
        </w:rPr>
        <w:t> </w:t>
        <w:tab/>
      </w:r>
      <w:r>
        <w:rPr>
          <w:color w:val="231F20"/>
        </w:rPr>
        <w:t>日。</w:t>
      </w:r>
    </w:p>
    <w:p>
      <w:pPr>
        <w:pStyle w:val="BodyText"/>
        <w:tabs>
          <w:tab w:pos="3165" w:val="left" w:leader="none"/>
        </w:tabs>
        <w:spacing w:line="319" w:lineRule="auto" w:before="26"/>
        <w:ind w:right="215" w:firstLine="440"/>
      </w:pPr>
      <w:r>
        <w:rPr>
          <w:color w:val="231F20"/>
        </w:rPr>
        <w:t>工期总日历天数：</w:t>
        <w:tab/>
        <w:t>天，工期总日历天数与根据前述计划日期计算的工期天数不一  致的，以工期总日历天数为准。</w:t>
      </w:r>
    </w:p>
    <w:p>
      <w:pPr>
        <w:pStyle w:val="BodyText"/>
        <w:spacing w:before="19"/>
        <w:rPr>
          <w:rFonts w:ascii="方正黑体_GBK" w:eastAsia="方正黑体_GBK" w:hint="eastAsia"/>
        </w:rPr>
      </w:pPr>
      <w:r>
        <w:rPr>
          <w:rFonts w:ascii="方正黑体_GBK" w:eastAsia="方正黑体_GBK" w:hint="eastAsia"/>
          <w:color w:val="231F20"/>
        </w:rPr>
        <w:t>三、质量标准</w:t>
      </w:r>
    </w:p>
    <w:p>
      <w:pPr>
        <w:pStyle w:val="BodyText"/>
        <w:tabs>
          <w:tab w:pos="9078" w:val="left" w:leader="none"/>
        </w:tabs>
        <w:spacing w:before="121"/>
        <w:ind w:left="557"/>
      </w:pPr>
      <w:r>
        <w:rPr>
          <w:color w:val="231F20"/>
        </w:rPr>
        <w:t>工程质量标准</w:t>
      </w:r>
      <w:r>
        <w:rPr>
          <w:color w:val="231F20"/>
          <w:u w:val="single" w:color="231F20"/>
        </w:rPr>
        <w:t>：</w:t>
        <w:tab/>
      </w:r>
      <w:r>
        <w:rPr>
          <w:color w:val="231F20"/>
        </w:rPr>
        <w:t>。</w:t>
      </w:r>
    </w:p>
    <w:p>
      <w:pPr>
        <w:pStyle w:val="BodyText"/>
        <w:spacing w:before="102"/>
        <w:rPr>
          <w:rFonts w:ascii="方正黑体_GBK" w:eastAsia="方正黑体_GBK" w:hint="eastAsia"/>
        </w:rPr>
      </w:pPr>
      <w:r>
        <w:rPr>
          <w:rFonts w:ascii="方正黑体_GBK" w:eastAsia="方正黑体_GBK" w:hint="eastAsia"/>
          <w:color w:val="231F20"/>
        </w:rPr>
        <w:t>四、签约合同价与合同价格形式</w:t>
      </w:r>
    </w:p>
    <w:p>
      <w:pPr>
        <w:pStyle w:val="ListParagraph"/>
        <w:numPr>
          <w:ilvl w:val="0"/>
          <w:numId w:val="23"/>
        </w:numPr>
        <w:tabs>
          <w:tab w:pos="775" w:val="left" w:leader="none"/>
        </w:tabs>
        <w:spacing w:line="240" w:lineRule="auto" w:before="121" w:after="0"/>
        <w:ind w:left="774" w:right="0" w:hanging="217"/>
        <w:jc w:val="left"/>
        <w:rPr>
          <w:sz w:val="22"/>
        </w:rPr>
      </w:pPr>
      <w:r>
        <w:rPr>
          <w:color w:val="231F20"/>
          <w:sz w:val="22"/>
        </w:rPr>
        <w:t>签约合同价（含税）为：</w:t>
      </w:r>
    </w:p>
    <w:p>
      <w:pPr>
        <w:pStyle w:val="BodyText"/>
        <w:tabs>
          <w:tab w:pos="5837" w:val="left" w:leader="none"/>
          <w:tab w:pos="7597" w:val="left" w:leader="none"/>
        </w:tabs>
        <w:spacing w:line="319" w:lineRule="auto"/>
        <w:ind w:left="557" w:right="1311"/>
      </w:pPr>
      <w:r>
        <w:rPr>
          <w:color w:val="231F20"/>
        </w:rPr>
        <w:t>人民币（大写</w:t>
      </w:r>
      <w:r>
        <w:rPr>
          <w:color w:val="231F20"/>
          <w:u w:val="single" w:color="231F20"/>
        </w:rPr>
        <w:t>）</w:t>
        <w:tab/>
        <w:t>（</w:t>
      </w:r>
      <w:r>
        <w:rPr>
          <w:color w:val="231F20"/>
        </w:rPr>
        <w:t>￥</w:t>
      </w:r>
      <w:r>
        <w:rPr>
          <w:color w:val="231F20"/>
          <w:u w:val="single" w:color="231F20"/>
        </w:rPr>
        <w:t> </w:t>
        <w:tab/>
      </w:r>
      <w:r>
        <w:rPr>
          <w:color w:val="231F20"/>
        </w:rPr>
        <w:t>元</w:t>
      </w:r>
      <w:r>
        <w:rPr>
          <w:color w:val="231F20"/>
          <w:spacing w:val="-83"/>
        </w:rPr>
        <w:t>）。</w:t>
      </w:r>
      <w:r>
        <w:rPr>
          <w:color w:val="231F20"/>
        </w:rPr>
        <w:t>具体构成详见价格清单。其中：</w:t>
      </w:r>
    </w:p>
    <w:p>
      <w:pPr>
        <w:pStyle w:val="BodyText"/>
        <w:spacing w:before="26"/>
        <w:ind w:left="447"/>
      </w:pPr>
      <w:r>
        <w:rPr>
          <w:color w:val="231F20"/>
        </w:rPr>
        <w:t>（ 1）设计费（含税）：</w:t>
      </w:r>
    </w:p>
    <w:p>
      <w:pPr>
        <w:pStyle w:val="BodyText"/>
        <w:tabs>
          <w:tab w:pos="5177" w:val="left" w:leader="none"/>
          <w:tab w:pos="5552" w:val="left" w:leader="none"/>
          <w:tab w:pos="6431" w:val="left" w:leader="none"/>
          <w:tab w:pos="7194" w:val="left" w:leader="none"/>
          <w:tab w:pos="8895" w:val="left" w:leader="none"/>
        </w:tabs>
        <w:spacing w:line="319" w:lineRule="auto"/>
        <w:ind w:right="105" w:firstLine="440"/>
      </w:pPr>
      <w:r>
        <w:rPr>
          <w:color w:val="231F20"/>
        </w:rPr>
        <w:t>人民币（大写</w:t>
      </w:r>
      <w:r>
        <w:rPr>
          <w:color w:val="231F20"/>
          <w:u w:val="single" w:color="231F20"/>
        </w:rPr>
        <w:t>）</w:t>
        <w:tab/>
        <w:t>（</w:t>
      </w:r>
      <w:r>
        <w:rPr>
          <w:color w:val="231F20"/>
        </w:rPr>
        <w:t>￥</w:t>
      </w:r>
      <w:r>
        <w:rPr>
          <w:color w:val="231F20"/>
          <w:u w:val="single" w:color="231F20"/>
        </w:rPr>
        <w:t> </w:t>
        <w:tab/>
      </w:r>
      <w:r>
        <w:rPr>
          <w:color w:val="231F20"/>
        </w:rPr>
        <w:t>元</w:t>
      </w:r>
      <w:r>
        <w:rPr>
          <w:color w:val="231F20"/>
          <w:spacing w:val="-55"/>
        </w:rPr>
        <w:t>）；</w:t>
      </w:r>
      <w:r>
        <w:rPr>
          <w:color w:val="231F20"/>
        </w:rPr>
        <w:t>适用税率</w:t>
      </w:r>
      <w:r>
        <w:rPr>
          <w:color w:val="231F20"/>
          <w:u w:val="single" w:color="231F20"/>
        </w:rPr>
        <w:t>：</w:t>
        <w:tab/>
      </w:r>
      <w:r>
        <w:rPr>
          <w:color w:val="231F20"/>
        </w:rPr>
        <w:t>%， 税金为人民币（大写</w:t>
      </w:r>
      <w:r>
        <w:rPr>
          <w:color w:val="231F20"/>
          <w:u w:val="single" w:color="231F20"/>
        </w:rPr>
        <w:t>）</w:t>
        <w:tab/>
        <w:tab/>
        <w:t>（</w:t>
      </w:r>
      <w:r>
        <w:rPr>
          <w:color w:val="231F20"/>
        </w:rPr>
        <w:t>￥</w:t>
      </w:r>
      <w:r>
        <w:rPr>
          <w:color w:val="231F20"/>
          <w:u w:val="single" w:color="231F20"/>
        </w:rPr>
        <w:t> </w:t>
        <w:tab/>
        <w:tab/>
      </w:r>
      <w:r>
        <w:rPr>
          <w:color w:val="231F20"/>
        </w:rPr>
        <w:t>元</w:t>
      </w:r>
      <w:r>
        <w:rPr>
          <w:color w:val="231F20"/>
          <w:spacing w:val="-28"/>
        </w:rPr>
        <w:t>）；</w:t>
      </w:r>
    </w:p>
    <w:p>
      <w:pPr>
        <w:pStyle w:val="BodyText"/>
        <w:spacing w:before="26"/>
        <w:ind w:left="447"/>
      </w:pPr>
      <w:r>
        <w:rPr>
          <w:color w:val="231F20"/>
        </w:rPr>
        <w:t>（ 2）设备购置费（含税）：</w:t>
      </w:r>
    </w:p>
    <w:p>
      <w:pPr>
        <w:pStyle w:val="BodyText"/>
        <w:tabs>
          <w:tab w:pos="5059" w:val="left" w:leader="none"/>
          <w:tab w:pos="5969" w:val="left" w:leader="none"/>
          <w:tab w:pos="8565" w:val="left" w:leader="none"/>
        </w:tabs>
        <w:ind w:left="557"/>
      </w:pPr>
      <w:r>
        <w:rPr>
          <w:color w:val="231F20"/>
        </w:rPr>
        <w:t>人民币（大写</w:t>
      </w:r>
      <w:r>
        <w:rPr>
          <w:color w:val="231F20"/>
          <w:u w:val="single" w:color="231F20"/>
        </w:rPr>
        <w:t>）</w:t>
        <w:tab/>
        <w:t>（</w:t>
      </w:r>
      <w:r>
        <w:rPr>
          <w:color w:val="231F20"/>
        </w:rPr>
        <w:t>￥</w:t>
      </w:r>
      <w:r>
        <w:rPr>
          <w:color w:val="231F20"/>
          <w:u w:val="single" w:color="231F20"/>
        </w:rPr>
        <w:t> </w:t>
        <w:tab/>
      </w:r>
      <w:r>
        <w:rPr>
          <w:color w:val="231F20"/>
        </w:rPr>
        <w:t>元</w:t>
      </w:r>
      <w:r>
        <w:rPr>
          <w:color w:val="231F20"/>
          <w:spacing w:val="-55"/>
        </w:rPr>
        <w:t>）；</w:t>
      </w:r>
      <w:r>
        <w:rPr>
          <w:color w:val="231F20"/>
        </w:rPr>
        <w:t>适用税率</w:t>
      </w:r>
      <w:r>
        <w:rPr>
          <w:color w:val="231F20"/>
          <w:u w:val="single" w:color="231F20"/>
        </w:rPr>
        <w:t>：</w:t>
        <w:tab/>
      </w:r>
      <w:r>
        <w:rPr>
          <w:color w:val="231F20"/>
          <w:spacing w:val="-1"/>
        </w:rPr>
        <w:t>%，税</w:t>
      </w:r>
    </w:p>
    <w:p>
      <w:pPr>
        <w:spacing w:after="0"/>
        <w:sectPr>
          <w:pgSz w:w="11910" w:h="16840"/>
          <w:pgMar w:header="0" w:footer="832" w:top="1580" w:bottom="1020" w:left="1300" w:right="1200"/>
        </w:sectPr>
      </w:pPr>
    </w:p>
    <w:p>
      <w:pPr>
        <w:pStyle w:val="BodyText"/>
        <w:tabs>
          <w:tab w:pos="5498" w:val="left" w:leader="none"/>
          <w:tab w:pos="7251" w:val="left" w:leader="none"/>
        </w:tabs>
        <w:spacing w:before="24"/>
      </w:pPr>
      <w:r>
        <w:rPr>
          <w:color w:val="231F20"/>
        </w:rPr>
        <w:t>金为人民币（大写</w:t>
      </w:r>
      <w:r>
        <w:rPr>
          <w:color w:val="231F20"/>
          <w:u w:val="single" w:color="231F20"/>
        </w:rPr>
        <w:t>）</w:t>
        <w:tab/>
        <w:t>（</w:t>
      </w:r>
      <w:r>
        <w:rPr>
          <w:color w:val="231F20"/>
        </w:rPr>
        <w:t>￥</w:t>
      </w:r>
      <w:r>
        <w:rPr>
          <w:color w:val="231F20"/>
          <w:u w:val="single" w:color="231F20"/>
        </w:rPr>
        <w:t> </w:t>
        <w:tab/>
      </w:r>
      <w:r>
        <w:rPr>
          <w:color w:val="231F20"/>
        </w:rPr>
        <w:t>元</w:t>
      </w:r>
      <w:r>
        <w:rPr>
          <w:color w:val="231F20"/>
          <w:spacing w:val="-28"/>
        </w:rPr>
        <w:t>）；</w:t>
      </w:r>
    </w:p>
    <w:p>
      <w:pPr>
        <w:pStyle w:val="BodyText"/>
        <w:ind w:left="447"/>
      </w:pPr>
      <w:r>
        <w:rPr>
          <w:color w:val="231F20"/>
        </w:rPr>
        <w:t>（ 3）建筑安装工程费（含税）：</w:t>
      </w:r>
    </w:p>
    <w:p>
      <w:pPr>
        <w:pStyle w:val="BodyText"/>
        <w:tabs>
          <w:tab w:pos="4835" w:val="left" w:leader="none"/>
          <w:tab w:pos="4877" w:val="left" w:leader="none"/>
          <w:tab w:pos="6230" w:val="left" w:leader="none"/>
          <w:tab w:pos="6368" w:val="left" w:leader="none"/>
          <w:tab w:pos="8565" w:val="left" w:leader="none"/>
        </w:tabs>
        <w:spacing w:line="319" w:lineRule="auto"/>
        <w:ind w:right="215" w:firstLine="440"/>
      </w:pPr>
      <w:r>
        <w:rPr>
          <w:color w:val="231F20"/>
        </w:rPr>
        <w:t>人民币（大写</w:t>
      </w:r>
      <w:r>
        <w:rPr>
          <w:color w:val="231F20"/>
          <w:u w:val="single" w:color="231F20"/>
        </w:rPr>
        <w:t>）</w:t>
        <w:tab/>
        <w:tab/>
        <w:t>（</w:t>
      </w:r>
      <w:r>
        <w:rPr>
          <w:color w:val="231F20"/>
        </w:rPr>
        <w:t>￥</w:t>
      </w:r>
      <w:r>
        <w:rPr>
          <w:color w:val="231F20"/>
          <w:u w:val="single" w:color="231F20"/>
        </w:rPr>
        <w:t> </w:t>
        <w:tab/>
      </w:r>
      <w:r>
        <w:rPr>
          <w:color w:val="231F20"/>
        </w:rPr>
        <w:t>元</w:t>
      </w:r>
      <w:r>
        <w:rPr>
          <w:color w:val="231F20"/>
          <w:spacing w:val="-55"/>
        </w:rPr>
        <w:t>）；</w:t>
      </w:r>
      <w:r>
        <w:rPr>
          <w:color w:val="231F20"/>
        </w:rPr>
        <w:t>适用税率</w:t>
      </w:r>
      <w:r>
        <w:rPr>
          <w:color w:val="231F20"/>
          <w:u w:val="single" w:color="231F20"/>
        </w:rPr>
        <w:t>：</w:t>
        <w:tab/>
      </w:r>
      <w:r>
        <w:rPr>
          <w:color w:val="231F20"/>
          <w:spacing w:val="-1"/>
        </w:rPr>
        <w:t>%，税</w:t>
      </w:r>
      <w:r>
        <w:rPr>
          <w:color w:val="231F20"/>
        </w:rPr>
        <w:t>金为人民币（大写</w:t>
      </w:r>
      <w:r>
        <w:rPr>
          <w:color w:val="231F20"/>
          <w:u w:val="single" w:color="231F20"/>
        </w:rPr>
        <w:t>）</w:t>
        <w:tab/>
        <w:t>（</w:t>
      </w:r>
      <w:r>
        <w:rPr>
          <w:color w:val="231F20"/>
        </w:rPr>
        <w:t>￥</w:t>
      </w:r>
      <w:r>
        <w:rPr>
          <w:color w:val="231F20"/>
          <w:u w:val="single" w:color="231F20"/>
        </w:rPr>
        <w:t> </w:t>
        <w:tab/>
        <w:tab/>
      </w:r>
      <w:r>
        <w:rPr>
          <w:color w:val="231F20"/>
        </w:rPr>
        <w:t>元</w:t>
      </w:r>
      <w:r>
        <w:rPr>
          <w:color w:val="231F20"/>
          <w:spacing w:val="-28"/>
        </w:rPr>
        <w:t>）；</w:t>
      </w:r>
    </w:p>
    <w:p>
      <w:pPr>
        <w:pStyle w:val="BodyText"/>
        <w:spacing w:before="26"/>
        <w:ind w:left="447"/>
      </w:pPr>
      <w:r>
        <w:rPr>
          <w:color w:val="231F20"/>
        </w:rPr>
        <w:t>（ 4）暂估价（含税）：</w:t>
      </w:r>
    </w:p>
    <w:p>
      <w:pPr>
        <w:pStyle w:val="BodyText"/>
        <w:tabs>
          <w:tab w:pos="6057" w:val="left" w:leader="none"/>
          <w:tab w:pos="7146" w:val="left" w:leader="none"/>
        </w:tabs>
        <w:ind w:left="557"/>
      </w:pPr>
      <w:r>
        <w:rPr>
          <w:color w:val="231F20"/>
        </w:rPr>
        <w:t>人民币（大写</w:t>
      </w:r>
      <w:r>
        <w:rPr>
          <w:color w:val="231F20"/>
          <w:u w:val="single" w:color="231F20"/>
        </w:rPr>
        <w:t>）</w:t>
        <w:tab/>
        <w:t>（</w:t>
      </w:r>
      <w:r>
        <w:rPr>
          <w:color w:val="231F20"/>
        </w:rPr>
        <w:t>￥</w:t>
      </w:r>
      <w:r>
        <w:rPr>
          <w:color w:val="231F20"/>
          <w:u w:val="single" w:color="231F20"/>
        </w:rPr>
        <w:t> </w:t>
        <w:tab/>
      </w:r>
      <w:r>
        <w:rPr>
          <w:color w:val="231F20"/>
        </w:rPr>
        <w:t>元</w:t>
      </w:r>
      <w:r>
        <w:rPr>
          <w:color w:val="231F20"/>
          <w:spacing w:val="-83"/>
        </w:rPr>
        <w:t>）。</w:t>
      </w:r>
    </w:p>
    <w:p>
      <w:pPr>
        <w:pStyle w:val="BodyText"/>
        <w:ind w:left="447"/>
      </w:pPr>
      <w:r>
        <w:rPr>
          <w:color w:val="231F20"/>
        </w:rPr>
        <w:t>（ 5）暂列金额（含税）：</w:t>
      </w:r>
    </w:p>
    <w:p>
      <w:pPr>
        <w:pStyle w:val="BodyText"/>
        <w:tabs>
          <w:tab w:pos="6097" w:val="left" w:leader="none"/>
          <w:tab w:pos="7248" w:val="left" w:leader="none"/>
        </w:tabs>
        <w:ind w:left="557"/>
      </w:pPr>
      <w:r>
        <w:rPr>
          <w:color w:val="231F20"/>
        </w:rPr>
        <w:t>人民币（大写</w:t>
      </w:r>
      <w:r>
        <w:rPr>
          <w:color w:val="231F20"/>
          <w:u w:val="single" w:color="231F20"/>
        </w:rPr>
        <w:t>）</w:t>
        <w:tab/>
        <w:t>（</w:t>
      </w:r>
      <w:r>
        <w:rPr>
          <w:color w:val="231F20"/>
        </w:rPr>
        <w:t>￥</w:t>
      </w:r>
      <w:r>
        <w:rPr>
          <w:color w:val="231F20"/>
          <w:u w:val="single" w:color="231F20"/>
        </w:rPr>
        <w:t> </w:t>
        <w:tab/>
      </w:r>
      <w:r>
        <w:rPr>
          <w:color w:val="231F20"/>
        </w:rPr>
        <w:t>元</w:t>
      </w:r>
      <w:r>
        <w:rPr>
          <w:color w:val="231F20"/>
          <w:spacing w:val="-83"/>
        </w:rPr>
        <w:t>）。</w:t>
      </w:r>
    </w:p>
    <w:p>
      <w:pPr>
        <w:pStyle w:val="BodyText"/>
        <w:ind w:left="447"/>
      </w:pPr>
      <w:r>
        <w:rPr>
          <w:color w:val="231F20"/>
        </w:rPr>
        <w:t>（ 6）双方约定的其他费用（含税）：</w:t>
      </w:r>
    </w:p>
    <w:p>
      <w:pPr>
        <w:pStyle w:val="BodyText"/>
        <w:tabs>
          <w:tab w:pos="4582" w:val="left" w:leader="none"/>
          <w:tab w:pos="5217" w:val="left" w:leader="none"/>
          <w:tab w:pos="6053" w:val="left" w:leader="none"/>
          <w:tab w:pos="6967" w:val="left" w:leader="none"/>
          <w:tab w:pos="8345" w:val="left" w:leader="none"/>
        </w:tabs>
        <w:spacing w:line="319" w:lineRule="auto"/>
        <w:ind w:right="215" w:firstLine="440"/>
      </w:pPr>
      <w:r>
        <w:rPr>
          <w:color w:val="231F20"/>
        </w:rPr>
        <w:t>人民币（大写</w:t>
      </w:r>
      <w:r>
        <w:rPr>
          <w:color w:val="231F20"/>
          <w:u w:val="single" w:color="231F20"/>
        </w:rPr>
        <w:t>）</w:t>
        <w:tab/>
        <w:t>（</w:t>
      </w:r>
      <w:r>
        <w:rPr>
          <w:color w:val="231F20"/>
        </w:rPr>
        <w:t>￥</w:t>
      </w:r>
      <w:r>
        <w:rPr>
          <w:color w:val="231F20"/>
          <w:u w:val="single" w:color="231F20"/>
        </w:rPr>
        <w:t> </w:t>
        <w:tab/>
        <w:tab/>
      </w:r>
      <w:r>
        <w:rPr>
          <w:color w:val="231F20"/>
        </w:rPr>
        <w:t>元</w:t>
      </w:r>
      <w:r>
        <w:rPr>
          <w:color w:val="231F20"/>
          <w:spacing w:val="-55"/>
        </w:rPr>
        <w:t>）；</w:t>
      </w:r>
      <w:r>
        <w:rPr>
          <w:color w:val="231F20"/>
        </w:rPr>
        <w:t>适用税率</w:t>
      </w:r>
      <w:r>
        <w:rPr>
          <w:color w:val="231F20"/>
          <w:u w:val="single" w:color="231F20"/>
        </w:rPr>
        <w:t>：</w:t>
        <w:tab/>
      </w:r>
      <w:r>
        <w:rPr>
          <w:color w:val="231F20"/>
          <w:spacing w:val="-1"/>
        </w:rPr>
        <w:t>%，税金</w:t>
      </w:r>
      <w:r>
        <w:rPr>
          <w:color w:val="231F20"/>
        </w:rPr>
        <w:t>为人民币（大写</w:t>
      </w:r>
      <w:r>
        <w:rPr>
          <w:color w:val="231F20"/>
          <w:u w:val="single" w:color="231F20"/>
        </w:rPr>
        <w:t>）</w:t>
        <w:tab/>
        <w:tab/>
        <w:t>（</w:t>
      </w:r>
      <w:r>
        <w:rPr>
          <w:color w:val="231F20"/>
        </w:rPr>
        <w:t>￥</w:t>
      </w:r>
      <w:r>
        <w:rPr>
          <w:color w:val="231F20"/>
          <w:u w:val="single" w:color="231F20"/>
        </w:rPr>
        <w:t> </w:t>
        <w:tab/>
        <w:tab/>
      </w:r>
      <w:r>
        <w:rPr>
          <w:color w:val="231F20"/>
        </w:rPr>
        <w:t>元</w:t>
      </w:r>
      <w:r>
        <w:rPr>
          <w:color w:val="231F20"/>
          <w:spacing w:val="-83"/>
        </w:rPr>
        <w:t>）。</w:t>
      </w:r>
    </w:p>
    <w:p>
      <w:pPr>
        <w:pStyle w:val="ListParagraph"/>
        <w:numPr>
          <w:ilvl w:val="0"/>
          <w:numId w:val="23"/>
        </w:numPr>
        <w:tabs>
          <w:tab w:pos="775" w:val="left" w:leader="none"/>
        </w:tabs>
        <w:spacing w:line="240" w:lineRule="auto" w:before="25" w:after="0"/>
        <w:ind w:left="774" w:right="0" w:hanging="217"/>
        <w:jc w:val="left"/>
        <w:rPr>
          <w:sz w:val="22"/>
        </w:rPr>
      </w:pPr>
      <w:r>
        <w:rPr>
          <w:color w:val="231F20"/>
          <w:sz w:val="22"/>
        </w:rPr>
        <w:t>合同价格形式：</w:t>
      </w:r>
    </w:p>
    <w:p>
      <w:pPr>
        <w:pStyle w:val="BodyText"/>
        <w:spacing w:line="319" w:lineRule="auto"/>
        <w:ind w:right="215" w:firstLine="440"/>
      </w:pPr>
      <w:r>
        <w:rPr>
          <w:color w:val="231F20"/>
        </w:rPr>
        <w:t>合同价格形式为总价合同，除根据合同约定的在工程实施过程中需进行增减的款项外，合同价格不予调整，但合同当事人另有约定的除外。</w:t>
      </w:r>
    </w:p>
    <w:p>
      <w:pPr>
        <w:pStyle w:val="BodyText"/>
        <w:tabs>
          <w:tab w:pos="9078" w:val="left" w:leader="none"/>
        </w:tabs>
        <w:spacing w:before="26"/>
        <w:ind w:left="557"/>
      </w:pPr>
      <w:r>
        <w:rPr>
          <w:color w:val="231F20"/>
        </w:rPr>
        <w:t>合同当事人对合同价格形式的其他约定</w:t>
      </w:r>
      <w:r>
        <w:rPr>
          <w:color w:val="231F20"/>
          <w:u w:val="single" w:color="231F20"/>
        </w:rPr>
        <w:t>：</w:t>
        <w:tab/>
      </w:r>
      <w:r>
        <w:rPr>
          <w:color w:val="231F20"/>
        </w:rPr>
        <w:t>。</w:t>
      </w:r>
    </w:p>
    <w:p>
      <w:pPr>
        <w:pStyle w:val="BodyText"/>
        <w:spacing w:before="103"/>
        <w:rPr>
          <w:rFonts w:ascii="方正黑体_GBK" w:eastAsia="方正黑体_GBK" w:hint="eastAsia"/>
        </w:rPr>
      </w:pPr>
      <w:r>
        <w:rPr>
          <w:rFonts w:ascii="方正黑体_GBK" w:eastAsia="方正黑体_GBK" w:hint="eastAsia"/>
          <w:color w:val="231F20"/>
        </w:rPr>
        <w:t>五、工程总承包项目经理</w:t>
      </w:r>
    </w:p>
    <w:p>
      <w:pPr>
        <w:pStyle w:val="BodyText"/>
        <w:tabs>
          <w:tab w:pos="9078" w:val="left" w:leader="none"/>
        </w:tabs>
        <w:spacing w:before="122"/>
        <w:ind w:left="557"/>
      </w:pPr>
      <w:r>
        <w:rPr>
          <w:color w:val="231F20"/>
        </w:rPr>
        <w:t>工程总承包项目经理</w:t>
      </w:r>
      <w:r>
        <w:rPr>
          <w:color w:val="231F20"/>
          <w:u w:val="single" w:color="231F20"/>
        </w:rPr>
        <w:t>：</w:t>
        <w:tab/>
      </w:r>
      <w:r>
        <w:rPr>
          <w:color w:val="231F20"/>
        </w:rPr>
        <w:t>。</w:t>
      </w:r>
    </w:p>
    <w:p>
      <w:pPr>
        <w:pStyle w:val="BodyText"/>
        <w:spacing w:before="103"/>
        <w:rPr>
          <w:rFonts w:ascii="方正黑体_GBK" w:eastAsia="方正黑体_GBK" w:hint="eastAsia"/>
        </w:rPr>
      </w:pPr>
      <w:r>
        <w:rPr>
          <w:rFonts w:ascii="方正黑体_GBK" w:eastAsia="方正黑体_GBK" w:hint="eastAsia"/>
          <w:color w:val="231F20"/>
        </w:rPr>
        <w:t>六、合同文件构成</w:t>
      </w:r>
    </w:p>
    <w:p>
      <w:pPr>
        <w:pStyle w:val="BodyText"/>
        <w:spacing w:before="122"/>
        <w:ind w:left="557"/>
      </w:pPr>
      <w:r>
        <w:rPr>
          <w:color w:val="231F20"/>
        </w:rPr>
        <w:t>本协议书与下列文件一起构成合同文件：</w:t>
      </w:r>
    </w:p>
    <w:p>
      <w:pPr>
        <w:pStyle w:val="BodyText"/>
        <w:ind w:left="447"/>
      </w:pPr>
      <w:r>
        <w:rPr>
          <w:color w:val="231F20"/>
        </w:rPr>
        <w:t>（ 1）中标通知书（如果有）；</w:t>
      </w:r>
    </w:p>
    <w:p>
      <w:pPr>
        <w:pStyle w:val="BodyText"/>
        <w:ind w:left="447"/>
      </w:pPr>
      <w:r>
        <w:rPr>
          <w:color w:val="231F20"/>
        </w:rPr>
        <w:t>（ 2）投标函及投标函附录（如果有）；</w:t>
      </w:r>
    </w:p>
    <w:p>
      <w:pPr>
        <w:pStyle w:val="BodyText"/>
        <w:ind w:left="447"/>
      </w:pPr>
      <w:r>
        <w:rPr>
          <w:color w:val="231F20"/>
        </w:rPr>
        <w:t>（ 3）专用合同条件及《发包人要求》等附件；</w:t>
      </w:r>
    </w:p>
    <w:p>
      <w:pPr>
        <w:pStyle w:val="BodyText"/>
        <w:ind w:left="447"/>
      </w:pPr>
      <w:r>
        <w:rPr>
          <w:color w:val="231F20"/>
        </w:rPr>
        <w:t>（ 4）通用合同条件；</w:t>
      </w:r>
    </w:p>
    <w:p>
      <w:pPr>
        <w:pStyle w:val="BodyText"/>
        <w:ind w:left="447"/>
      </w:pPr>
      <w:r>
        <w:rPr>
          <w:color w:val="231F20"/>
        </w:rPr>
        <w:t>（ 5）承包人建议书；</w:t>
      </w:r>
    </w:p>
    <w:p>
      <w:pPr>
        <w:pStyle w:val="BodyText"/>
        <w:ind w:left="447"/>
      </w:pPr>
      <w:r>
        <w:rPr>
          <w:color w:val="231F20"/>
        </w:rPr>
        <w:t>（ 6）价格清单；</w:t>
      </w:r>
    </w:p>
    <w:p>
      <w:pPr>
        <w:pStyle w:val="BodyText"/>
        <w:ind w:left="447"/>
      </w:pPr>
      <w:r>
        <w:rPr>
          <w:color w:val="231F20"/>
        </w:rPr>
        <w:t>（ 7）双方约定的其他合同文件。</w:t>
      </w:r>
    </w:p>
    <w:p>
      <w:pPr>
        <w:pStyle w:val="BodyText"/>
        <w:spacing w:line="319" w:lineRule="auto"/>
        <w:ind w:right="215" w:firstLine="440"/>
      </w:pPr>
      <w:r>
        <w:rPr>
          <w:color w:val="231F20"/>
        </w:rPr>
        <w:t>上述各项合同文件包括双方就该项合同文件所作出的补充和修改，属于同一类内容的合同文件应以最新签署的为准。专用合同条件及其附件须经合同当事人签字或盖章。</w:t>
      </w:r>
    </w:p>
    <w:p>
      <w:pPr>
        <w:pStyle w:val="BodyText"/>
        <w:spacing w:before="19"/>
        <w:rPr>
          <w:rFonts w:ascii="方正黑体_GBK" w:eastAsia="方正黑体_GBK" w:hint="eastAsia"/>
        </w:rPr>
      </w:pPr>
      <w:r>
        <w:rPr>
          <w:rFonts w:ascii="方正黑体_GBK" w:eastAsia="方正黑体_GBK" w:hint="eastAsia"/>
          <w:color w:val="231F20"/>
        </w:rPr>
        <w:t>七、承诺</w:t>
      </w:r>
    </w:p>
    <w:p>
      <w:pPr>
        <w:pStyle w:val="ListParagraph"/>
        <w:numPr>
          <w:ilvl w:val="0"/>
          <w:numId w:val="24"/>
        </w:numPr>
        <w:tabs>
          <w:tab w:pos="794" w:val="left" w:leader="none"/>
        </w:tabs>
        <w:spacing w:line="319" w:lineRule="auto" w:before="121" w:after="0"/>
        <w:ind w:left="117" w:right="217" w:firstLine="440"/>
        <w:jc w:val="left"/>
        <w:rPr>
          <w:sz w:val="22"/>
        </w:rPr>
      </w:pPr>
      <w:r>
        <w:rPr>
          <w:color w:val="231F20"/>
          <w:sz w:val="22"/>
        </w:rPr>
        <w:t>发包人承诺按照法律规定履行项目审批手续、筹集工程建设资金并按照合同约定的期限和方式支付合同价款。</w:t>
      </w:r>
    </w:p>
    <w:p>
      <w:pPr>
        <w:spacing w:after="0" w:line="319" w:lineRule="auto"/>
        <w:jc w:val="left"/>
        <w:rPr>
          <w:sz w:val="22"/>
        </w:rPr>
        <w:sectPr>
          <w:footerReference w:type="even" r:id="rId9"/>
          <w:footerReference w:type="default" r:id="rId10"/>
          <w:pgSz w:w="11910" w:h="16840"/>
          <w:pgMar w:footer="832" w:header="0" w:top="1580" w:bottom="1020" w:left="1300" w:right="1200"/>
          <w:pgNumType w:start="12"/>
        </w:sectPr>
      </w:pPr>
    </w:p>
    <w:p>
      <w:pPr>
        <w:pStyle w:val="ListParagraph"/>
        <w:numPr>
          <w:ilvl w:val="0"/>
          <w:numId w:val="24"/>
        </w:numPr>
        <w:tabs>
          <w:tab w:pos="794" w:val="left" w:leader="none"/>
        </w:tabs>
        <w:spacing w:line="319" w:lineRule="auto" w:before="24" w:after="0"/>
        <w:ind w:left="117" w:right="110" w:firstLine="440"/>
        <w:jc w:val="both"/>
        <w:rPr>
          <w:sz w:val="22"/>
        </w:rPr>
      </w:pPr>
      <w:r>
        <w:rPr>
          <w:color w:val="231F20"/>
          <w:sz w:val="22"/>
        </w:rPr>
        <w:t>承包人承诺按照法律规定及合同约定组织完成工程的设计、采购和施工等工作，确保工</w:t>
      </w:r>
      <w:r>
        <w:rPr>
          <w:color w:val="231F20"/>
          <w:spacing w:val="2"/>
          <w:sz w:val="22"/>
        </w:rPr>
        <w:t>程质量和安全，不进行转包及违法分包，并在缺陷责任期及保修期内承担相应的工程维修责</w:t>
      </w:r>
      <w:r>
        <w:rPr>
          <w:color w:val="231F20"/>
          <w:sz w:val="22"/>
        </w:rPr>
        <w:t>任。</w:t>
      </w:r>
    </w:p>
    <w:p>
      <w:pPr>
        <w:pStyle w:val="BodyText"/>
        <w:spacing w:before="19"/>
        <w:rPr>
          <w:rFonts w:ascii="方正黑体_GBK" w:eastAsia="方正黑体_GBK" w:hint="eastAsia"/>
        </w:rPr>
      </w:pPr>
      <w:r>
        <w:rPr>
          <w:rFonts w:ascii="方正黑体_GBK" w:eastAsia="方正黑体_GBK" w:hint="eastAsia"/>
          <w:color w:val="231F20"/>
        </w:rPr>
        <w:t>八、订立时间</w:t>
      </w:r>
    </w:p>
    <w:p>
      <w:pPr>
        <w:pStyle w:val="BodyText"/>
        <w:tabs>
          <w:tab w:pos="2371" w:val="left" w:leader="none"/>
          <w:tab w:pos="3031" w:val="left" w:leader="none"/>
          <w:tab w:pos="3691" w:val="left" w:leader="none"/>
        </w:tabs>
        <w:spacing w:before="121"/>
        <w:ind w:left="557"/>
      </w:pPr>
      <w:r>
        <w:rPr>
          <w:color w:val="231F20"/>
        </w:rPr>
        <w:t>本合同于</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日订立。</w:t>
      </w:r>
    </w:p>
    <w:p>
      <w:pPr>
        <w:pStyle w:val="BodyText"/>
        <w:spacing w:before="102"/>
        <w:rPr>
          <w:rFonts w:ascii="方正黑体_GBK" w:eastAsia="方正黑体_GBK" w:hint="eastAsia"/>
        </w:rPr>
      </w:pPr>
      <w:r>
        <w:rPr>
          <w:rFonts w:ascii="方正黑体_GBK" w:eastAsia="方正黑体_GBK" w:hint="eastAsia"/>
          <w:color w:val="231F20"/>
        </w:rPr>
        <w:t>九、订立地点</w:t>
      </w:r>
    </w:p>
    <w:p>
      <w:pPr>
        <w:pStyle w:val="BodyText"/>
        <w:tabs>
          <w:tab w:pos="5397" w:val="left" w:leader="none"/>
        </w:tabs>
        <w:spacing w:before="121"/>
        <w:ind w:left="557"/>
      </w:pPr>
      <w:r>
        <w:rPr>
          <w:color w:val="231F20"/>
        </w:rPr>
        <w:t>本合同在</w:t>
      </w:r>
      <w:r>
        <w:rPr>
          <w:color w:val="231F20"/>
          <w:u w:val="single" w:color="231F20"/>
        </w:rPr>
        <w:t> </w:t>
        <w:tab/>
      </w:r>
      <w:r>
        <w:rPr>
          <w:color w:val="231F20"/>
        </w:rPr>
        <w:t>订立。</w:t>
      </w:r>
    </w:p>
    <w:p>
      <w:pPr>
        <w:pStyle w:val="BodyText"/>
        <w:spacing w:before="102"/>
        <w:rPr>
          <w:rFonts w:ascii="方正黑体_GBK" w:eastAsia="方正黑体_GBK" w:hint="eastAsia"/>
        </w:rPr>
      </w:pPr>
      <w:r>
        <w:rPr>
          <w:rFonts w:ascii="方正黑体_GBK" w:eastAsia="方正黑体_GBK" w:hint="eastAsia"/>
          <w:color w:val="231F20"/>
        </w:rPr>
        <w:t>十、合同生效</w:t>
      </w:r>
    </w:p>
    <w:p>
      <w:pPr>
        <w:pStyle w:val="BodyText"/>
        <w:tabs>
          <w:tab w:pos="6057" w:val="left" w:leader="none"/>
        </w:tabs>
        <w:spacing w:before="121"/>
        <w:ind w:left="557"/>
      </w:pPr>
      <w:r>
        <w:rPr>
          <w:color w:val="231F20"/>
        </w:rPr>
        <w:t>本合同经双方签字或盖章后成立，并自</w:t>
      </w:r>
      <w:r>
        <w:rPr>
          <w:color w:val="231F20"/>
          <w:u w:val="single" w:color="231F20"/>
        </w:rPr>
        <w:t> </w:t>
        <w:tab/>
      </w:r>
      <w:r>
        <w:rPr>
          <w:color w:val="231F20"/>
        </w:rPr>
        <w:t>生效。</w:t>
      </w:r>
    </w:p>
    <w:p>
      <w:pPr>
        <w:pStyle w:val="BodyText"/>
        <w:spacing w:before="102"/>
        <w:rPr>
          <w:rFonts w:ascii="方正黑体_GBK" w:eastAsia="方正黑体_GBK" w:hint="eastAsia"/>
        </w:rPr>
      </w:pPr>
      <w:r>
        <w:rPr>
          <w:rFonts w:ascii="方正黑体_GBK" w:eastAsia="方正黑体_GBK" w:hint="eastAsia"/>
          <w:color w:val="231F20"/>
        </w:rPr>
        <w:t>十一、合同份数</w:t>
      </w:r>
    </w:p>
    <w:p>
      <w:pPr>
        <w:pStyle w:val="BodyText"/>
        <w:tabs>
          <w:tab w:pos="2371" w:val="left" w:leader="none"/>
          <w:tab w:pos="6331" w:val="left" w:leader="none"/>
          <w:tab w:pos="8091" w:val="left" w:leader="none"/>
        </w:tabs>
        <w:spacing w:before="121"/>
        <w:ind w:left="557"/>
      </w:pPr>
      <w:r>
        <w:rPr>
          <w:color w:val="231F20"/>
        </w:rPr>
        <w:t>本合同一式</w:t>
      </w:r>
      <w:r>
        <w:rPr>
          <w:color w:val="231F20"/>
          <w:u w:val="single" w:color="231F20"/>
        </w:rPr>
        <w:t> </w:t>
        <w:tab/>
      </w:r>
      <w:r>
        <w:rPr>
          <w:color w:val="231F20"/>
        </w:rPr>
        <w:t>份，均具有同等法律效力，发包人执</w:t>
      </w:r>
      <w:r>
        <w:rPr>
          <w:color w:val="231F20"/>
          <w:u w:val="single" w:color="231F20"/>
        </w:rPr>
        <w:t> </w:t>
        <w:tab/>
      </w:r>
      <w:r>
        <w:rPr>
          <w:color w:val="231F20"/>
        </w:rPr>
        <w:t>份，承包人执</w:t>
      </w:r>
      <w:r>
        <w:rPr>
          <w:color w:val="231F20"/>
          <w:u w:val="single" w:color="231F20"/>
        </w:rPr>
        <w:t> </w:t>
        <w:tab/>
      </w:r>
      <w:r>
        <w:rPr>
          <w:color w:val="231F20"/>
        </w:rPr>
        <w:t>份。</w:t>
      </w:r>
    </w:p>
    <w:p>
      <w:pPr>
        <w:pStyle w:val="BodyText"/>
        <w:spacing w:before="0"/>
        <w:ind w:left="0"/>
        <w:rPr>
          <w:sz w:val="20"/>
        </w:rPr>
      </w:pPr>
    </w:p>
    <w:p>
      <w:pPr>
        <w:pStyle w:val="BodyText"/>
        <w:spacing w:before="0"/>
        <w:ind w:left="0"/>
        <w:rPr>
          <w:sz w:val="20"/>
        </w:rPr>
      </w:pPr>
    </w:p>
    <w:p>
      <w:pPr>
        <w:pStyle w:val="BodyText"/>
        <w:spacing w:before="1"/>
        <w:ind w:left="0"/>
        <w:rPr>
          <w:sz w:val="20"/>
        </w:rPr>
      </w:pPr>
    </w:p>
    <w:tbl>
      <w:tblPr>
        <w:tblW w:w="0" w:type="auto"/>
        <w:jc w:val="left"/>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38"/>
        <w:gridCol w:w="3938"/>
      </w:tblGrid>
      <w:tr>
        <w:trPr>
          <w:trHeight w:val="6840" w:hRule="atLeast"/>
        </w:trPr>
        <w:tc>
          <w:tcPr>
            <w:tcW w:w="3938" w:type="dxa"/>
          </w:tcPr>
          <w:p>
            <w:pPr>
              <w:pStyle w:val="TableParagraph"/>
              <w:spacing w:line="253" w:lineRule="exact"/>
              <w:ind w:left="310"/>
              <w:rPr>
                <w:sz w:val="22"/>
              </w:rPr>
            </w:pPr>
            <w:r>
              <w:rPr>
                <w:color w:val="231F20"/>
                <w:sz w:val="22"/>
              </w:rPr>
              <w:t>发包人</w:t>
            </w:r>
            <w:r>
              <w:rPr>
                <w:color w:val="231F20"/>
                <w:spacing w:val="-165"/>
                <w:sz w:val="22"/>
              </w:rPr>
              <w:t>：</w:t>
            </w:r>
            <w:r>
              <w:rPr>
                <w:color w:val="231F20"/>
                <w:sz w:val="22"/>
              </w:rPr>
              <w:t>（公章）</w:t>
            </w:r>
          </w:p>
          <w:p>
            <w:pPr>
              <w:pStyle w:val="TableParagraph"/>
              <w:rPr>
                <w:sz w:val="24"/>
              </w:rPr>
            </w:pPr>
          </w:p>
          <w:p>
            <w:pPr>
              <w:pStyle w:val="TableParagraph"/>
              <w:rPr>
                <w:sz w:val="24"/>
              </w:rPr>
            </w:pPr>
          </w:p>
          <w:p>
            <w:pPr>
              <w:pStyle w:val="TableParagraph"/>
              <w:spacing w:before="12"/>
              <w:rPr>
                <w:sz w:val="17"/>
              </w:rPr>
            </w:pPr>
          </w:p>
          <w:p>
            <w:pPr>
              <w:pStyle w:val="TableParagraph"/>
              <w:ind w:left="310"/>
              <w:rPr>
                <w:sz w:val="22"/>
              </w:rPr>
            </w:pPr>
            <w:r>
              <w:rPr>
                <w:color w:val="231F20"/>
                <w:sz w:val="22"/>
              </w:rPr>
              <w:t>法定代表人或其委托代理人：</w:t>
            </w:r>
          </w:p>
          <w:p>
            <w:pPr>
              <w:pStyle w:val="TableParagraph"/>
              <w:spacing w:before="109"/>
              <w:ind w:left="200"/>
              <w:rPr>
                <w:sz w:val="22"/>
              </w:rPr>
            </w:pPr>
            <w:r>
              <w:rPr>
                <w:color w:val="231F20"/>
                <w:sz w:val="22"/>
              </w:rPr>
              <w:t>（签字）</w:t>
            </w:r>
          </w:p>
          <w:p>
            <w:pPr>
              <w:pStyle w:val="TableParagraph"/>
              <w:spacing w:before="4"/>
              <w:rPr>
                <w:sz w:val="29"/>
              </w:rPr>
            </w:pPr>
          </w:p>
          <w:p>
            <w:pPr>
              <w:pStyle w:val="TableParagraph"/>
              <w:tabs>
                <w:tab w:pos="3350" w:val="left" w:leader="none"/>
              </w:tabs>
              <w:spacing w:line="440" w:lineRule="atLeast"/>
              <w:ind w:left="309" w:right="564"/>
              <w:jc w:val="both"/>
              <w:rPr>
                <w:sz w:val="22"/>
              </w:rPr>
            </w:pPr>
            <w:r>
              <w:rPr>
                <w:color w:val="231F20"/>
                <w:sz w:val="22"/>
              </w:rPr>
              <w:t>统一社会信用代码</w:t>
            </w:r>
            <w:r>
              <w:rPr>
                <w:color w:val="231F20"/>
                <w:sz w:val="22"/>
                <w:u w:val="single" w:color="231F20"/>
              </w:rPr>
              <w:t>：</w:t>
              <w:tab/>
            </w:r>
            <w:r>
              <w:rPr>
                <w:color w:val="231F20"/>
                <w:w w:val="7"/>
                <w:sz w:val="22"/>
                <w:u w:val="single" w:color="231F20"/>
              </w:rPr>
              <w:t> </w:t>
            </w:r>
            <w:r>
              <w:rPr>
                <w:color w:val="231F20"/>
                <w:sz w:val="22"/>
              </w:rPr>
              <w:t>地址</w:t>
            </w:r>
            <w:r>
              <w:rPr>
                <w:color w:val="231F20"/>
                <w:sz w:val="22"/>
                <w:u w:val="single" w:color="231F20"/>
              </w:rPr>
              <w:t>：</w:t>
              <w:tab/>
              <w:t> </w:t>
            </w:r>
            <w:r>
              <w:rPr>
                <w:color w:val="231F20"/>
                <w:sz w:val="22"/>
              </w:rPr>
              <w:t>邮政编码</w:t>
            </w:r>
            <w:r>
              <w:rPr>
                <w:color w:val="231F20"/>
                <w:sz w:val="22"/>
                <w:u w:val="single" w:color="231F20"/>
              </w:rPr>
              <w:t>：</w:t>
              <w:tab/>
            </w:r>
            <w:r>
              <w:rPr>
                <w:color w:val="231F20"/>
                <w:w w:val="12"/>
                <w:sz w:val="22"/>
                <w:u w:val="single" w:color="231F20"/>
              </w:rPr>
              <w:t> </w:t>
            </w:r>
            <w:r>
              <w:rPr>
                <w:color w:val="231F20"/>
                <w:sz w:val="22"/>
              </w:rPr>
              <w:t>法定代表人</w:t>
            </w:r>
            <w:r>
              <w:rPr>
                <w:color w:val="231F20"/>
                <w:sz w:val="22"/>
                <w:u w:val="single" w:color="231F20"/>
              </w:rPr>
              <w:t>：</w:t>
              <w:tab/>
            </w:r>
            <w:r>
              <w:rPr>
                <w:color w:val="231F20"/>
                <w:w w:val="18"/>
                <w:sz w:val="22"/>
                <w:u w:val="single" w:color="231F20"/>
              </w:rPr>
              <w:t> </w:t>
            </w:r>
            <w:r>
              <w:rPr>
                <w:color w:val="231F20"/>
                <w:sz w:val="22"/>
              </w:rPr>
              <w:t>委托代理人</w:t>
            </w:r>
            <w:r>
              <w:rPr>
                <w:color w:val="231F20"/>
                <w:sz w:val="22"/>
                <w:u w:val="single" w:color="231F20"/>
              </w:rPr>
              <w:t>：</w:t>
              <w:tab/>
            </w:r>
            <w:r>
              <w:rPr>
                <w:color w:val="231F20"/>
                <w:w w:val="18"/>
                <w:sz w:val="22"/>
                <w:u w:val="single" w:color="231F20"/>
              </w:rPr>
              <w:t> </w:t>
            </w:r>
            <w:r>
              <w:rPr>
                <w:color w:val="231F20"/>
                <w:sz w:val="22"/>
              </w:rPr>
              <w:t>电话</w:t>
            </w:r>
            <w:r>
              <w:rPr>
                <w:color w:val="231F20"/>
                <w:sz w:val="22"/>
                <w:u w:val="single" w:color="231F20"/>
              </w:rPr>
              <w:t>：</w:t>
              <w:tab/>
              <w:t> </w:t>
            </w:r>
            <w:r>
              <w:rPr>
                <w:color w:val="231F20"/>
                <w:sz w:val="22"/>
              </w:rPr>
              <w:t>传真</w:t>
            </w:r>
            <w:r>
              <w:rPr>
                <w:color w:val="231F20"/>
                <w:sz w:val="22"/>
                <w:u w:val="single" w:color="231F20"/>
              </w:rPr>
              <w:t>：</w:t>
              <w:tab/>
              <w:t> </w:t>
            </w:r>
            <w:r>
              <w:rPr>
                <w:color w:val="231F20"/>
                <w:sz w:val="22"/>
              </w:rPr>
              <w:t>电子信箱</w:t>
            </w:r>
            <w:r>
              <w:rPr>
                <w:color w:val="231F20"/>
                <w:sz w:val="22"/>
                <w:u w:val="single" w:color="231F20"/>
              </w:rPr>
              <w:t>：</w:t>
              <w:tab/>
            </w:r>
            <w:r>
              <w:rPr>
                <w:color w:val="231F20"/>
                <w:w w:val="12"/>
                <w:sz w:val="22"/>
                <w:u w:val="single" w:color="231F20"/>
              </w:rPr>
              <w:t> </w:t>
            </w:r>
            <w:r>
              <w:rPr>
                <w:color w:val="231F20"/>
                <w:sz w:val="22"/>
              </w:rPr>
              <w:t>开户银行</w:t>
            </w:r>
            <w:r>
              <w:rPr>
                <w:color w:val="231F20"/>
                <w:sz w:val="22"/>
                <w:u w:val="single" w:color="231F20"/>
              </w:rPr>
              <w:t>：</w:t>
              <w:tab/>
            </w:r>
            <w:r>
              <w:rPr>
                <w:color w:val="231F20"/>
                <w:w w:val="12"/>
                <w:sz w:val="22"/>
                <w:u w:val="single" w:color="231F20"/>
              </w:rPr>
              <w:t> </w:t>
            </w:r>
            <w:r>
              <w:rPr>
                <w:color w:val="231F20"/>
                <w:sz w:val="22"/>
              </w:rPr>
              <w:t>账号</w:t>
            </w:r>
            <w:r>
              <w:rPr>
                <w:color w:val="231F20"/>
                <w:sz w:val="22"/>
                <w:u w:val="single" w:color="231F20"/>
              </w:rPr>
              <w:t>：</w:t>
              <w:tab/>
            </w:r>
          </w:p>
        </w:tc>
        <w:tc>
          <w:tcPr>
            <w:tcW w:w="3938" w:type="dxa"/>
          </w:tcPr>
          <w:p>
            <w:pPr>
              <w:pStyle w:val="TableParagraph"/>
              <w:spacing w:line="253" w:lineRule="exact"/>
              <w:ind w:left="878"/>
              <w:rPr>
                <w:sz w:val="22"/>
              </w:rPr>
            </w:pPr>
            <w:r>
              <w:rPr>
                <w:color w:val="231F20"/>
                <w:sz w:val="22"/>
              </w:rPr>
              <w:t>承包人</w:t>
            </w:r>
            <w:r>
              <w:rPr>
                <w:color w:val="231F20"/>
                <w:spacing w:val="-165"/>
                <w:sz w:val="22"/>
              </w:rPr>
              <w:t>：</w:t>
            </w:r>
            <w:r>
              <w:rPr>
                <w:color w:val="231F20"/>
                <w:sz w:val="22"/>
              </w:rPr>
              <w:t>（公章）</w:t>
            </w:r>
          </w:p>
          <w:p>
            <w:pPr>
              <w:pStyle w:val="TableParagraph"/>
              <w:rPr>
                <w:sz w:val="24"/>
              </w:rPr>
            </w:pPr>
          </w:p>
          <w:p>
            <w:pPr>
              <w:pStyle w:val="TableParagraph"/>
              <w:rPr>
                <w:sz w:val="24"/>
              </w:rPr>
            </w:pPr>
          </w:p>
          <w:p>
            <w:pPr>
              <w:pStyle w:val="TableParagraph"/>
              <w:spacing w:before="12"/>
              <w:rPr>
                <w:sz w:val="17"/>
              </w:rPr>
            </w:pPr>
          </w:p>
          <w:p>
            <w:pPr>
              <w:pStyle w:val="TableParagraph"/>
              <w:ind w:left="878"/>
              <w:rPr>
                <w:sz w:val="22"/>
              </w:rPr>
            </w:pPr>
            <w:r>
              <w:rPr>
                <w:color w:val="231F20"/>
                <w:sz w:val="22"/>
              </w:rPr>
              <w:t>法定代表人或其委托代理人：</w:t>
            </w:r>
          </w:p>
          <w:p>
            <w:pPr>
              <w:pStyle w:val="TableParagraph"/>
              <w:spacing w:before="109"/>
              <w:ind w:left="768"/>
              <w:rPr>
                <w:sz w:val="22"/>
              </w:rPr>
            </w:pPr>
            <w:r>
              <w:rPr>
                <w:color w:val="231F20"/>
                <w:sz w:val="22"/>
              </w:rPr>
              <w:t>（签字）</w:t>
            </w:r>
          </w:p>
          <w:p>
            <w:pPr>
              <w:pStyle w:val="TableParagraph"/>
              <w:spacing w:before="4"/>
              <w:rPr>
                <w:sz w:val="29"/>
              </w:rPr>
            </w:pPr>
          </w:p>
          <w:p>
            <w:pPr>
              <w:pStyle w:val="TableParagraph"/>
              <w:tabs>
                <w:tab w:pos="3919" w:val="left" w:leader="none"/>
              </w:tabs>
              <w:spacing w:line="440" w:lineRule="atLeast"/>
              <w:ind w:left="878" w:right="-15"/>
              <w:jc w:val="both"/>
              <w:rPr>
                <w:sz w:val="22"/>
              </w:rPr>
            </w:pPr>
            <w:r>
              <w:rPr>
                <w:color w:val="231F20"/>
                <w:sz w:val="22"/>
              </w:rPr>
              <w:t>统一社会信用代码</w:t>
            </w:r>
            <w:r>
              <w:rPr>
                <w:color w:val="231F20"/>
                <w:sz w:val="22"/>
                <w:u w:val="single" w:color="231F20"/>
              </w:rPr>
              <w:t>：</w:t>
              <w:tab/>
            </w:r>
            <w:r>
              <w:rPr>
                <w:color w:val="231F20"/>
                <w:w w:val="25"/>
                <w:sz w:val="22"/>
                <w:u w:val="single" w:color="231F20"/>
              </w:rPr>
              <w:t> </w:t>
            </w:r>
            <w:r>
              <w:rPr>
                <w:color w:val="231F20"/>
                <w:sz w:val="22"/>
              </w:rPr>
              <w:t>地址</w:t>
            </w:r>
            <w:r>
              <w:rPr>
                <w:color w:val="231F20"/>
                <w:sz w:val="22"/>
                <w:u w:val="single" w:color="231F20"/>
              </w:rPr>
              <w:t>：</w:t>
              <w:tab/>
              <w:t> </w:t>
            </w:r>
            <w:r>
              <w:rPr>
                <w:color w:val="231F20"/>
                <w:sz w:val="22"/>
              </w:rPr>
              <w:t>邮政编码</w:t>
            </w:r>
            <w:r>
              <w:rPr>
                <w:color w:val="231F20"/>
                <w:sz w:val="22"/>
                <w:u w:val="single" w:color="231F20"/>
              </w:rPr>
              <w:t>：</w:t>
              <w:tab/>
            </w:r>
            <w:r>
              <w:rPr>
                <w:color w:val="231F20"/>
                <w:w w:val="12"/>
                <w:sz w:val="22"/>
                <w:u w:val="single" w:color="231F20"/>
              </w:rPr>
              <w:t> </w:t>
            </w:r>
            <w:r>
              <w:rPr>
                <w:color w:val="231F20"/>
                <w:sz w:val="22"/>
              </w:rPr>
              <w:t>法定代表人</w:t>
            </w:r>
            <w:r>
              <w:rPr>
                <w:color w:val="231F20"/>
                <w:sz w:val="22"/>
                <w:u w:val="single" w:color="231F20"/>
              </w:rPr>
              <w:t>：</w:t>
              <w:tab/>
            </w:r>
            <w:r>
              <w:rPr>
                <w:color w:val="231F20"/>
                <w:w w:val="18"/>
                <w:sz w:val="22"/>
                <w:u w:val="single" w:color="231F20"/>
              </w:rPr>
              <w:t> </w:t>
            </w:r>
            <w:r>
              <w:rPr>
                <w:color w:val="231F20"/>
                <w:sz w:val="22"/>
              </w:rPr>
              <w:t>委托代理人</w:t>
            </w:r>
            <w:r>
              <w:rPr>
                <w:color w:val="231F20"/>
                <w:sz w:val="22"/>
                <w:u w:val="single" w:color="231F20"/>
              </w:rPr>
              <w:t>：</w:t>
              <w:tab/>
            </w:r>
            <w:r>
              <w:rPr>
                <w:color w:val="231F20"/>
                <w:w w:val="18"/>
                <w:sz w:val="22"/>
                <w:u w:val="single" w:color="231F20"/>
              </w:rPr>
              <w:t> </w:t>
            </w:r>
            <w:r>
              <w:rPr>
                <w:color w:val="231F20"/>
                <w:sz w:val="22"/>
              </w:rPr>
              <w:t>电话</w:t>
            </w:r>
            <w:r>
              <w:rPr>
                <w:color w:val="231F20"/>
                <w:sz w:val="22"/>
                <w:u w:val="single" w:color="231F20"/>
              </w:rPr>
              <w:t>：</w:t>
              <w:tab/>
              <w:t> </w:t>
            </w:r>
            <w:r>
              <w:rPr>
                <w:color w:val="231F20"/>
                <w:sz w:val="22"/>
              </w:rPr>
              <w:t>传真</w:t>
            </w:r>
            <w:r>
              <w:rPr>
                <w:color w:val="231F20"/>
                <w:sz w:val="22"/>
                <w:u w:val="single" w:color="231F20"/>
              </w:rPr>
              <w:t>：</w:t>
              <w:tab/>
              <w:t> </w:t>
            </w:r>
            <w:r>
              <w:rPr>
                <w:color w:val="231F20"/>
                <w:sz w:val="22"/>
              </w:rPr>
              <w:t>电子信箱</w:t>
            </w:r>
            <w:r>
              <w:rPr>
                <w:color w:val="231F20"/>
                <w:sz w:val="22"/>
                <w:u w:val="single" w:color="231F20"/>
              </w:rPr>
              <w:t>：</w:t>
              <w:tab/>
            </w:r>
            <w:r>
              <w:rPr>
                <w:color w:val="231F20"/>
                <w:w w:val="12"/>
                <w:sz w:val="22"/>
                <w:u w:val="single" w:color="231F20"/>
              </w:rPr>
              <w:t> </w:t>
            </w:r>
            <w:r>
              <w:rPr>
                <w:color w:val="231F20"/>
                <w:sz w:val="22"/>
              </w:rPr>
              <w:t>开户银行</w:t>
            </w:r>
            <w:r>
              <w:rPr>
                <w:color w:val="231F20"/>
                <w:sz w:val="22"/>
                <w:u w:val="single" w:color="231F20"/>
              </w:rPr>
              <w:t>：</w:t>
              <w:tab/>
            </w:r>
            <w:r>
              <w:rPr>
                <w:color w:val="231F20"/>
                <w:w w:val="12"/>
                <w:sz w:val="22"/>
                <w:u w:val="single" w:color="231F20"/>
              </w:rPr>
              <w:t> </w:t>
            </w:r>
            <w:r>
              <w:rPr>
                <w:color w:val="231F20"/>
                <w:sz w:val="22"/>
              </w:rPr>
              <w:t>账号</w:t>
            </w:r>
            <w:r>
              <w:rPr>
                <w:color w:val="231F20"/>
                <w:sz w:val="22"/>
                <w:u w:val="single" w:color="231F20"/>
              </w:rPr>
              <w:t>：</w:t>
              <w:tab/>
            </w:r>
          </w:p>
        </w:tc>
      </w:tr>
    </w:tbl>
    <w:p>
      <w:pPr>
        <w:spacing w:after="0" w:line="440" w:lineRule="atLeast"/>
        <w:jc w:val="both"/>
        <w:rPr>
          <w:sz w:val="22"/>
        </w:rPr>
        <w:sectPr>
          <w:pgSz w:w="11910" w:h="16840"/>
          <w:pgMar w:header="0" w:footer="832" w:top="1580" w:bottom="1020" w:left="1300" w:right="1300"/>
        </w:sectPr>
      </w:pPr>
    </w:p>
    <w:p>
      <w:pPr>
        <w:pStyle w:val="BodyText"/>
        <w:spacing w:before="0"/>
        <w:ind w:left="0"/>
        <w:rPr>
          <w:sz w:val="20"/>
        </w:rPr>
      </w:pPr>
    </w:p>
    <w:p>
      <w:pPr>
        <w:pStyle w:val="BodyText"/>
        <w:spacing w:before="0"/>
        <w:ind w:left="0"/>
        <w:rPr>
          <w:sz w:val="20"/>
        </w:rPr>
      </w:pPr>
    </w:p>
    <w:p>
      <w:pPr>
        <w:pStyle w:val="Heading1"/>
        <w:tabs>
          <w:tab w:pos="1399" w:val="left" w:leader="none"/>
        </w:tabs>
        <w:ind w:right="98"/>
      </w:pPr>
      <w:r>
        <w:rPr>
          <w:color w:val="231F20"/>
        </w:rPr>
        <w:t>第二部分</w:t>
        <w:tab/>
        <w:t>通用合同条件</w:t>
      </w:r>
    </w:p>
    <w:p>
      <w:pPr>
        <w:pStyle w:val="BodyText"/>
        <w:spacing w:before="8"/>
        <w:ind w:left="0"/>
        <w:rPr>
          <w:rFonts w:ascii="方正黑体_GBK"/>
          <w:sz w:val="26"/>
        </w:rPr>
      </w:pPr>
    </w:p>
    <w:p>
      <w:pPr>
        <w:pStyle w:val="BodyText"/>
        <w:tabs>
          <w:tab w:pos="1009" w:val="left" w:leader="none"/>
        </w:tabs>
        <w:spacing w:before="0"/>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w:t>
      </w:r>
      <w:r>
        <w:rPr>
          <w:rFonts w:ascii="方正黑体_GBK" w:eastAsia="方正黑体_GBK" w:hint="eastAsia"/>
          <w:color w:val="231F20"/>
          <w:spacing w:val="-7"/>
        </w:rPr>
        <w:t> </w:t>
      </w:r>
      <w:r>
        <w:rPr>
          <w:rFonts w:ascii="方正黑体_GBK" w:eastAsia="方正黑体_GBK" w:hint="eastAsia"/>
          <w:color w:val="231F20"/>
        </w:rPr>
        <w:t>条</w:t>
        <w:tab/>
        <w:t>一般约定</w:t>
      </w:r>
    </w:p>
    <w:p>
      <w:pPr>
        <w:pStyle w:val="ListParagraph"/>
        <w:numPr>
          <w:ilvl w:val="1"/>
          <w:numId w:val="25"/>
        </w:numPr>
        <w:tabs>
          <w:tab w:pos="924" w:val="left" w:leader="none"/>
        </w:tabs>
        <w:spacing w:line="240" w:lineRule="auto" w:before="115" w:after="0"/>
        <w:ind w:left="923" w:right="0" w:hanging="366"/>
        <w:jc w:val="left"/>
        <w:rPr>
          <w:rFonts w:ascii="方正黑体_GBK" w:eastAsia="方正黑体_GBK" w:hint="eastAsia"/>
          <w:sz w:val="22"/>
        </w:rPr>
      </w:pPr>
      <w:r>
        <w:rPr>
          <w:rFonts w:ascii="方正黑体_GBK" w:eastAsia="方正黑体_GBK" w:hint="eastAsia"/>
          <w:color w:val="231F20"/>
          <w:sz w:val="22"/>
        </w:rPr>
        <w:t>词语定义和解释</w:t>
      </w:r>
    </w:p>
    <w:p>
      <w:pPr>
        <w:pStyle w:val="BodyText"/>
        <w:spacing w:before="121"/>
        <w:ind w:left="557"/>
      </w:pPr>
      <w:r>
        <w:rPr>
          <w:color w:val="231F20"/>
        </w:rPr>
        <w:t>合同协议书、通用合同条件、专用合同条件中的下列词语应具有本款所赋予的含义：</w:t>
      </w:r>
    </w:p>
    <w:p>
      <w:pPr>
        <w:pStyle w:val="ListParagraph"/>
        <w:numPr>
          <w:ilvl w:val="2"/>
          <w:numId w:val="25"/>
        </w:numPr>
        <w:tabs>
          <w:tab w:pos="1048" w:val="left" w:leader="none"/>
        </w:tabs>
        <w:spacing w:line="240" w:lineRule="auto" w:before="108" w:after="0"/>
        <w:ind w:left="1047" w:right="0" w:hanging="490"/>
        <w:jc w:val="left"/>
        <w:rPr>
          <w:sz w:val="22"/>
        </w:rPr>
      </w:pPr>
      <w:r>
        <w:rPr>
          <w:color w:val="231F20"/>
          <w:sz w:val="22"/>
        </w:rPr>
        <w:t>合同</w:t>
      </w:r>
    </w:p>
    <w:p>
      <w:pPr>
        <w:pStyle w:val="ListParagraph"/>
        <w:numPr>
          <w:ilvl w:val="3"/>
          <w:numId w:val="25"/>
        </w:numPr>
        <w:tabs>
          <w:tab w:pos="1232" w:val="left" w:leader="none"/>
        </w:tabs>
        <w:spacing w:line="319" w:lineRule="auto" w:before="108" w:after="0"/>
        <w:ind w:left="117" w:right="104" w:firstLine="440"/>
        <w:jc w:val="left"/>
        <w:rPr>
          <w:sz w:val="22"/>
        </w:rPr>
      </w:pPr>
      <w:r>
        <w:rPr>
          <w:color w:val="231F20"/>
          <w:spacing w:val="-8"/>
          <w:sz w:val="22"/>
        </w:rPr>
        <w:t>合同：是指根据法律规定和合同当事人约定具有约束力的文件，构成合同的文件包</w:t>
      </w:r>
      <w:r>
        <w:rPr>
          <w:color w:val="231F20"/>
          <w:spacing w:val="0"/>
          <w:sz w:val="22"/>
        </w:rPr>
        <w:t>括合同协议书、中标通知书</w:t>
      </w:r>
      <w:r>
        <w:rPr>
          <w:color w:val="231F20"/>
          <w:spacing w:val="2"/>
          <w:sz w:val="22"/>
        </w:rPr>
        <w:t>（如果有</w:t>
      </w:r>
      <w:r>
        <w:rPr>
          <w:color w:val="231F20"/>
          <w:spacing w:val="-110"/>
          <w:sz w:val="22"/>
        </w:rPr>
        <w:t>）</w:t>
      </w:r>
      <w:r>
        <w:rPr>
          <w:color w:val="231F20"/>
          <w:spacing w:val="1"/>
          <w:sz w:val="22"/>
        </w:rPr>
        <w:t>、投标函及其附录</w:t>
      </w:r>
      <w:r>
        <w:rPr>
          <w:color w:val="231F20"/>
          <w:spacing w:val="2"/>
          <w:sz w:val="22"/>
        </w:rPr>
        <w:t>（如果有</w:t>
      </w:r>
      <w:r>
        <w:rPr>
          <w:color w:val="231F20"/>
          <w:spacing w:val="-110"/>
          <w:sz w:val="22"/>
        </w:rPr>
        <w:t>）</w:t>
      </w:r>
      <w:r>
        <w:rPr>
          <w:color w:val="231F20"/>
          <w:spacing w:val="0"/>
          <w:sz w:val="22"/>
        </w:rPr>
        <w:t>、专用合同条件及其附件、</w:t>
      </w:r>
      <w:r>
        <w:rPr>
          <w:color w:val="231F20"/>
          <w:spacing w:val="-16"/>
          <w:sz w:val="22"/>
        </w:rPr>
        <w:t>通用合同条件、《发包人要求》、承包人建议书、价格清单以及双方约定的其他合同文件。</w:t>
      </w:r>
    </w:p>
    <w:p>
      <w:pPr>
        <w:pStyle w:val="ListParagraph"/>
        <w:numPr>
          <w:ilvl w:val="3"/>
          <w:numId w:val="25"/>
        </w:numPr>
        <w:tabs>
          <w:tab w:pos="1232" w:val="left" w:leader="none"/>
        </w:tabs>
        <w:spacing w:line="319" w:lineRule="auto" w:before="25" w:after="0"/>
        <w:ind w:left="117" w:right="210" w:firstLine="440"/>
        <w:jc w:val="left"/>
        <w:rPr>
          <w:sz w:val="22"/>
        </w:rPr>
      </w:pPr>
      <w:r>
        <w:rPr>
          <w:color w:val="231F20"/>
          <w:spacing w:val="-7"/>
          <w:sz w:val="22"/>
        </w:rPr>
        <w:t>合同协议书：是指构成合同的由发包人和承包人共同签署的称为“合同协议书”的书面文件。</w:t>
      </w:r>
    </w:p>
    <w:p>
      <w:pPr>
        <w:pStyle w:val="ListParagraph"/>
        <w:numPr>
          <w:ilvl w:val="3"/>
          <w:numId w:val="25"/>
        </w:numPr>
        <w:tabs>
          <w:tab w:pos="1232" w:val="left" w:leader="none"/>
        </w:tabs>
        <w:spacing w:line="319" w:lineRule="auto" w:before="25" w:after="0"/>
        <w:ind w:left="117" w:right="210" w:firstLine="440"/>
        <w:jc w:val="left"/>
        <w:rPr>
          <w:sz w:val="22"/>
        </w:rPr>
      </w:pPr>
      <w:r>
        <w:rPr>
          <w:color w:val="231F20"/>
          <w:spacing w:val="-7"/>
          <w:sz w:val="22"/>
        </w:rPr>
        <w:t>中标通知书：是指构成合同的由发包人通知承包人中标的书面文件。中标通知书随附的澄清、说明、补正事项纪要等，是中标通知书的组成部分。</w:t>
      </w:r>
    </w:p>
    <w:p>
      <w:pPr>
        <w:pStyle w:val="ListParagraph"/>
        <w:numPr>
          <w:ilvl w:val="3"/>
          <w:numId w:val="25"/>
        </w:numPr>
        <w:tabs>
          <w:tab w:pos="1211" w:val="left" w:leader="none"/>
        </w:tabs>
        <w:spacing w:line="240" w:lineRule="auto" w:before="25" w:after="0"/>
        <w:ind w:left="1210" w:right="0" w:hanging="653"/>
        <w:jc w:val="left"/>
        <w:rPr>
          <w:sz w:val="22"/>
        </w:rPr>
      </w:pPr>
      <w:r>
        <w:rPr>
          <w:color w:val="231F20"/>
          <w:spacing w:val="-8"/>
          <w:sz w:val="22"/>
        </w:rPr>
        <w:t>投标函：是指构成合同的由承包人填写并签署的用于投标的称为“投标函”的文件。</w:t>
      </w:r>
    </w:p>
    <w:p>
      <w:pPr>
        <w:pStyle w:val="ListParagraph"/>
        <w:numPr>
          <w:ilvl w:val="3"/>
          <w:numId w:val="25"/>
        </w:numPr>
        <w:tabs>
          <w:tab w:pos="1211" w:val="left" w:leader="none"/>
        </w:tabs>
        <w:spacing w:line="240" w:lineRule="auto" w:before="109" w:after="0"/>
        <w:ind w:left="1210" w:right="0" w:hanging="653"/>
        <w:jc w:val="left"/>
        <w:rPr>
          <w:sz w:val="22"/>
        </w:rPr>
      </w:pPr>
      <w:r>
        <w:rPr>
          <w:color w:val="231F20"/>
          <w:spacing w:val="-8"/>
          <w:sz w:val="22"/>
        </w:rPr>
        <w:t>投标函附录：是指构成合同的附在投标函后的称为“投标函附录”的文件。</w:t>
      </w:r>
    </w:p>
    <w:p>
      <w:pPr>
        <w:pStyle w:val="ListParagraph"/>
        <w:numPr>
          <w:ilvl w:val="3"/>
          <w:numId w:val="25"/>
        </w:numPr>
        <w:tabs>
          <w:tab w:pos="1158" w:val="left" w:leader="none"/>
        </w:tabs>
        <w:spacing w:line="319" w:lineRule="auto" w:before="109" w:after="0"/>
        <w:ind w:left="117" w:right="215" w:firstLine="440"/>
        <w:jc w:val="both"/>
        <w:rPr>
          <w:sz w:val="22"/>
        </w:rPr>
      </w:pPr>
      <w:r>
        <w:rPr>
          <w:color w:val="231F20"/>
          <w:spacing w:val="-11"/>
          <w:sz w:val="22"/>
        </w:rPr>
        <w:t>《发包人要求》：指构成合同文件组成部分的名为《发包人要求》的文件，其中列 明工程的目的、范围、设计与其他技术标准和要求，以及合同双方当事人约定对其所作的修改或补充。</w:t>
      </w:r>
    </w:p>
    <w:p>
      <w:pPr>
        <w:pStyle w:val="ListParagraph"/>
        <w:numPr>
          <w:ilvl w:val="3"/>
          <w:numId w:val="25"/>
        </w:numPr>
        <w:tabs>
          <w:tab w:pos="1214" w:val="left" w:leader="none"/>
        </w:tabs>
        <w:spacing w:line="319" w:lineRule="auto" w:before="25" w:after="0"/>
        <w:ind w:left="117" w:right="215" w:firstLine="440"/>
        <w:jc w:val="both"/>
        <w:rPr>
          <w:sz w:val="22"/>
        </w:rPr>
      </w:pPr>
      <w:r>
        <w:rPr>
          <w:color w:val="231F20"/>
          <w:spacing w:val="-8"/>
          <w:sz w:val="22"/>
        </w:rPr>
        <w:t>项目清单：是指发包人提供的载明工程总承包项目勘察费</w:t>
      </w:r>
      <w:r>
        <w:rPr>
          <w:color w:val="231F20"/>
          <w:sz w:val="22"/>
        </w:rPr>
        <w:t>（如果有</w:t>
      </w:r>
      <w:r>
        <w:rPr>
          <w:color w:val="231F20"/>
          <w:spacing w:val="-110"/>
          <w:sz w:val="22"/>
        </w:rPr>
        <w:t>）</w:t>
      </w:r>
      <w:r>
        <w:rPr>
          <w:color w:val="231F20"/>
          <w:sz w:val="22"/>
        </w:rPr>
        <w:t>、设计费、建筑安装工程费、设备购置费、暂估价、暂列金额和双方约定的其他费用的名称和相应数量等内容的项目明细。</w:t>
      </w:r>
    </w:p>
    <w:p>
      <w:pPr>
        <w:pStyle w:val="ListParagraph"/>
        <w:numPr>
          <w:ilvl w:val="3"/>
          <w:numId w:val="25"/>
        </w:numPr>
        <w:tabs>
          <w:tab w:pos="1232" w:val="left" w:leader="none"/>
        </w:tabs>
        <w:spacing w:line="319" w:lineRule="auto" w:before="25" w:after="0"/>
        <w:ind w:left="117" w:right="214" w:firstLine="440"/>
        <w:jc w:val="left"/>
        <w:rPr>
          <w:sz w:val="22"/>
        </w:rPr>
      </w:pPr>
      <w:r>
        <w:rPr>
          <w:color w:val="231F20"/>
          <w:spacing w:val="-8"/>
          <w:sz w:val="22"/>
        </w:rPr>
        <w:t>价格清单：指构成合同文件组成部分的由承包人按发包人提供的项目清单规定的格式和要求填写并标明价格的清单。</w:t>
      </w:r>
    </w:p>
    <w:p>
      <w:pPr>
        <w:pStyle w:val="ListParagraph"/>
        <w:numPr>
          <w:ilvl w:val="3"/>
          <w:numId w:val="25"/>
        </w:numPr>
        <w:tabs>
          <w:tab w:pos="1232" w:val="left" w:leader="none"/>
        </w:tabs>
        <w:spacing w:line="319" w:lineRule="auto" w:before="25" w:after="0"/>
        <w:ind w:left="117" w:right="210" w:firstLine="440"/>
        <w:jc w:val="left"/>
        <w:rPr>
          <w:sz w:val="22"/>
        </w:rPr>
      </w:pPr>
      <w:r>
        <w:rPr>
          <w:color w:val="231F20"/>
          <w:spacing w:val="-7"/>
          <w:sz w:val="22"/>
        </w:rPr>
        <w:t>承包人建议书：指构成合同文件组成部分的名为承包人建议书的文件。承包人建议书由承包人随投标函一起提交。</w:t>
      </w:r>
    </w:p>
    <w:p>
      <w:pPr>
        <w:pStyle w:val="ListParagraph"/>
        <w:numPr>
          <w:ilvl w:val="3"/>
          <w:numId w:val="25"/>
        </w:numPr>
        <w:tabs>
          <w:tab w:pos="1324" w:val="left" w:leader="none"/>
        </w:tabs>
        <w:spacing w:line="319" w:lineRule="auto" w:before="25" w:after="0"/>
        <w:ind w:left="117" w:right="215" w:firstLine="440"/>
        <w:jc w:val="left"/>
        <w:rPr>
          <w:sz w:val="22"/>
        </w:rPr>
      </w:pPr>
      <w:r>
        <w:rPr>
          <w:color w:val="231F20"/>
          <w:spacing w:val="-7"/>
          <w:sz w:val="22"/>
        </w:rPr>
        <w:t>其他合同文件：是指经合同当事人约定的与工程实施有关的具有合同约束力的文件或书面协议。合同当事人可以在专用合同条件中进行约定。</w:t>
      </w:r>
    </w:p>
    <w:p>
      <w:pPr>
        <w:pStyle w:val="ListParagraph"/>
        <w:numPr>
          <w:ilvl w:val="2"/>
          <w:numId w:val="26"/>
        </w:numPr>
        <w:tabs>
          <w:tab w:pos="1048" w:val="left" w:leader="none"/>
        </w:tabs>
        <w:spacing w:line="240" w:lineRule="auto" w:before="25" w:after="0"/>
        <w:ind w:left="1047" w:right="0" w:hanging="490"/>
        <w:jc w:val="left"/>
        <w:rPr>
          <w:sz w:val="22"/>
        </w:rPr>
      </w:pPr>
      <w:r>
        <w:rPr>
          <w:color w:val="231F20"/>
          <w:sz w:val="22"/>
        </w:rPr>
        <w:t>合同当事人及其他相关方</w:t>
      </w:r>
    </w:p>
    <w:p>
      <w:pPr>
        <w:pStyle w:val="ListParagraph"/>
        <w:numPr>
          <w:ilvl w:val="3"/>
          <w:numId w:val="26"/>
        </w:numPr>
        <w:tabs>
          <w:tab w:pos="1211" w:val="left" w:leader="none"/>
        </w:tabs>
        <w:spacing w:line="240" w:lineRule="auto" w:before="108" w:after="0"/>
        <w:ind w:left="117" w:right="0" w:firstLine="440"/>
        <w:jc w:val="left"/>
        <w:rPr>
          <w:sz w:val="22"/>
        </w:rPr>
      </w:pPr>
      <w:r>
        <w:rPr>
          <w:color w:val="231F20"/>
          <w:spacing w:val="-8"/>
          <w:sz w:val="22"/>
        </w:rPr>
        <w:t>合同当事人：是指发包人和</w:t>
      </w:r>
      <w:r>
        <w:rPr>
          <w:color w:val="231F20"/>
          <w:sz w:val="22"/>
        </w:rPr>
        <w:t>（或）承包人。</w:t>
      </w:r>
    </w:p>
    <w:p>
      <w:pPr>
        <w:pStyle w:val="ListParagraph"/>
        <w:numPr>
          <w:ilvl w:val="3"/>
          <w:numId w:val="26"/>
        </w:numPr>
        <w:tabs>
          <w:tab w:pos="1214" w:val="left" w:leader="none"/>
        </w:tabs>
        <w:spacing w:line="240" w:lineRule="auto" w:before="108" w:after="0"/>
        <w:ind w:left="1213" w:right="0" w:hanging="656"/>
        <w:jc w:val="left"/>
        <w:rPr>
          <w:sz w:val="22"/>
        </w:rPr>
      </w:pPr>
      <w:r>
        <w:rPr>
          <w:color w:val="231F20"/>
          <w:spacing w:val="-8"/>
          <w:sz w:val="22"/>
        </w:rPr>
        <w:t>发包人：是指与承包人订立合同协议书的当事人及取得该当事人资格的合法继受人。</w:t>
      </w:r>
    </w:p>
    <w:p>
      <w:pPr>
        <w:spacing w:after="0" w:line="240" w:lineRule="auto"/>
        <w:jc w:val="left"/>
        <w:rPr>
          <w:sz w:val="22"/>
        </w:rPr>
        <w:sectPr>
          <w:pgSz w:w="11910" w:h="16840"/>
          <w:pgMar w:header="0" w:footer="832" w:top="1580" w:bottom="1020" w:left="1300" w:right="1200"/>
        </w:sectPr>
      </w:pPr>
    </w:p>
    <w:p>
      <w:pPr>
        <w:pStyle w:val="BodyText"/>
        <w:spacing w:before="24"/>
      </w:pPr>
      <w:r>
        <w:rPr>
          <w:color w:val="231F20"/>
        </w:rPr>
        <w:t>本合同中“因发包人原因”里的“发包人”包括发包人及所有发包人人员。</w:t>
      </w:r>
    </w:p>
    <w:p>
      <w:pPr>
        <w:pStyle w:val="ListParagraph"/>
        <w:numPr>
          <w:ilvl w:val="3"/>
          <w:numId w:val="26"/>
        </w:numPr>
        <w:tabs>
          <w:tab w:pos="1211" w:val="left" w:leader="none"/>
        </w:tabs>
        <w:spacing w:line="240" w:lineRule="auto" w:before="109" w:after="0"/>
        <w:ind w:left="1210" w:right="0" w:hanging="653"/>
        <w:jc w:val="left"/>
        <w:rPr>
          <w:sz w:val="22"/>
        </w:rPr>
      </w:pPr>
      <w:r>
        <w:rPr>
          <w:color w:val="231F20"/>
          <w:spacing w:val="-11"/>
          <w:sz w:val="22"/>
        </w:rPr>
        <w:t>承包人：是指与发包人订立合同协议书的当事人及取得该当事人资格的合法继受人。</w:t>
      </w:r>
    </w:p>
    <w:p>
      <w:pPr>
        <w:pStyle w:val="ListParagraph"/>
        <w:numPr>
          <w:ilvl w:val="3"/>
          <w:numId w:val="26"/>
        </w:numPr>
        <w:tabs>
          <w:tab w:pos="1232" w:val="left" w:leader="none"/>
        </w:tabs>
        <w:spacing w:line="319" w:lineRule="auto" w:before="109" w:after="0"/>
        <w:ind w:left="117" w:right="110" w:firstLine="440"/>
        <w:jc w:val="left"/>
        <w:rPr>
          <w:sz w:val="22"/>
        </w:rPr>
      </w:pPr>
      <w:r>
        <w:rPr>
          <w:color w:val="231F20"/>
          <w:spacing w:val="-8"/>
          <w:sz w:val="22"/>
        </w:rPr>
        <w:t>联合体：是指经发包人同意由两个或两个以上法人或者其他组织组成的，作为承包人的临时机构。</w:t>
      </w:r>
    </w:p>
    <w:p>
      <w:pPr>
        <w:pStyle w:val="ListParagraph"/>
        <w:numPr>
          <w:ilvl w:val="3"/>
          <w:numId w:val="26"/>
        </w:numPr>
        <w:tabs>
          <w:tab w:pos="1232" w:val="left" w:leader="none"/>
        </w:tabs>
        <w:spacing w:line="319" w:lineRule="auto" w:before="26" w:after="0"/>
        <w:ind w:left="117" w:right="110" w:firstLine="440"/>
        <w:jc w:val="left"/>
        <w:rPr>
          <w:sz w:val="22"/>
        </w:rPr>
      </w:pPr>
      <w:r>
        <w:rPr>
          <w:color w:val="231F20"/>
          <w:spacing w:val="-7"/>
          <w:sz w:val="22"/>
        </w:rPr>
        <w:t>发包人代表：是指由发包人任命并派驻工作现场，在发包人授权范围内行使发包人权利和履行发包人义务的人。</w:t>
      </w:r>
    </w:p>
    <w:p>
      <w:pPr>
        <w:pStyle w:val="ListParagraph"/>
        <w:numPr>
          <w:ilvl w:val="3"/>
          <w:numId w:val="26"/>
        </w:numPr>
        <w:tabs>
          <w:tab w:pos="1232" w:val="left" w:leader="none"/>
        </w:tabs>
        <w:spacing w:line="319" w:lineRule="auto" w:before="26" w:after="0"/>
        <w:ind w:left="117" w:right="109" w:firstLine="440"/>
        <w:jc w:val="both"/>
        <w:rPr>
          <w:sz w:val="22"/>
        </w:rPr>
      </w:pPr>
      <w:r>
        <w:rPr>
          <w:color w:val="231F20"/>
          <w:spacing w:val="-8"/>
          <w:sz w:val="22"/>
        </w:rPr>
        <w:t>工程师：是指在专用合同条件中指明的，受发包人委托按照法律规定和发包人的授</w:t>
      </w:r>
      <w:r>
        <w:rPr>
          <w:color w:val="231F20"/>
          <w:spacing w:val="-10"/>
          <w:sz w:val="22"/>
        </w:rPr>
        <w:t>权进行合同履行管理、工程监督管理等工作的法人或其他组织；该法人或其他组织应雇用一名具有相应执业资格和职业能力的自然人作为工程师代表，并授予其根据本合同代表工程师行事的权利。</w:t>
      </w:r>
    </w:p>
    <w:p>
      <w:pPr>
        <w:pStyle w:val="ListParagraph"/>
        <w:numPr>
          <w:ilvl w:val="3"/>
          <w:numId w:val="26"/>
        </w:numPr>
        <w:tabs>
          <w:tab w:pos="1232" w:val="left" w:leader="none"/>
        </w:tabs>
        <w:spacing w:line="319" w:lineRule="auto" w:before="26" w:after="0"/>
        <w:ind w:left="117" w:right="110" w:firstLine="440"/>
        <w:jc w:val="left"/>
        <w:rPr>
          <w:sz w:val="22"/>
        </w:rPr>
      </w:pPr>
      <w:r>
        <w:rPr>
          <w:color w:val="231F20"/>
          <w:spacing w:val="-6"/>
          <w:sz w:val="22"/>
        </w:rPr>
        <w:t>工程总承包项目经理：是指由承包人任命的，在承包人授权范围内负责合同履行的管理，且按照法律规定具有相应资格的项目负责人。</w:t>
      </w:r>
    </w:p>
    <w:p>
      <w:pPr>
        <w:pStyle w:val="ListParagraph"/>
        <w:numPr>
          <w:ilvl w:val="3"/>
          <w:numId w:val="26"/>
        </w:numPr>
        <w:tabs>
          <w:tab w:pos="1211" w:val="left" w:leader="none"/>
        </w:tabs>
        <w:spacing w:line="240" w:lineRule="auto" w:before="26" w:after="0"/>
        <w:ind w:left="1210" w:right="0" w:hanging="653"/>
        <w:jc w:val="left"/>
        <w:rPr>
          <w:sz w:val="22"/>
        </w:rPr>
      </w:pPr>
      <w:r>
        <w:rPr>
          <w:color w:val="231F20"/>
          <w:spacing w:val="-17"/>
          <w:sz w:val="22"/>
        </w:rPr>
        <w:t>设计负责人：是指承包人指定负责组织、指导、协调设计工作并具有相应资格的人员。</w:t>
      </w:r>
    </w:p>
    <w:p>
      <w:pPr>
        <w:pStyle w:val="ListParagraph"/>
        <w:numPr>
          <w:ilvl w:val="3"/>
          <w:numId w:val="26"/>
        </w:numPr>
        <w:tabs>
          <w:tab w:pos="1211" w:val="left" w:leader="none"/>
        </w:tabs>
        <w:spacing w:line="240" w:lineRule="auto" w:before="109" w:after="0"/>
        <w:ind w:left="117" w:right="0" w:firstLine="440"/>
        <w:jc w:val="left"/>
        <w:rPr>
          <w:sz w:val="22"/>
        </w:rPr>
      </w:pPr>
      <w:r>
        <w:rPr>
          <w:color w:val="231F20"/>
          <w:spacing w:val="-8"/>
          <w:sz w:val="22"/>
        </w:rPr>
        <w:t>采购负责人：是指承包人指定负责组织、指导、协调采购工作的人员。</w:t>
      </w:r>
    </w:p>
    <w:p>
      <w:pPr>
        <w:pStyle w:val="ListParagraph"/>
        <w:numPr>
          <w:ilvl w:val="3"/>
          <w:numId w:val="26"/>
        </w:numPr>
        <w:tabs>
          <w:tab w:pos="1320" w:val="left" w:leader="none"/>
        </w:tabs>
        <w:spacing w:line="240" w:lineRule="auto" w:before="109" w:after="0"/>
        <w:ind w:left="1319" w:right="0" w:hanging="762"/>
        <w:jc w:val="left"/>
        <w:rPr>
          <w:sz w:val="22"/>
        </w:rPr>
      </w:pPr>
      <w:r>
        <w:rPr>
          <w:color w:val="231F20"/>
          <w:spacing w:val="-21"/>
          <w:sz w:val="22"/>
        </w:rPr>
        <w:t>施工负责人：是指承包人指定负责组织、指导、协调施工工作并具有相应资格的人员。</w:t>
      </w:r>
    </w:p>
    <w:p>
      <w:pPr>
        <w:pStyle w:val="ListParagraph"/>
        <w:numPr>
          <w:ilvl w:val="3"/>
          <w:numId w:val="26"/>
        </w:numPr>
        <w:tabs>
          <w:tab w:pos="1324" w:val="left" w:leader="none"/>
        </w:tabs>
        <w:spacing w:line="319" w:lineRule="auto" w:before="109" w:after="0"/>
        <w:ind w:left="117" w:right="115" w:firstLine="440"/>
        <w:jc w:val="left"/>
        <w:rPr>
          <w:sz w:val="22"/>
        </w:rPr>
      </w:pPr>
      <w:r>
        <w:rPr>
          <w:color w:val="231F20"/>
          <w:spacing w:val="-8"/>
          <w:sz w:val="22"/>
        </w:rPr>
        <w:t>分包人：是指按照法律规定和合同约定，分包部分工程或工作，并与承包人订立分包合同的具有相应资质或资格的法人或其他组织。</w:t>
      </w:r>
    </w:p>
    <w:p>
      <w:pPr>
        <w:pStyle w:val="ListParagraph"/>
        <w:numPr>
          <w:ilvl w:val="2"/>
          <w:numId w:val="27"/>
        </w:numPr>
        <w:tabs>
          <w:tab w:pos="1048" w:val="left" w:leader="none"/>
        </w:tabs>
        <w:spacing w:line="240" w:lineRule="auto" w:before="25" w:after="0"/>
        <w:ind w:left="1047" w:right="0" w:hanging="490"/>
        <w:jc w:val="left"/>
        <w:rPr>
          <w:sz w:val="22"/>
        </w:rPr>
      </w:pPr>
      <w:r>
        <w:rPr>
          <w:color w:val="231F20"/>
          <w:sz w:val="22"/>
        </w:rPr>
        <w:t>工程和设备</w:t>
      </w:r>
    </w:p>
    <w:p>
      <w:pPr>
        <w:pStyle w:val="ListParagraph"/>
        <w:numPr>
          <w:ilvl w:val="3"/>
          <w:numId w:val="27"/>
        </w:numPr>
        <w:tabs>
          <w:tab w:pos="1211" w:val="left" w:leader="none"/>
        </w:tabs>
        <w:spacing w:line="240" w:lineRule="auto" w:before="108" w:after="0"/>
        <w:ind w:left="117" w:right="0" w:firstLine="440"/>
        <w:jc w:val="left"/>
        <w:rPr>
          <w:sz w:val="22"/>
        </w:rPr>
      </w:pPr>
      <w:r>
        <w:rPr>
          <w:color w:val="231F20"/>
          <w:spacing w:val="-8"/>
          <w:sz w:val="22"/>
        </w:rPr>
        <w:t>工程：是指与合同协议书中工程承包范围对应的永久工程和</w:t>
      </w:r>
      <w:r>
        <w:rPr>
          <w:color w:val="231F20"/>
          <w:sz w:val="22"/>
        </w:rPr>
        <w:t>（或）临时工程。</w:t>
      </w:r>
    </w:p>
    <w:p>
      <w:pPr>
        <w:pStyle w:val="ListParagraph"/>
        <w:numPr>
          <w:ilvl w:val="3"/>
          <w:numId w:val="27"/>
        </w:numPr>
        <w:tabs>
          <w:tab w:pos="1211" w:val="left" w:leader="none"/>
        </w:tabs>
        <w:spacing w:line="240" w:lineRule="auto" w:before="108" w:after="0"/>
        <w:ind w:left="117" w:right="0" w:firstLine="440"/>
        <w:jc w:val="left"/>
        <w:rPr>
          <w:sz w:val="22"/>
        </w:rPr>
      </w:pPr>
      <w:r>
        <w:rPr>
          <w:color w:val="231F20"/>
          <w:spacing w:val="-8"/>
          <w:sz w:val="22"/>
        </w:rPr>
        <w:t>工程实施：是指进行工程的设计、采购、施工和竣工以及对工程任何缺陷的修复。</w:t>
      </w:r>
    </w:p>
    <w:p>
      <w:pPr>
        <w:pStyle w:val="ListParagraph"/>
        <w:numPr>
          <w:ilvl w:val="3"/>
          <w:numId w:val="27"/>
        </w:numPr>
        <w:tabs>
          <w:tab w:pos="1211" w:val="left" w:leader="none"/>
        </w:tabs>
        <w:spacing w:line="240" w:lineRule="auto" w:before="108" w:after="0"/>
        <w:ind w:left="117" w:right="0" w:firstLine="440"/>
        <w:jc w:val="left"/>
        <w:rPr>
          <w:sz w:val="22"/>
        </w:rPr>
      </w:pPr>
      <w:r>
        <w:rPr>
          <w:color w:val="231F20"/>
          <w:spacing w:val="-8"/>
          <w:sz w:val="22"/>
        </w:rPr>
        <w:t>永久工程：是指按合同约定建造并移交给发包人的工程，包括工程设备。</w:t>
      </w:r>
    </w:p>
    <w:p>
      <w:pPr>
        <w:pStyle w:val="ListParagraph"/>
        <w:numPr>
          <w:ilvl w:val="3"/>
          <w:numId w:val="27"/>
        </w:numPr>
        <w:tabs>
          <w:tab w:pos="1232" w:val="left" w:leader="none"/>
        </w:tabs>
        <w:spacing w:line="319" w:lineRule="auto" w:before="108" w:after="0"/>
        <w:ind w:left="117" w:right="110" w:firstLine="440"/>
        <w:jc w:val="left"/>
        <w:rPr>
          <w:sz w:val="22"/>
        </w:rPr>
      </w:pPr>
      <w:r>
        <w:rPr>
          <w:color w:val="231F20"/>
          <w:spacing w:val="-8"/>
          <w:sz w:val="22"/>
        </w:rPr>
        <w:t>临时工程：是指为完成合同约定的永久工程所修建的各类临时性工程，不包括施工设备。</w:t>
      </w:r>
    </w:p>
    <w:p>
      <w:pPr>
        <w:pStyle w:val="ListParagraph"/>
        <w:numPr>
          <w:ilvl w:val="3"/>
          <w:numId w:val="27"/>
        </w:numPr>
        <w:tabs>
          <w:tab w:pos="1233" w:val="left" w:leader="none"/>
        </w:tabs>
        <w:spacing w:line="319" w:lineRule="auto" w:before="25" w:after="0"/>
        <w:ind w:left="117" w:right="112" w:firstLine="440"/>
        <w:jc w:val="left"/>
        <w:rPr>
          <w:sz w:val="22"/>
        </w:rPr>
      </w:pPr>
      <w:r>
        <w:rPr>
          <w:color w:val="231F20"/>
          <w:spacing w:val="3"/>
          <w:sz w:val="22"/>
        </w:rPr>
        <w:t>单位 </w:t>
      </w:r>
      <w:r>
        <w:rPr>
          <w:color w:val="231F20"/>
          <w:sz w:val="22"/>
        </w:rPr>
        <w:t>/</w:t>
      </w:r>
      <w:r>
        <w:rPr>
          <w:color w:val="231F20"/>
          <w:spacing w:val="-5"/>
          <w:sz w:val="22"/>
        </w:rPr>
        <w:t> 区段工程：是指在专用合同条件中指明特定范围的，能单独接收并使用的永</w:t>
      </w:r>
      <w:r>
        <w:rPr>
          <w:color w:val="231F20"/>
          <w:sz w:val="22"/>
        </w:rPr>
        <w:t>久工程。</w:t>
      </w:r>
    </w:p>
    <w:p>
      <w:pPr>
        <w:pStyle w:val="ListParagraph"/>
        <w:numPr>
          <w:ilvl w:val="3"/>
          <w:numId w:val="27"/>
        </w:numPr>
        <w:tabs>
          <w:tab w:pos="1232" w:val="left" w:leader="none"/>
        </w:tabs>
        <w:spacing w:line="319" w:lineRule="auto" w:before="25" w:after="0"/>
        <w:ind w:left="117" w:right="112" w:firstLine="440"/>
        <w:jc w:val="left"/>
        <w:rPr>
          <w:sz w:val="22"/>
        </w:rPr>
      </w:pPr>
      <w:r>
        <w:rPr>
          <w:color w:val="231F20"/>
          <w:spacing w:val="-8"/>
          <w:sz w:val="22"/>
        </w:rPr>
        <w:t>工程设备：指构成永久工程的机电设备、仪器装置、运载工具及其他类似的设备和装置，包括其配件及备品、备件、易损易耗件等。</w:t>
      </w:r>
    </w:p>
    <w:p>
      <w:pPr>
        <w:pStyle w:val="ListParagraph"/>
        <w:numPr>
          <w:ilvl w:val="3"/>
          <w:numId w:val="27"/>
        </w:numPr>
        <w:tabs>
          <w:tab w:pos="1232" w:val="left" w:leader="none"/>
        </w:tabs>
        <w:spacing w:line="319" w:lineRule="auto" w:before="25" w:after="0"/>
        <w:ind w:left="117" w:right="112" w:firstLine="440"/>
        <w:jc w:val="left"/>
        <w:rPr>
          <w:sz w:val="22"/>
        </w:rPr>
      </w:pPr>
      <w:r>
        <w:rPr>
          <w:color w:val="231F20"/>
          <w:spacing w:val="-8"/>
          <w:sz w:val="22"/>
        </w:rPr>
        <w:t>施工设备：指为完成合同约定的各项工作所需的设备、器具和其他物品，不包括工程设备、临时工程和材料。</w:t>
      </w:r>
    </w:p>
    <w:p>
      <w:pPr>
        <w:pStyle w:val="ListParagraph"/>
        <w:numPr>
          <w:ilvl w:val="3"/>
          <w:numId w:val="27"/>
        </w:numPr>
        <w:tabs>
          <w:tab w:pos="1211" w:val="left" w:leader="none"/>
        </w:tabs>
        <w:spacing w:line="240" w:lineRule="auto" w:before="25" w:after="0"/>
        <w:ind w:left="117" w:right="0" w:firstLine="440"/>
        <w:jc w:val="left"/>
        <w:rPr>
          <w:sz w:val="22"/>
        </w:rPr>
      </w:pPr>
      <w:r>
        <w:rPr>
          <w:color w:val="231F20"/>
          <w:spacing w:val="-8"/>
          <w:sz w:val="22"/>
        </w:rPr>
        <w:t>临时设施：指为完成合同约定的各项工作所服务的临时性生产和生活设施。</w:t>
      </w:r>
    </w:p>
    <w:p>
      <w:pPr>
        <w:pStyle w:val="ListParagraph"/>
        <w:numPr>
          <w:ilvl w:val="3"/>
          <w:numId w:val="27"/>
        </w:numPr>
        <w:tabs>
          <w:tab w:pos="1232" w:val="left" w:leader="none"/>
        </w:tabs>
        <w:spacing w:line="240" w:lineRule="auto" w:before="108" w:after="0"/>
        <w:ind w:left="1231" w:right="0" w:hanging="674"/>
        <w:jc w:val="left"/>
        <w:rPr>
          <w:sz w:val="22"/>
        </w:rPr>
      </w:pPr>
      <w:r>
        <w:rPr>
          <w:color w:val="231F20"/>
          <w:spacing w:val="-8"/>
          <w:sz w:val="22"/>
        </w:rPr>
        <w:t>施工现场：是指用于工程施工的场所，以及在专用合同条件中指明作为施工场所组</w:t>
      </w:r>
    </w:p>
    <w:p>
      <w:pPr>
        <w:spacing w:after="0" w:line="240" w:lineRule="auto"/>
        <w:jc w:val="left"/>
        <w:rPr>
          <w:sz w:val="22"/>
        </w:rPr>
        <w:sectPr>
          <w:pgSz w:w="11910" w:h="16840"/>
          <w:pgMar w:header="0" w:footer="832" w:top="1580" w:bottom="1020" w:left="1300" w:right="1300"/>
        </w:sectPr>
      </w:pPr>
    </w:p>
    <w:p>
      <w:pPr>
        <w:pStyle w:val="BodyText"/>
        <w:spacing w:before="24"/>
      </w:pPr>
      <w:r>
        <w:rPr>
          <w:color w:val="231F20"/>
        </w:rPr>
        <w:t>成部分的其他场所，包括永久占地和临时占地。</w:t>
      </w:r>
    </w:p>
    <w:p>
      <w:pPr>
        <w:pStyle w:val="ListParagraph"/>
        <w:numPr>
          <w:ilvl w:val="3"/>
          <w:numId w:val="27"/>
        </w:numPr>
        <w:tabs>
          <w:tab w:pos="1320" w:val="left" w:leader="none"/>
        </w:tabs>
        <w:spacing w:line="240" w:lineRule="auto" w:before="109" w:after="0"/>
        <w:ind w:left="1319" w:right="0" w:hanging="762"/>
        <w:jc w:val="left"/>
        <w:rPr>
          <w:sz w:val="22"/>
        </w:rPr>
      </w:pPr>
      <w:r>
        <w:rPr>
          <w:color w:val="231F20"/>
          <w:spacing w:val="-8"/>
          <w:sz w:val="22"/>
        </w:rPr>
        <w:t>永久占地：是指专用合同条件中指明为实施工程需永久占用的土地。</w:t>
      </w:r>
    </w:p>
    <w:p>
      <w:pPr>
        <w:pStyle w:val="ListParagraph"/>
        <w:numPr>
          <w:ilvl w:val="3"/>
          <w:numId w:val="27"/>
        </w:numPr>
        <w:tabs>
          <w:tab w:pos="1320" w:val="left" w:leader="none"/>
        </w:tabs>
        <w:spacing w:line="240" w:lineRule="auto" w:before="109" w:after="0"/>
        <w:ind w:left="1319" w:right="0" w:hanging="762"/>
        <w:jc w:val="left"/>
        <w:rPr>
          <w:sz w:val="22"/>
        </w:rPr>
      </w:pPr>
      <w:r>
        <w:rPr>
          <w:color w:val="231F20"/>
          <w:spacing w:val="-8"/>
          <w:sz w:val="22"/>
        </w:rPr>
        <w:t>临时占地：是指专用合同条件中指明为实施工程需临时占用的土地。</w:t>
      </w:r>
    </w:p>
    <w:p>
      <w:pPr>
        <w:pStyle w:val="ListParagraph"/>
        <w:numPr>
          <w:ilvl w:val="2"/>
          <w:numId w:val="28"/>
        </w:numPr>
        <w:tabs>
          <w:tab w:pos="1048" w:val="left" w:leader="none"/>
        </w:tabs>
        <w:spacing w:line="240" w:lineRule="auto" w:before="109" w:after="0"/>
        <w:ind w:left="1047" w:right="0" w:hanging="490"/>
        <w:jc w:val="left"/>
        <w:rPr>
          <w:sz w:val="22"/>
        </w:rPr>
      </w:pPr>
      <w:r>
        <w:rPr>
          <w:color w:val="231F20"/>
          <w:sz w:val="22"/>
        </w:rPr>
        <w:t>日期和期限</w:t>
      </w:r>
    </w:p>
    <w:p>
      <w:pPr>
        <w:pStyle w:val="ListParagraph"/>
        <w:numPr>
          <w:ilvl w:val="3"/>
          <w:numId w:val="28"/>
        </w:numPr>
        <w:tabs>
          <w:tab w:pos="1232" w:val="left" w:leader="none"/>
        </w:tabs>
        <w:spacing w:line="319" w:lineRule="auto" w:before="109" w:after="0"/>
        <w:ind w:left="117" w:right="210" w:firstLine="440"/>
        <w:jc w:val="left"/>
        <w:rPr>
          <w:sz w:val="22"/>
        </w:rPr>
      </w:pPr>
      <w:r>
        <w:rPr>
          <w:color w:val="231F20"/>
          <w:spacing w:val="-6"/>
          <w:sz w:val="22"/>
        </w:rPr>
        <w:t>开始工作通知：指工程师按第 </w:t>
      </w:r>
      <w:r>
        <w:rPr>
          <w:color w:val="231F20"/>
          <w:sz w:val="22"/>
        </w:rPr>
        <w:t>8.1.2 项 [ 开始工作通知 ] 的约定通知承包人开始工作的函件。</w:t>
      </w:r>
    </w:p>
    <w:p>
      <w:pPr>
        <w:pStyle w:val="ListParagraph"/>
        <w:numPr>
          <w:ilvl w:val="3"/>
          <w:numId w:val="28"/>
        </w:numPr>
        <w:tabs>
          <w:tab w:pos="1232" w:val="left" w:leader="none"/>
        </w:tabs>
        <w:spacing w:line="319" w:lineRule="auto" w:before="26" w:after="0"/>
        <w:ind w:left="117" w:right="210" w:firstLine="440"/>
        <w:jc w:val="both"/>
        <w:rPr>
          <w:sz w:val="22"/>
        </w:rPr>
      </w:pPr>
      <w:r>
        <w:rPr>
          <w:color w:val="231F20"/>
          <w:spacing w:val="-7"/>
          <w:sz w:val="22"/>
        </w:rPr>
        <w:t>开始工作日期：包括计划开始工作日期和实际开始工作日期。计划开始工作日期是</w:t>
      </w:r>
      <w:r>
        <w:rPr>
          <w:color w:val="231F20"/>
          <w:spacing w:val="-10"/>
          <w:sz w:val="22"/>
        </w:rPr>
        <w:t>指合同协议书约定的开始工作日期；实际开始工作日期是指工程师按照第 </w:t>
      </w:r>
      <w:r>
        <w:rPr>
          <w:color w:val="231F20"/>
          <w:sz w:val="22"/>
        </w:rPr>
        <w:t>8.1 款 [ 开始工作 ] 约定发出的符合法律规定的开始工作通知中载明的开始工作日期。</w:t>
      </w:r>
    </w:p>
    <w:p>
      <w:pPr>
        <w:pStyle w:val="ListParagraph"/>
        <w:numPr>
          <w:ilvl w:val="3"/>
          <w:numId w:val="28"/>
        </w:numPr>
        <w:tabs>
          <w:tab w:pos="1232" w:val="left" w:leader="none"/>
        </w:tabs>
        <w:spacing w:line="319" w:lineRule="auto" w:before="26" w:after="0"/>
        <w:ind w:left="117" w:right="210" w:firstLine="440"/>
        <w:jc w:val="both"/>
        <w:rPr>
          <w:sz w:val="22"/>
        </w:rPr>
      </w:pPr>
      <w:r>
        <w:rPr>
          <w:color w:val="231F20"/>
          <w:spacing w:val="-6"/>
          <w:sz w:val="22"/>
        </w:rPr>
        <w:t>开始现场施工日期：包括计划开始现场施工日期和实际开始现场施工日期。计划开</w:t>
      </w:r>
      <w:r>
        <w:rPr>
          <w:color w:val="231F20"/>
          <w:spacing w:val="-8"/>
          <w:sz w:val="22"/>
        </w:rPr>
        <w:t>始现场施工日期是指合同协议书约定的开始现场施工日期；实际开始现场施工日期是指工程师发出的符合法律规定的开工通知中载明的开始现场施工日期。</w:t>
      </w:r>
    </w:p>
    <w:p>
      <w:pPr>
        <w:pStyle w:val="ListParagraph"/>
        <w:numPr>
          <w:ilvl w:val="3"/>
          <w:numId w:val="28"/>
        </w:numPr>
        <w:tabs>
          <w:tab w:pos="1232" w:val="left" w:leader="none"/>
        </w:tabs>
        <w:spacing w:line="319" w:lineRule="auto" w:before="26" w:after="0"/>
        <w:ind w:left="117" w:right="210" w:firstLine="440"/>
        <w:jc w:val="left"/>
        <w:rPr>
          <w:sz w:val="22"/>
        </w:rPr>
      </w:pPr>
      <w:r>
        <w:rPr>
          <w:color w:val="231F20"/>
          <w:spacing w:val="-8"/>
          <w:sz w:val="22"/>
        </w:rPr>
        <w:t>竣工日期：包括计划竣工日期和实际竣工日期。计划竣工日期是指合同协议书约定</w:t>
      </w:r>
      <w:r>
        <w:rPr>
          <w:color w:val="231F20"/>
          <w:spacing w:val="-10"/>
          <w:sz w:val="22"/>
        </w:rPr>
        <w:t>的竣工日期；实际竣工日期按照第 </w:t>
      </w:r>
      <w:r>
        <w:rPr>
          <w:color w:val="231F20"/>
          <w:sz w:val="22"/>
        </w:rPr>
        <w:t>8.2</w:t>
      </w:r>
      <w:r>
        <w:rPr>
          <w:color w:val="231F20"/>
          <w:spacing w:val="-1"/>
          <w:sz w:val="22"/>
        </w:rPr>
        <w:t> 款 [ 竣工日期 ] 的约定确定。</w:t>
      </w:r>
    </w:p>
    <w:p>
      <w:pPr>
        <w:pStyle w:val="ListParagraph"/>
        <w:numPr>
          <w:ilvl w:val="3"/>
          <w:numId w:val="28"/>
        </w:numPr>
        <w:tabs>
          <w:tab w:pos="1232" w:val="left" w:leader="none"/>
        </w:tabs>
        <w:spacing w:line="319" w:lineRule="auto" w:before="26" w:after="0"/>
        <w:ind w:left="117" w:right="210" w:firstLine="440"/>
        <w:jc w:val="left"/>
        <w:rPr>
          <w:sz w:val="22"/>
        </w:rPr>
      </w:pPr>
      <w:r>
        <w:rPr>
          <w:color w:val="231F20"/>
          <w:spacing w:val="-8"/>
          <w:sz w:val="22"/>
        </w:rPr>
        <w:t>工期：是指在合同协议书约定的承包人完成合同工作所需的期限，包括按照合同约定所作的期限变更及按合同约定承包人有权取得的工期延长。</w:t>
      </w:r>
    </w:p>
    <w:p>
      <w:pPr>
        <w:pStyle w:val="ListParagraph"/>
        <w:numPr>
          <w:ilvl w:val="3"/>
          <w:numId w:val="28"/>
        </w:numPr>
        <w:tabs>
          <w:tab w:pos="1232" w:val="left" w:leader="none"/>
        </w:tabs>
        <w:spacing w:line="319" w:lineRule="auto" w:before="26" w:after="0"/>
        <w:ind w:left="117" w:right="210" w:firstLine="440"/>
        <w:jc w:val="left"/>
        <w:rPr>
          <w:sz w:val="22"/>
        </w:rPr>
      </w:pPr>
      <w:r>
        <w:rPr>
          <w:color w:val="231F20"/>
          <w:spacing w:val="-7"/>
          <w:sz w:val="22"/>
        </w:rPr>
        <w:t>缺陷责任期：是指发包人预留工程质量保证金以保证承包人履行第 </w:t>
      </w:r>
      <w:r>
        <w:rPr>
          <w:color w:val="231F20"/>
          <w:sz w:val="22"/>
        </w:rPr>
        <w:t>11.3</w:t>
      </w:r>
      <w:r>
        <w:rPr>
          <w:color w:val="231F20"/>
          <w:spacing w:val="5"/>
          <w:sz w:val="22"/>
        </w:rPr>
        <w:t> 款 [ 缺陷调查 ] 下质量缺陷责任的期限。</w:t>
      </w:r>
    </w:p>
    <w:p>
      <w:pPr>
        <w:pStyle w:val="ListParagraph"/>
        <w:numPr>
          <w:ilvl w:val="3"/>
          <w:numId w:val="28"/>
        </w:numPr>
        <w:tabs>
          <w:tab w:pos="1232" w:val="left" w:leader="none"/>
        </w:tabs>
        <w:spacing w:line="319" w:lineRule="auto" w:before="26" w:after="0"/>
        <w:ind w:left="117" w:right="210" w:firstLine="440"/>
        <w:jc w:val="left"/>
        <w:rPr>
          <w:sz w:val="22"/>
        </w:rPr>
      </w:pPr>
      <w:r>
        <w:rPr>
          <w:color w:val="231F20"/>
          <w:spacing w:val="-8"/>
          <w:sz w:val="22"/>
        </w:rPr>
        <w:t>保修期：是指承包人按照合同约定和法律规定对工程质量承担保修责任的期限，该期限自缺陷责任期起算之日起计算。</w:t>
      </w:r>
    </w:p>
    <w:p>
      <w:pPr>
        <w:pStyle w:val="ListParagraph"/>
        <w:numPr>
          <w:ilvl w:val="3"/>
          <w:numId w:val="28"/>
        </w:numPr>
        <w:tabs>
          <w:tab w:pos="1215" w:val="left" w:leader="none"/>
        </w:tabs>
        <w:spacing w:line="319" w:lineRule="auto" w:before="26" w:after="0"/>
        <w:ind w:left="117" w:right="215" w:firstLine="440"/>
        <w:jc w:val="left"/>
        <w:rPr>
          <w:sz w:val="22"/>
        </w:rPr>
      </w:pPr>
      <w:r>
        <w:rPr>
          <w:color w:val="231F20"/>
          <w:spacing w:val="-8"/>
          <w:sz w:val="22"/>
        </w:rPr>
        <w:t>基准日期：招标发包的工程以投标截止日前 </w:t>
      </w:r>
      <w:r>
        <w:rPr>
          <w:color w:val="231F20"/>
          <w:sz w:val="22"/>
        </w:rPr>
        <w:t>28</w:t>
      </w:r>
      <w:r>
        <w:rPr>
          <w:color w:val="231F20"/>
          <w:spacing w:val="-1"/>
          <w:sz w:val="22"/>
        </w:rPr>
        <w:t> 天的日期为基准日期，直接发包的工程以合同订立日前 </w:t>
      </w:r>
      <w:r>
        <w:rPr>
          <w:color w:val="231F20"/>
          <w:sz w:val="22"/>
        </w:rPr>
        <w:t>28</w:t>
      </w:r>
      <w:r>
        <w:rPr>
          <w:color w:val="231F20"/>
          <w:spacing w:val="-1"/>
          <w:sz w:val="22"/>
        </w:rPr>
        <w:t> 天的日期为基准日期。</w:t>
      </w:r>
    </w:p>
    <w:p>
      <w:pPr>
        <w:pStyle w:val="ListParagraph"/>
        <w:numPr>
          <w:ilvl w:val="3"/>
          <w:numId w:val="28"/>
        </w:numPr>
        <w:tabs>
          <w:tab w:pos="1232" w:val="left" w:leader="none"/>
        </w:tabs>
        <w:spacing w:line="319" w:lineRule="auto" w:before="26" w:after="0"/>
        <w:ind w:left="117" w:right="211" w:firstLine="440"/>
        <w:jc w:val="left"/>
        <w:rPr>
          <w:sz w:val="22"/>
        </w:rPr>
      </w:pPr>
      <w:r>
        <w:rPr>
          <w:color w:val="231F20"/>
          <w:spacing w:val="-8"/>
          <w:sz w:val="22"/>
        </w:rPr>
        <w:t>天：除特别指明外，均指日历天。合同中按天计算时间的，开始当天不计入，从次日开始计算。期限最后一天的截止时间为当天 </w:t>
      </w:r>
      <w:r>
        <w:rPr>
          <w:color w:val="231F20"/>
          <w:sz w:val="22"/>
        </w:rPr>
        <w:t>24:00。</w:t>
      </w:r>
    </w:p>
    <w:p>
      <w:pPr>
        <w:pStyle w:val="ListParagraph"/>
        <w:numPr>
          <w:ilvl w:val="3"/>
          <w:numId w:val="28"/>
        </w:numPr>
        <w:tabs>
          <w:tab w:pos="1320" w:val="left" w:leader="none"/>
        </w:tabs>
        <w:spacing w:line="240" w:lineRule="auto" w:before="26" w:after="0"/>
        <w:ind w:left="1319" w:right="0" w:hanging="762"/>
        <w:jc w:val="left"/>
        <w:rPr>
          <w:sz w:val="22"/>
        </w:rPr>
      </w:pPr>
      <w:r>
        <w:rPr>
          <w:color w:val="231F20"/>
          <w:spacing w:val="-8"/>
          <w:sz w:val="22"/>
        </w:rPr>
        <w:t>竣工试验：是指在工程竣工验收前，根据第 </w:t>
      </w:r>
      <w:r>
        <w:rPr>
          <w:color w:val="231F20"/>
          <w:sz w:val="22"/>
        </w:rPr>
        <w:t>9 条 [ 竣工试验 ] 要求进行的试验。</w:t>
      </w:r>
    </w:p>
    <w:p>
      <w:pPr>
        <w:pStyle w:val="ListParagraph"/>
        <w:numPr>
          <w:ilvl w:val="3"/>
          <w:numId w:val="28"/>
        </w:numPr>
        <w:tabs>
          <w:tab w:pos="1324" w:val="left" w:leader="none"/>
        </w:tabs>
        <w:spacing w:line="319" w:lineRule="auto" w:before="109" w:after="0"/>
        <w:ind w:left="117" w:right="215" w:firstLine="440"/>
        <w:jc w:val="left"/>
        <w:rPr>
          <w:sz w:val="22"/>
        </w:rPr>
      </w:pPr>
      <w:r>
        <w:rPr>
          <w:color w:val="231F20"/>
          <w:spacing w:val="-8"/>
          <w:sz w:val="22"/>
        </w:rPr>
        <w:t>竣工验收：是指承包人完成了合同约定的各项内容后，发包人按合同要求进行的验收。</w:t>
      </w:r>
    </w:p>
    <w:p>
      <w:pPr>
        <w:pStyle w:val="ListParagraph"/>
        <w:numPr>
          <w:ilvl w:val="3"/>
          <w:numId w:val="28"/>
        </w:numPr>
        <w:tabs>
          <w:tab w:pos="1320" w:val="left" w:leader="none"/>
        </w:tabs>
        <w:spacing w:line="240" w:lineRule="auto" w:before="25" w:after="0"/>
        <w:ind w:left="1319" w:right="0" w:hanging="762"/>
        <w:jc w:val="left"/>
        <w:rPr>
          <w:sz w:val="22"/>
        </w:rPr>
      </w:pPr>
      <w:r>
        <w:rPr>
          <w:color w:val="231F20"/>
          <w:spacing w:val="-6"/>
          <w:sz w:val="22"/>
        </w:rPr>
        <w:t>竣工后试验：是指在工程竣工验收后，根据第</w:t>
      </w:r>
      <w:r>
        <w:rPr>
          <w:color w:val="231F20"/>
          <w:sz w:val="22"/>
        </w:rPr>
        <w:t>12</w:t>
      </w:r>
      <w:r>
        <w:rPr>
          <w:color w:val="231F20"/>
          <w:spacing w:val="-2"/>
          <w:sz w:val="22"/>
        </w:rPr>
        <w:t> 条[ 竣工后试验] 约定进行的试验。</w:t>
      </w:r>
    </w:p>
    <w:p>
      <w:pPr>
        <w:pStyle w:val="ListParagraph"/>
        <w:numPr>
          <w:ilvl w:val="2"/>
          <w:numId w:val="29"/>
        </w:numPr>
        <w:tabs>
          <w:tab w:pos="1048" w:val="left" w:leader="none"/>
        </w:tabs>
        <w:spacing w:line="240" w:lineRule="auto" w:before="109" w:after="0"/>
        <w:ind w:left="1047" w:right="0" w:hanging="490"/>
        <w:jc w:val="left"/>
        <w:rPr>
          <w:sz w:val="22"/>
        </w:rPr>
      </w:pPr>
      <w:r>
        <w:rPr>
          <w:color w:val="231F20"/>
          <w:sz w:val="22"/>
        </w:rPr>
        <w:t>合同价格和费用</w:t>
      </w:r>
    </w:p>
    <w:p>
      <w:pPr>
        <w:pStyle w:val="ListParagraph"/>
        <w:numPr>
          <w:ilvl w:val="3"/>
          <w:numId w:val="29"/>
        </w:numPr>
        <w:tabs>
          <w:tab w:pos="1232" w:val="left" w:leader="none"/>
        </w:tabs>
        <w:spacing w:line="319" w:lineRule="auto" w:before="109" w:after="0"/>
        <w:ind w:left="117" w:right="210" w:firstLine="440"/>
        <w:jc w:val="left"/>
        <w:rPr>
          <w:sz w:val="22"/>
        </w:rPr>
      </w:pPr>
      <w:r>
        <w:rPr>
          <w:color w:val="231F20"/>
          <w:spacing w:val="-7"/>
          <w:sz w:val="22"/>
        </w:rPr>
        <w:t>签约合同价：是指发包人和承包人在合同协议书中确定的总金额，包括暂估价及暂列金额等。</w:t>
      </w:r>
    </w:p>
    <w:p>
      <w:pPr>
        <w:spacing w:after="0" w:line="319" w:lineRule="auto"/>
        <w:jc w:val="left"/>
        <w:rPr>
          <w:sz w:val="22"/>
        </w:rPr>
        <w:sectPr>
          <w:pgSz w:w="11910" w:h="16840"/>
          <w:pgMar w:header="0" w:footer="832" w:top="1580" w:bottom="1020" w:left="1300" w:right="1200"/>
        </w:sectPr>
      </w:pPr>
    </w:p>
    <w:p>
      <w:pPr>
        <w:pStyle w:val="ListParagraph"/>
        <w:numPr>
          <w:ilvl w:val="3"/>
          <w:numId w:val="29"/>
        </w:numPr>
        <w:tabs>
          <w:tab w:pos="1232" w:val="left" w:leader="none"/>
        </w:tabs>
        <w:spacing w:line="319" w:lineRule="auto" w:before="24" w:after="0"/>
        <w:ind w:left="117" w:right="214" w:firstLine="440"/>
        <w:jc w:val="left"/>
        <w:rPr>
          <w:sz w:val="22"/>
        </w:rPr>
      </w:pPr>
      <w:r>
        <w:rPr>
          <w:color w:val="231F20"/>
          <w:spacing w:val="-8"/>
          <w:sz w:val="22"/>
        </w:rPr>
        <w:t>合同价格：是指发包人用于支付承包人按照合同约定完成承包范围内全部工作的金额，包括合同履行过程中按合同约定发生的价格变化。</w:t>
      </w:r>
    </w:p>
    <w:p>
      <w:pPr>
        <w:pStyle w:val="ListParagraph"/>
        <w:numPr>
          <w:ilvl w:val="3"/>
          <w:numId w:val="29"/>
        </w:numPr>
        <w:tabs>
          <w:tab w:pos="1232" w:val="left" w:leader="none"/>
        </w:tabs>
        <w:spacing w:line="319" w:lineRule="auto" w:before="26" w:after="0"/>
        <w:ind w:left="117" w:right="210" w:firstLine="440"/>
        <w:jc w:val="left"/>
        <w:rPr>
          <w:sz w:val="22"/>
        </w:rPr>
      </w:pPr>
      <w:r>
        <w:rPr>
          <w:color w:val="231F20"/>
          <w:spacing w:val="-8"/>
          <w:sz w:val="22"/>
        </w:rPr>
        <w:t>费用：是指为履行合同所发生的或将要发生的所有合理开支，包括管理费和应分摊的其他费用，但不包括利润。</w:t>
      </w:r>
    </w:p>
    <w:p>
      <w:pPr>
        <w:pStyle w:val="ListParagraph"/>
        <w:numPr>
          <w:ilvl w:val="3"/>
          <w:numId w:val="29"/>
        </w:numPr>
        <w:tabs>
          <w:tab w:pos="1211" w:val="left" w:leader="none"/>
        </w:tabs>
        <w:spacing w:line="240" w:lineRule="auto" w:before="26" w:after="0"/>
        <w:ind w:left="1210" w:right="0" w:hanging="653"/>
        <w:jc w:val="left"/>
        <w:rPr>
          <w:sz w:val="22"/>
        </w:rPr>
      </w:pPr>
      <w:r>
        <w:rPr>
          <w:color w:val="231F20"/>
          <w:spacing w:val="-8"/>
          <w:sz w:val="22"/>
        </w:rPr>
        <w:t>人工费：是指支付给直接从事建筑安装工程施工作业的建筑工人的各项费用。</w:t>
      </w:r>
    </w:p>
    <w:p>
      <w:pPr>
        <w:pStyle w:val="ListParagraph"/>
        <w:numPr>
          <w:ilvl w:val="3"/>
          <w:numId w:val="29"/>
        </w:numPr>
        <w:tabs>
          <w:tab w:pos="1232" w:val="left" w:leader="none"/>
        </w:tabs>
        <w:spacing w:line="319" w:lineRule="auto" w:before="109" w:after="0"/>
        <w:ind w:left="117" w:right="210" w:firstLine="440"/>
        <w:jc w:val="left"/>
        <w:rPr>
          <w:sz w:val="22"/>
        </w:rPr>
      </w:pPr>
      <w:r>
        <w:rPr>
          <w:color w:val="231F20"/>
          <w:spacing w:val="-8"/>
          <w:sz w:val="22"/>
        </w:rPr>
        <w:t>暂估价：是指发包人在项目清单中给定的，用于支付必然发生但暂时不能确定价格的专业服务、材料、设备、专业工程的金额。</w:t>
      </w:r>
    </w:p>
    <w:p>
      <w:pPr>
        <w:pStyle w:val="ListParagraph"/>
        <w:numPr>
          <w:ilvl w:val="3"/>
          <w:numId w:val="29"/>
        </w:numPr>
        <w:tabs>
          <w:tab w:pos="1196" w:val="left" w:leader="none"/>
        </w:tabs>
        <w:spacing w:line="319" w:lineRule="auto" w:before="25" w:after="0"/>
        <w:ind w:left="117" w:right="216" w:firstLine="440"/>
        <w:jc w:val="left"/>
        <w:rPr>
          <w:sz w:val="22"/>
        </w:rPr>
      </w:pPr>
      <w:r>
        <w:rPr>
          <w:color w:val="231F20"/>
          <w:spacing w:val="-11"/>
          <w:sz w:val="22"/>
        </w:rPr>
        <w:t>暂列金额：是指发包人在项目清单中给定的，用于在订立协议书时尚未确定或不可预</w:t>
      </w:r>
      <w:r>
        <w:rPr>
          <w:color w:val="231F20"/>
          <w:spacing w:val="-5"/>
          <w:sz w:val="22"/>
        </w:rPr>
        <w:t>见变更的设计、施工及其所需材料、工程设备、服务等的金额，包括以计日工方式支付的金额。</w:t>
      </w:r>
    </w:p>
    <w:p>
      <w:pPr>
        <w:pStyle w:val="ListParagraph"/>
        <w:numPr>
          <w:ilvl w:val="3"/>
          <w:numId w:val="29"/>
        </w:numPr>
        <w:tabs>
          <w:tab w:pos="1232" w:val="left" w:leader="none"/>
        </w:tabs>
        <w:spacing w:line="319" w:lineRule="auto" w:before="25" w:after="0"/>
        <w:ind w:left="117" w:right="210" w:firstLine="440"/>
        <w:jc w:val="left"/>
        <w:rPr>
          <w:sz w:val="22"/>
        </w:rPr>
      </w:pPr>
      <w:r>
        <w:rPr>
          <w:color w:val="231F20"/>
          <w:spacing w:val="-8"/>
          <w:sz w:val="22"/>
        </w:rPr>
        <w:t>计日工：是指合同履行过程中，承包人完成发包人提出的零星工作或需要采用计日工计价的变更工作时，按合同中约定的单价计价的一种方式。</w:t>
      </w:r>
    </w:p>
    <w:p>
      <w:pPr>
        <w:pStyle w:val="ListParagraph"/>
        <w:numPr>
          <w:ilvl w:val="3"/>
          <w:numId w:val="29"/>
        </w:numPr>
        <w:tabs>
          <w:tab w:pos="1234" w:val="left" w:leader="none"/>
        </w:tabs>
        <w:spacing w:line="319" w:lineRule="auto" w:before="25" w:after="0"/>
        <w:ind w:left="117" w:right="210" w:firstLine="440"/>
        <w:jc w:val="left"/>
        <w:rPr>
          <w:sz w:val="22"/>
        </w:rPr>
      </w:pPr>
      <w:r>
        <w:rPr>
          <w:color w:val="231F20"/>
          <w:spacing w:val="-4"/>
          <w:sz w:val="22"/>
        </w:rPr>
        <w:t>质量保证金：是指按第 </w:t>
      </w:r>
      <w:r>
        <w:rPr>
          <w:color w:val="231F20"/>
          <w:sz w:val="22"/>
        </w:rPr>
        <w:t>14.6 款 [ 质量保证金 ] 约定承包人用于保证其在缺陷责任期内履行缺陷修复义务的担保。</w:t>
      </w:r>
    </w:p>
    <w:p>
      <w:pPr>
        <w:pStyle w:val="ListParagraph"/>
        <w:numPr>
          <w:ilvl w:val="2"/>
          <w:numId w:val="30"/>
        </w:numPr>
        <w:tabs>
          <w:tab w:pos="1048" w:val="left" w:leader="none"/>
        </w:tabs>
        <w:spacing w:line="240" w:lineRule="auto" w:before="25" w:after="0"/>
        <w:ind w:left="1047" w:right="0" w:hanging="490"/>
        <w:jc w:val="left"/>
        <w:rPr>
          <w:sz w:val="22"/>
        </w:rPr>
      </w:pPr>
      <w:r>
        <w:rPr>
          <w:color w:val="231F20"/>
          <w:sz w:val="22"/>
        </w:rPr>
        <w:t>其他</w:t>
      </w:r>
    </w:p>
    <w:p>
      <w:pPr>
        <w:pStyle w:val="ListParagraph"/>
        <w:numPr>
          <w:ilvl w:val="3"/>
          <w:numId w:val="30"/>
        </w:numPr>
        <w:tabs>
          <w:tab w:pos="1232" w:val="left" w:leader="none"/>
        </w:tabs>
        <w:spacing w:line="319" w:lineRule="auto" w:before="109" w:after="0"/>
        <w:ind w:left="117" w:right="211" w:firstLine="440"/>
        <w:jc w:val="left"/>
        <w:rPr>
          <w:sz w:val="22"/>
        </w:rPr>
      </w:pPr>
      <w:r>
        <w:rPr>
          <w:color w:val="231F20"/>
          <w:spacing w:val="-8"/>
          <w:sz w:val="22"/>
        </w:rPr>
        <w:t>书面形式：指合同文件、信函、电报、传真、数据电文、电子邮件、会议纪要等可以有形地表现所载内容的形式。</w:t>
      </w:r>
    </w:p>
    <w:p>
      <w:pPr>
        <w:pStyle w:val="ListParagraph"/>
        <w:numPr>
          <w:ilvl w:val="3"/>
          <w:numId w:val="30"/>
        </w:numPr>
        <w:tabs>
          <w:tab w:pos="1235" w:val="left" w:leader="none"/>
        </w:tabs>
        <w:spacing w:line="319" w:lineRule="auto" w:before="26" w:after="0"/>
        <w:ind w:left="117" w:right="105" w:firstLine="440"/>
        <w:jc w:val="left"/>
        <w:rPr>
          <w:sz w:val="22"/>
        </w:rPr>
      </w:pPr>
      <w:r>
        <w:rPr>
          <w:color w:val="231F20"/>
          <w:spacing w:val="-3"/>
          <w:sz w:val="22"/>
        </w:rPr>
        <w:t>承包人文件：指由承包人根据合同约定应提交的所有图纸、手册、模型、计算书、软件、函件、洽商性文件和其他技术性文件。</w:t>
      </w:r>
    </w:p>
    <w:p>
      <w:pPr>
        <w:pStyle w:val="ListParagraph"/>
        <w:numPr>
          <w:ilvl w:val="3"/>
          <w:numId w:val="30"/>
        </w:numPr>
        <w:tabs>
          <w:tab w:pos="1232" w:val="left" w:leader="none"/>
        </w:tabs>
        <w:spacing w:line="319" w:lineRule="auto" w:before="26" w:after="0"/>
        <w:ind w:left="117" w:right="210" w:firstLine="440"/>
        <w:jc w:val="left"/>
        <w:rPr>
          <w:sz w:val="22"/>
        </w:rPr>
      </w:pPr>
      <w:r>
        <w:rPr>
          <w:color w:val="231F20"/>
          <w:spacing w:val="-7"/>
          <w:sz w:val="22"/>
        </w:rPr>
        <w:t>变更：指根据第 </w:t>
      </w:r>
      <w:r>
        <w:rPr>
          <w:color w:val="231F20"/>
          <w:sz w:val="22"/>
        </w:rPr>
        <w:t>13 条 [ 变更与调整 ] 的约定，经指示或批准对《发包人要求》或工程所做的改变。</w:t>
      </w:r>
    </w:p>
    <w:p>
      <w:pPr>
        <w:pStyle w:val="ListParagraph"/>
        <w:numPr>
          <w:ilvl w:val="1"/>
          <w:numId w:val="31"/>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语言文字</w:t>
      </w:r>
    </w:p>
    <w:p>
      <w:pPr>
        <w:pStyle w:val="BodyText"/>
        <w:spacing w:line="319" w:lineRule="auto" w:before="121"/>
        <w:ind w:right="215" w:firstLine="440"/>
      </w:pPr>
      <w:r>
        <w:rPr>
          <w:color w:val="231F20"/>
          <w:spacing w:val="-13"/>
        </w:rPr>
        <w:t>合同文件以中国的汉语简体语言文字编写、解释和说明。专用术语使用外文的，应附有中文注</w:t>
      </w:r>
      <w:r>
        <w:rPr>
          <w:color w:val="231F20"/>
          <w:spacing w:val="-14"/>
        </w:rPr>
        <w:t>释。合同当事人在专用合同条件约定使用两种及以上语言时，汉语为优先解释和说明合同的语言。</w:t>
      </w:r>
    </w:p>
    <w:p>
      <w:pPr>
        <w:pStyle w:val="BodyText"/>
        <w:spacing w:line="319" w:lineRule="auto" w:before="25"/>
        <w:ind w:right="215" w:firstLine="440"/>
      </w:pPr>
      <w:r>
        <w:rPr>
          <w:color w:val="231F20"/>
        </w:rPr>
        <w:t>与合同有关的联络应使用专用合同条件约定的语言。如没有约定，则应使用中国的汉语简体语言文字。</w:t>
      </w:r>
    </w:p>
    <w:p>
      <w:pPr>
        <w:pStyle w:val="ListParagraph"/>
        <w:numPr>
          <w:ilvl w:val="1"/>
          <w:numId w:val="31"/>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法律</w:t>
      </w:r>
    </w:p>
    <w:p>
      <w:pPr>
        <w:pStyle w:val="BodyText"/>
        <w:spacing w:line="319" w:lineRule="auto" w:before="122"/>
        <w:ind w:right="215" w:firstLine="440"/>
      </w:pPr>
      <w:r>
        <w:rPr>
          <w:color w:val="231F20"/>
        </w:rPr>
        <w:t>合同所称法律是指中华人民共和国法律、行政法规、部门规章，以及工程所在地的地方法规、自治条例、单行条例和地方政府规章等。</w:t>
      </w:r>
    </w:p>
    <w:p>
      <w:pPr>
        <w:pStyle w:val="BodyText"/>
        <w:spacing w:before="26"/>
        <w:ind w:left="557"/>
      </w:pPr>
      <w:r>
        <w:rPr>
          <w:color w:val="231F20"/>
        </w:rPr>
        <w:t>合同当事人可以在专用合同条件中约定合同适用的其他规范性文件。</w:t>
      </w:r>
    </w:p>
    <w:p>
      <w:pPr>
        <w:pStyle w:val="ListParagraph"/>
        <w:numPr>
          <w:ilvl w:val="1"/>
          <w:numId w:val="31"/>
        </w:numPr>
        <w:tabs>
          <w:tab w:pos="924" w:val="left" w:leader="none"/>
        </w:tabs>
        <w:spacing w:line="240" w:lineRule="auto" w:before="103" w:after="0"/>
        <w:ind w:left="923" w:right="0" w:hanging="366"/>
        <w:jc w:val="left"/>
        <w:rPr>
          <w:rFonts w:ascii="方正黑体_GBK" w:eastAsia="方正黑体_GBK" w:hint="eastAsia"/>
          <w:sz w:val="22"/>
        </w:rPr>
      </w:pPr>
      <w:r>
        <w:rPr>
          <w:rFonts w:ascii="方正黑体_GBK" w:eastAsia="方正黑体_GBK" w:hint="eastAsia"/>
          <w:color w:val="231F20"/>
          <w:sz w:val="22"/>
        </w:rPr>
        <w:t>标准和规范</w:t>
      </w:r>
    </w:p>
    <w:p>
      <w:pPr>
        <w:pStyle w:val="ListParagraph"/>
        <w:numPr>
          <w:ilvl w:val="2"/>
          <w:numId w:val="31"/>
        </w:numPr>
        <w:tabs>
          <w:tab w:pos="1049" w:val="left" w:leader="none"/>
        </w:tabs>
        <w:spacing w:line="240" w:lineRule="auto" w:before="122" w:after="0"/>
        <w:ind w:left="117" w:right="0" w:firstLine="440"/>
        <w:jc w:val="left"/>
        <w:rPr>
          <w:sz w:val="22"/>
        </w:rPr>
      </w:pPr>
      <w:r>
        <w:rPr>
          <w:color w:val="231F20"/>
          <w:sz w:val="22"/>
        </w:rPr>
        <w:t>适用于工程的国家标准、行业标准、工程所在地的地方性标准，以及相应的规范、规</w:t>
      </w:r>
    </w:p>
    <w:p>
      <w:pPr>
        <w:spacing w:after="0" w:line="240" w:lineRule="auto"/>
        <w:jc w:val="left"/>
        <w:rPr>
          <w:sz w:val="22"/>
        </w:rPr>
        <w:sectPr>
          <w:pgSz w:w="11910" w:h="16840"/>
          <w:pgMar w:header="0" w:footer="832" w:top="1580" w:bottom="1020" w:left="1300" w:right="1200"/>
        </w:sectPr>
      </w:pPr>
    </w:p>
    <w:p>
      <w:pPr>
        <w:pStyle w:val="BodyText"/>
        <w:spacing w:before="24"/>
      </w:pPr>
      <w:r>
        <w:rPr>
          <w:color w:val="231F20"/>
        </w:rPr>
        <w:t>程等，合同当事人有特别要求的，应在专用合同条件中约定。</w:t>
      </w:r>
    </w:p>
    <w:p>
      <w:pPr>
        <w:pStyle w:val="ListParagraph"/>
        <w:numPr>
          <w:ilvl w:val="2"/>
          <w:numId w:val="31"/>
        </w:numPr>
        <w:tabs>
          <w:tab w:pos="1049" w:val="left" w:leader="none"/>
        </w:tabs>
        <w:spacing w:line="319" w:lineRule="auto" w:before="109" w:after="0"/>
        <w:ind w:left="117" w:right="115" w:firstLine="440"/>
        <w:jc w:val="both"/>
        <w:rPr>
          <w:sz w:val="22"/>
        </w:rPr>
      </w:pPr>
      <w:r>
        <w:rPr>
          <w:color w:val="231F20"/>
          <w:sz w:val="22"/>
        </w:rPr>
        <w:t>发包人要求使用国外标准、规范的，发包人负责提供原文版本和中文译本，并在专用合同条件中约定提供标准规范的名称、份数和时间。</w:t>
      </w:r>
    </w:p>
    <w:p>
      <w:pPr>
        <w:pStyle w:val="ListParagraph"/>
        <w:numPr>
          <w:ilvl w:val="2"/>
          <w:numId w:val="31"/>
        </w:numPr>
        <w:tabs>
          <w:tab w:pos="1049" w:val="left" w:leader="none"/>
        </w:tabs>
        <w:spacing w:line="319" w:lineRule="auto" w:before="25" w:after="0"/>
        <w:ind w:left="117" w:right="114" w:firstLine="440"/>
        <w:jc w:val="both"/>
        <w:rPr>
          <w:sz w:val="22"/>
        </w:rPr>
      </w:pPr>
      <w:r>
        <w:rPr>
          <w:color w:val="231F20"/>
          <w:sz w:val="22"/>
        </w:rPr>
        <w:t>没有相应成文规定的标准、规范时，由发包人在专用合同条件中约定的时间向承包人列明技术要求，承包人按约定的时间和技术要求提出实施方法，经发包人认可后执行。承包人需要对实施方法进行研发试验的，或须对项目人员进行特殊培训及其有特殊要求的，除签约合同价已包含此项费用外，双方应另行订立协议作为合同附件，其费用由发包人承担。</w:t>
      </w:r>
    </w:p>
    <w:p>
      <w:pPr>
        <w:pStyle w:val="ListParagraph"/>
        <w:numPr>
          <w:ilvl w:val="2"/>
          <w:numId w:val="31"/>
        </w:numPr>
        <w:tabs>
          <w:tab w:pos="1049" w:val="left" w:leader="none"/>
        </w:tabs>
        <w:spacing w:line="319" w:lineRule="auto" w:before="25" w:after="0"/>
        <w:ind w:left="117" w:right="115" w:firstLine="440"/>
        <w:jc w:val="both"/>
        <w:rPr>
          <w:sz w:val="22"/>
        </w:rPr>
      </w:pPr>
      <w:r>
        <w:rPr>
          <w:color w:val="231F20"/>
          <w:sz w:val="22"/>
        </w:rPr>
        <w:t>发包人对于工程的技术标准、功能要求高于或严于现行国家、行业或地方标准的，应当在《发包人要求》中予以明确。除专用合同条件另有约定外，应视为承包人在订立合同前已充分预见前述技术标准和功能要求的复杂程度，签约合同价中已包含由此产生的费用。</w:t>
      </w:r>
    </w:p>
    <w:p>
      <w:pPr>
        <w:pStyle w:val="ListParagraph"/>
        <w:numPr>
          <w:ilvl w:val="1"/>
          <w:numId w:val="31"/>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合同文件的优先顺序</w:t>
      </w:r>
    </w:p>
    <w:p>
      <w:pPr>
        <w:pStyle w:val="BodyText"/>
        <w:spacing w:line="319" w:lineRule="auto" w:before="121"/>
        <w:ind w:right="110" w:firstLine="440"/>
        <w:jc w:val="both"/>
      </w:pPr>
      <w:r>
        <w:rPr>
          <w:color w:val="231F20"/>
        </w:rPr>
        <w:t>组成合同的各项文件应互相解释，互为说明。除专用合同条件另有约定外，解释合同文件的优先顺序如下：</w:t>
      </w:r>
    </w:p>
    <w:p>
      <w:pPr>
        <w:pStyle w:val="BodyText"/>
        <w:spacing w:before="25"/>
        <w:ind w:left="447"/>
      </w:pPr>
      <w:r>
        <w:rPr>
          <w:color w:val="231F20"/>
        </w:rPr>
        <w:t>（ 1）合同协议书；</w:t>
      </w:r>
    </w:p>
    <w:p>
      <w:pPr>
        <w:pStyle w:val="BodyText"/>
        <w:ind w:left="447"/>
      </w:pPr>
      <w:r>
        <w:rPr>
          <w:color w:val="231F20"/>
        </w:rPr>
        <w:t>（ 2）中标通知书（如果有）；</w:t>
      </w:r>
    </w:p>
    <w:p>
      <w:pPr>
        <w:pStyle w:val="BodyText"/>
        <w:ind w:left="447"/>
      </w:pPr>
      <w:r>
        <w:rPr>
          <w:color w:val="231F20"/>
        </w:rPr>
        <w:t>（ 3）投标函及投标函附录（如果有）；</w:t>
      </w:r>
    </w:p>
    <w:p>
      <w:pPr>
        <w:pStyle w:val="BodyText"/>
        <w:ind w:left="447"/>
      </w:pPr>
      <w:r>
        <w:rPr>
          <w:color w:val="231F20"/>
        </w:rPr>
        <w:t>（ 4）专用合同条件及《发包人要求》等附件；</w:t>
      </w:r>
    </w:p>
    <w:p>
      <w:pPr>
        <w:pStyle w:val="BodyText"/>
        <w:ind w:left="447"/>
      </w:pPr>
      <w:r>
        <w:rPr>
          <w:color w:val="231F20"/>
        </w:rPr>
        <w:t>（ 5）通用合同条件；</w:t>
      </w:r>
    </w:p>
    <w:p>
      <w:pPr>
        <w:pStyle w:val="BodyText"/>
        <w:ind w:left="447"/>
      </w:pPr>
      <w:r>
        <w:rPr>
          <w:color w:val="231F20"/>
        </w:rPr>
        <w:t>（ 6）承包人建议书；</w:t>
      </w:r>
    </w:p>
    <w:p>
      <w:pPr>
        <w:pStyle w:val="BodyText"/>
        <w:ind w:left="447"/>
      </w:pPr>
      <w:r>
        <w:rPr>
          <w:color w:val="231F20"/>
        </w:rPr>
        <w:t>（ 7）价格清单；</w:t>
      </w:r>
    </w:p>
    <w:p>
      <w:pPr>
        <w:pStyle w:val="BodyText"/>
        <w:ind w:left="447"/>
      </w:pPr>
      <w:r>
        <w:rPr>
          <w:color w:val="231F20"/>
        </w:rPr>
        <w:t>（ 8）双方约定的其他合同文件。</w:t>
      </w:r>
    </w:p>
    <w:p>
      <w:pPr>
        <w:pStyle w:val="BodyText"/>
        <w:spacing w:line="319" w:lineRule="auto"/>
        <w:ind w:right="116" w:firstLine="440"/>
        <w:jc w:val="both"/>
      </w:pPr>
      <w:r>
        <w:rPr>
          <w:color w:val="231F20"/>
        </w:rPr>
        <w:t>上述各项合同文件包括合同当事人就该项合同文件所作出的补充和修改，属于同一类内容的文件，应以最新签署的为准。</w:t>
      </w:r>
    </w:p>
    <w:p>
      <w:pPr>
        <w:pStyle w:val="BodyText"/>
        <w:spacing w:line="319" w:lineRule="auto" w:before="25"/>
        <w:ind w:right="116" w:firstLine="440"/>
        <w:jc w:val="both"/>
      </w:pPr>
      <w:r>
        <w:rPr>
          <w:color w:val="231F20"/>
        </w:rPr>
        <w:t>在合同订立及履行过程中形成的与合同有关的文件均构成合同文件组成部分，并根据其性质确定优先解释顺序。</w:t>
      </w:r>
    </w:p>
    <w:p>
      <w:pPr>
        <w:pStyle w:val="ListParagraph"/>
        <w:numPr>
          <w:ilvl w:val="1"/>
          <w:numId w:val="31"/>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文件的提供和照管</w:t>
      </w:r>
    </w:p>
    <w:p>
      <w:pPr>
        <w:pStyle w:val="ListParagraph"/>
        <w:numPr>
          <w:ilvl w:val="2"/>
          <w:numId w:val="31"/>
        </w:numPr>
        <w:tabs>
          <w:tab w:pos="1048" w:val="left" w:leader="none"/>
        </w:tabs>
        <w:spacing w:line="240" w:lineRule="auto" w:before="122" w:after="0"/>
        <w:ind w:left="1047" w:right="0" w:hanging="490"/>
        <w:jc w:val="left"/>
        <w:rPr>
          <w:sz w:val="22"/>
        </w:rPr>
      </w:pPr>
      <w:r>
        <w:rPr>
          <w:color w:val="231F20"/>
          <w:sz w:val="22"/>
        </w:rPr>
        <w:t>发包人文件的提供</w:t>
      </w:r>
    </w:p>
    <w:p>
      <w:pPr>
        <w:pStyle w:val="BodyText"/>
        <w:spacing w:line="319" w:lineRule="auto"/>
        <w:ind w:right="109" w:firstLine="440"/>
        <w:jc w:val="both"/>
      </w:pPr>
      <w:r>
        <w:rPr>
          <w:color w:val="231F20"/>
        </w:rPr>
        <w:t>发包人应按照专用合同条件约定的期限、数量和形式向承包人免费提供前期工作相关资料、环境保护、气象水文、地质条件进行工程设计、现场施工等工程实施所需的文件。因发包人未按合同约定提供文件造成工期延误的，按照第 8.7.1 项 [ 因发包人原因导致工期延误 ] 约定办理。</w:t>
      </w:r>
    </w:p>
    <w:p>
      <w:pPr>
        <w:spacing w:after="0" w:line="319" w:lineRule="auto"/>
        <w:jc w:val="both"/>
        <w:sectPr>
          <w:pgSz w:w="11910" w:h="16840"/>
          <w:pgMar w:header="0" w:footer="832" w:top="1580" w:bottom="1020" w:left="1300" w:right="1300"/>
        </w:sectPr>
      </w:pPr>
    </w:p>
    <w:p>
      <w:pPr>
        <w:pStyle w:val="ListParagraph"/>
        <w:numPr>
          <w:ilvl w:val="2"/>
          <w:numId w:val="31"/>
        </w:numPr>
        <w:tabs>
          <w:tab w:pos="1048" w:val="left" w:leader="none"/>
        </w:tabs>
        <w:spacing w:line="240" w:lineRule="auto" w:before="24" w:after="0"/>
        <w:ind w:left="1047" w:right="0" w:hanging="490"/>
        <w:jc w:val="left"/>
        <w:rPr>
          <w:sz w:val="22"/>
        </w:rPr>
      </w:pPr>
      <w:r>
        <w:rPr>
          <w:color w:val="231F20"/>
          <w:sz w:val="22"/>
        </w:rPr>
        <w:t>承包人文件的提供</w:t>
      </w:r>
    </w:p>
    <w:p>
      <w:pPr>
        <w:pStyle w:val="BodyText"/>
        <w:spacing w:line="319" w:lineRule="auto"/>
        <w:ind w:right="95" w:firstLine="440"/>
      </w:pPr>
      <w:r>
        <w:rPr>
          <w:color w:val="231F20"/>
        </w:rPr>
        <w:t>除专用合同条件另有约定外，承包人文件应包含下列内容，并用第 1.2 款 [ 语言文字 ] 约定的语言制作：</w:t>
      </w:r>
    </w:p>
    <w:p>
      <w:pPr>
        <w:pStyle w:val="BodyText"/>
        <w:spacing w:before="25"/>
        <w:ind w:left="447"/>
      </w:pPr>
      <w:r>
        <w:rPr>
          <w:color w:val="231F20"/>
        </w:rPr>
        <w:t>（</w:t>
      </w:r>
      <w:r>
        <w:rPr>
          <w:color w:val="231F20"/>
          <w:spacing w:val="-27"/>
        </w:rPr>
        <w:t> </w:t>
      </w:r>
      <w:r>
        <w:rPr>
          <w:color w:val="231F20"/>
          <w:spacing w:val="-1"/>
        </w:rPr>
        <w:t>1</w:t>
      </w:r>
      <w:r>
        <w:rPr>
          <w:color w:val="231F20"/>
          <w:spacing w:val="-166"/>
        </w:rPr>
        <w:t>）</w:t>
      </w:r>
      <w:r>
        <w:rPr>
          <w:color w:val="231F20"/>
        </w:rPr>
        <w:t>《发包人要求》中规定的相关文件；</w:t>
      </w:r>
    </w:p>
    <w:p>
      <w:pPr>
        <w:pStyle w:val="BodyText"/>
        <w:spacing w:before="108"/>
        <w:ind w:left="447"/>
      </w:pPr>
      <w:r>
        <w:rPr>
          <w:color w:val="231F20"/>
        </w:rPr>
        <w:t>（ 2）满足工程相关行政审批手续所必须的应由承包人负责的相关文件；</w:t>
      </w:r>
    </w:p>
    <w:p>
      <w:pPr>
        <w:pStyle w:val="BodyText"/>
        <w:spacing w:before="108"/>
        <w:ind w:left="447"/>
      </w:pPr>
      <w:r>
        <w:rPr>
          <w:color w:val="231F20"/>
        </w:rPr>
        <w:t>（ 3）第 5.4 款 [ 竣工文件 ] 与第 5.5 款 [ 操作和维修手册 ] 中要求的相关文件。</w:t>
      </w:r>
    </w:p>
    <w:p>
      <w:pPr>
        <w:pStyle w:val="BodyText"/>
        <w:spacing w:line="319" w:lineRule="auto" w:before="108"/>
        <w:ind w:right="114" w:firstLine="440"/>
        <w:jc w:val="both"/>
      </w:pPr>
      <w:r>
        <w:rPr>
          <w:color w:val="231F20"/>
        </w:rPr>
        <w:t>承包人应按照专用合同条件约定的期限、名称、数量和形式向工程师提供应当由承包人编制的与工程设计、现场施工等工程实施有关的承包人文件。工程师对承包人文件有异议的，承包人应予以修改，并重新报送工程师。合同约定承包人文件应经审查的，工程师应在合同约定的期限内审查完毕，但工程师的审查并不减轻或免除承包人根据合同约定应当承担的责任。承包人文件的提供和审查还应遵守第 5.2 款 [ 承包人文件审查 ] 和第 5.4 款 [ 竣工文件 ] 的约定。</w:t>
      </w:r>
    </w:p>
    <w:p>
      <w:pPr>
        <w:pStyle w:val="ListParagraph"/>
        <w:numPr>
          <w:ilvl w:val="2"/>
          <w:numId w:val="31"/>
        </w:numPr>
        <w:tabs>
          <w:tab w:pos="1048" w:val="left" w:leader="none"/>
        </w:tabs>
        <w:spacing w:line="240" w:lineRule="auto" w:before="25" w:after="0"/>
        <w:ind w:left="1047" w:right="0" w:hanging="490"/>
        <w:jc w:val="left"/>
        <w:rPr>
          <w:sz w:val="22"/>
        </w:rPr>
      </w:pPr>
      <w:r>
        <w:rPr>
          <w:color w:val="231F20"/>
          <w:sz w:val="22"/>
        </w:rPr>
        <w:t>文件错误的通知</w:t>
      </w:r>
    </w:p>
    <w:p>
      <w:pPr>
        <w:pStyle w:val="BodyText"/>
        <w:ind w:left="557"/>
      </w:pPr>
      <w:r>
        <w:rPr>
          <w:color w:val="231F20"/>
        </w:rPr>
        <w:t>任何一方发现文件中存在明显的错误或疏忽，应及时通知另一方。</w:t>
      </w:r>
    </w:p>
    <w:p>
      <w:pPr>
        <w:pStyle w:val="ListParagraph"/>
        <w:numPr>
          <w:ilvl w:val="2"/>
          <w:numId w:val="31"/>
        </w:numPr>
        <w:tabs>
          <w:tab w:pos="1048" w:val="left" w:leader="none"/>
        </w:tabs>
        <w:spacing w:line="240" w:lineRule="auto" w:before="109" w:after="0"/>
        <w:ind w:left="1047" w:right="0" w:hanging="490"/>
        <w:jc w:val="left"/>
        <w:rPr>
          <w:sz w:val="22"/>
        </w:rPr>
      </w:pPr>
      <w:r>
        <w:rPr>
          <w:color w:val="231F20"/>
          <w:sz w:val="22"/>
        </w:rPr>
        <w:t>文件的照管</w:t>
      </w:r>
    </w:p>
    <w:p>
      <w:pPr>
        <w:pStyle w:val="BodyText"/>
        <w:spacing w:line="319" w:lineRule="auto"/>
        <w:ind w:right="109" w:firstLine="440"/>
        <w:jc w:val="both"/>
      </w:pPr>
      <w:r>
        <w:rPr>
          <w:color w:val="231F20"/>
        </w:rPr>
        <w:t>除专用合同条件另有约定外，承包人应在现场保留一份合同、《发包人要求》中列出的所有文件、承包人文件、变更以及其他根据合同收发的往来信函。发包人和工程师有权在任何合理的时间查阅和使用上述所有文件。</w:t>
      </w:r>
    </w:p>
    <w:p>
      <w:pPr>
        <w:pStyle w:val="ListParagraph"/>
        <w:numPr>
          <w:ilvl w:val="1"/>
          <w:numId w:val="32"/>
        </w:numPr>
        <w:tabs>
          <w:tab w:pos="924" w:val="left" w:leader="none"/>
        </w:tabs>
        <w:spacing w:line="240" w:lineRule="auto" w:before="20" w:after="0"/>
        <w:ind w:left="923" w:right="0" w:hanging="366"/>
        <w:jc w:val="left"/>
        <w:rPr>
          <w:rFonts w:ascii="方正黑体_GBK" w:eastAsia="方正黑体_GBK" w:hint="eastAsia"/>
          <w:sz w:val="22"/>
        </w:rPr>
      </w:pPr>
      <w:r>
        <w:rPr>
          <w:rFonts w:ascii="方正黑体_GBK" w:eastAsia="方正黑体_GBK" w:hint="eastAsia"/>
          <w:color w:val="231F20"/>
          <w:sz w:val="22"/>
        </w:rPr>
        <w:t>联络</w:t>
      </w:r>
    </w:p>
    <w:p>
      <w:pPr>
        <w:pStyle w:val="ListParagraph"/>
        <w:numPr>
          <w:ilvl w:val="2"/>
          <w:numId w:val="32"/>
        </w:numPr>
        <w:tabs>
          <w:tab w:pos="1049" w:val="left" w:leader="none"/>
        </w:tabs>
        <w:spacing w:line="319" w:lineRule="auto" w:before="122" w:after="0"/>
        <w:ind w:left="117" w:right="115" w:firstLine="440"/>
        <w:jc w:val="both"/>
        <w:rPr>
          <w:sz w:val="22"/>
        </w:rPr>
      </w:pPr>
      <w:r>
        <w:rPr>
          <w:color w:val="231F20"/>
          <w:sz w:val="22"/>
        </w:rPr>
        <w:t>与合同有关的通知、批准、证明、证书、指示、指令、要求、请求、同意、意见、确定和决定等，均应采用书面形式，并应在合同约定的期限内（如无约定，应在合理期限内）通过特快专递或专人、挂号信、传真或双方商定的电子传输方式送达收件地址。</w:t>
      </w:r>
    </w:p>
    <w:p>
      <w:pPr>
        <w:pStyle w:val="ListParagraph"/>
        <w:numPr>
          <w:ilvl w:val="2"/>
          <w:numId w:val="32"/>
        </w:numPr>
        <w:tabs>
          <w:tab w:pos="1049" w:val="left" w:leader="none"/>
        </w:tabs>
        <w:spacing w:line="319" w:lineRule="auto" w:before="25" w:after="0"/>
        <w:ind w:left="117" w:right="115" w:firstLine="440"/>
        <w:jc w:val="left"/>
        <w:rPr>
          <w:sz w:val="22"/>
        </w:rPr>
      </w:pPr>
      <w:r>
        <w:rPr>
          <w:color w:val="231F20"/>
          <w:sz w:val="22"/>
        </w:rPr>
        <w:t>发包人和承包人应在专用合同条件中约定各自的送达方式和收件地址。任何一方合同当事人指定的送达方式或收件地址发生变动的，应提前 3 天以书面形式通知对方。</w:t>
      </w:r>
    </w:p>
    <w:p>
      <w:pPr>
        <w:pStyle w:val="ListParagraph"/>
        <w:numPr>
          <w:ilvl w:val="2"/>
          <w:numId w:val="32"/>
        </w:numPr>
        <w:tabs>
          <w:tab w:pos="1071" w:val="left" w:leader="none"/>
        </w:tabs>
        <w:spacing w:line="319" w:lineRule="auto" w:before="25" w:after="0"/>
        <w:ind w:left="117" w:right="107" w:firstLine="440"/>
        <w:jc w:val="left"/>
        <w:rPr>
          <w:sz w:val="22"/>
        </w:rPr>
      </w:pPr>
      <w:r>
        <w:rPr>
          <w:color w:val="231F20"/>
          <w:spacing w:val="5"/>
          <w:sz w:val="22"/>
        </w:rPr>
        <w:t>发包人和承包人应当及时签收另一方通过约定的送达方式送达至收件地址的来往文</w:t>
      </w:r>
      <w:r>
        <w:rPr>
          <w:color w:val="231F20"/>
          <w:sz w:val="22"/>
        </w:rPr>
        <w:t>件。拒不签收的，由此增加的费用和（或）延误的工期由拒绝接收一方承担。</w:t>
      </w:r>
    </w:p>
    <w:p>
      <w:pPr>
        <w:pStyle w:val="ListParagraph"/>
        <w:numPr>
          <w:ilvl w:val="2"/>
          <w:numId w:val="32"/>
        </w:numPr>
        <w:tabs>
          <w:tab w:pos="1049" w:val="left" w:leader="none"/>
        </w:tabs>
        <w:spacing w:line="319" w:lineRule="auto" w:before="25" w:after="0"/>
        <w:ind w:left="117" w:right="115" w:firstLine="440"/>
        <w:jc w:val="both"/>
        <w:rPr>
          <w:sz w:val="22"/>
        </w:rPr>
      </w:pPr>
      <w:r>
        <w:rPr>
          <w:color w:val="231F20"/>
          <w:sz w:val="22"/>
        </w:rPr>
        <w:t>对于工程师向承包人发出的任何通知，均应以书面形式由工程师或其代表签认后送交</w:t>
      </w:r>
      <w:r>
        <w:rPr>
          <w:color w:val="231F20"/>
          <w:spacing w:val="-5"/>
          <w:sz w:val="22"/>
        </w:rPr>
        <w:t>承包人实施，并抄送发包人；对于合同一方向另一方发出的任何通知，均应抄送工程师。对于由工程师审查后报发包人批准的事项，应由工程师向承包人出具经发包人签认的批准文件。</w:t>
      </w:r>
    </w:p>
    <w:p>
      <w:pPr>
        <w:pStyle w:val="ListParagraph"/>
        <w:numPr>
          <w:ilvl w:val="1"/>
          <w:numId w:val="33"/>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严禁贿赂</w:t>
      </w:r>
    </w:p>
    <w:p>
      <w:pPr>
        <w:pStyle w:val="BodyText"/>
        <w:spacing w:line="319" w:lineRule="auto" w:before="122"/>
        <w:ind w:firstLine="440"/>
      </w:pPr>
      <w:r>
        <w:rPr>
          <w:color w:val="231F20"/>
        </w:rPr>
        <w:t>合同当事人不得以贿赂或变相贿赂的方式，谋取非法利益或损害对方权益。因一方合同当事人的贿赂造成对方损失的，应赔偿损失，并承担相应的法律责任。</w:t>
      </w:r>
    </w:p>
    <w:p>
      <w:pPr>
        <w:spacing w:after="0" w:line="319" w:lineRule="auto"/>
        <w:sectPr>
          <w:pgSz w:w="11910" w:h="16840"/>
          <w:pgMar w:header="0" w:footer="832" w:top="1580" w:bottom="1020" w:left="1300" w:right="1300"/>
        </w:sectPr>
      </w:pPr>
    </w:p>
    <w:p>
      <w:pPr>
        <w:pStyle w:val="BodyText"/>
        <w:spacing w:line="319" w:lineRule="auto" w:before="24"/>
        <w:ind w:right="93" w:firstLine="440"/>
      </w:pPr>
      <w:r>
        <w:rPr>
          <w:color w:val="231F20"/>
        </w:rPr>
        <w:t>承包人不得与工程师或发包人聘请的第三方串通损害发包人利益。未经发包人书面同意， 承包人不得为工程师提供合同约定以外的通讯设备、交通工具及其他任何形式的利益，不得向工程师支付报酬。</w:t>
      </w:r>
    </w:p>
    <w:p>
      <w:pPr>
        <w:pStyle w:val="ListParagraph"/>
        <w:numPr>
          <w:ilvl w:val="1"/>
          <w:numId w:val="33"/>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化石、文物</w:t>
      </w:r>
    </w:p>
    <w:p>
      <w:pPr>
        <w:pStyle w:val="BodyText"/>
        <w:spacing w:line="319" w:lineRule="auto" w:before="121"/>
        <w:ind w:right="230" w:firstLine="440"/>
        <w:jc w:val="both"/>
      </w:pPr>
      <w:r>
        <w:rPr>
          <w:color w:val="231F20"/>
        </w:rPr>
        <w:t>在施工现场发掘的所有文物、古迹以及具有地质研究或考古价值的其他遗迹、化石、钱币或物品属于国家所有。一旦发现上述文物，承包人应采取合理有效的保护措施，防止任何人员移动或损坏上述物品，并立即报告有关政府行政管理部门，同时通知工程师。</w:t>
      </w:r>
    </w:p>
    <w:p>
      <w:pPr>
        <w:pStyle w:val="BodyText"/>
        <w:spacing w:line="319" w:lineRule="auto" w:before="25"/>
        <w:ind w:right="93" w:firstLine="440"/>
      </w:pPr>
      <w:r>
        <w:rPr>
          <w:color w:val="231F20"/>
        </w:rPr>
        <w:t>发包人、工程师和承包人应按有关政府行政管理部门要求采取妥善的保护措施，由此增加的费用和（或）延误的工期由发包人承担。</w:t>
      </w:r>
    </w:p>
    <w:p>
      <w:pPr>
        <w:pStyle w:val="BodyText"/>
        <w:spacing w:line="319" w:lineRule="auto" w:before="25"/>
        <w:ind w:right="93" w:firstLine="440"/>
      </w:pPr>
      <w:r>
        <w:rPr>
          <w:color w:val="231F20"/>
        </w:rPr>
        <w:t>承包人发现文物后不及时报告或隐瞒不报，致使文物丢失或损坏的，应赔偿损失，并承担相应的法律责任。</w:t>
      </w:r>
    </w:p>
    <w:p>
      <w:pPr>
        <w:pStyle w:val="ListParagraph"/>
        <w:numPr>
          <w:ilvl w:val="1"/>
          <w:numId w:val="33"/>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知识产权</w:t>
      </w:r>
    </w:p>
    <w:p>
      <w:pPr>
        <w:pStyle w:val="ListParagraph"/>
        <w:numPr>
          <w:ilvl w:val="2"/>
          <w:numId w:val="33"/>
        </w:numPr>
        <w:tabs>
          <w:tab w:pos="1187" w:val="left" w:leader="none"/>
        </w:tabs>
        <w:spacing w:line="319" w:lineRule="auto" w:before="122" w:after="0"/>
        <w:ind w:left="117" w:right="112" w:firstLine="440"/>
        <w:jc w:val="left"/>
        <w:rPr>
          <w:sz w:val="22"/>
        </w:rPr>
      </w:pPr>
      <w:r>
        <w:rPr>
          <w:color w:val="231F20"/>
          <w:sz w:val="22"/>
        </w:rPr>
        <w:t>除专用合同条件另有约定外，由发包人</w:t>
      </w:r>
      <w:r>
        <w:rPr>
          <w:color w:val="231F20"/>
          <w:spacing w:val="11"/>
          <w:sz w:val="22"/>
        </w:rPr>
        <w:t>（或以发包人名义</w:t>
      </w:r>
      <w:r>
        <w:rPr>
          <w:color w:val="231F20"/>
          <w:spacing w:val="-42"/>
          <w:sz w:val="22"/>
        </w:rPr>
        <w:t>）</w:t>
      </w:r>
      <w:r>
        <w:rPr>
          <w:color w:val="231F20"/>
          <w:spacing w:val="3"/>
          <w:sz w:val="22"/>
        </w:rPr>
        <w:t>编制的《发包人要求》</w:t>
      </w:r>
      <w:r>
        <w:rPr>
          <w:color w:val="231F20"/>
          <w:spacing w:val="13"/>
          <w:sz w:val="22"/>
        </w:rPr>
        <w:t>和其他文件，就合同当事人之间而言，其著作权和其他知识产权应归发包人所有。承包</w:t>
      </w:r>
      <w:r>
        <w:rPr>
          <w:color w:val="231F20"/>
          <w:spacing w:val="5"/>
          <w:sz w:val="22"/>
        </w:rPr>
        <w:t>人可以为实现合同目的而复制、使用此类文件，但不能用于与合同无关的其他事项。未经</w:t>
      </w:r>
      <w:r>
        <w:rPr>
          <w:color w:val="231F20"/>
          <w:spacing w:val="3"/>
          <w:sz w:val="22"/>
        </w:rPr>
        <w:t>发包人书面同意，承包人不得为了合同以外的目的而复制、使用上述文件或将之提供给任何</w:t>
      </w:r>
      <w:r>
        <w:rPr>
          <w:color w:val="231F20"/>
          <w:spacing w:val="2"/>
          <w:sz w:val="22"/>
        </w:rPr>
        <w:t>第三方。</w:t>
      </w:r>
    </w:p>
    <w:p>
      <w:pPr>
        <w:pStyle w:val="ListParagraph"/>
        <w:numPr>
          <w:ilvl w:val="2"/>
          <w:numId w:val="33"/>
        </w:numPr>
        <w:tabs>
          <w:tab w:pos="1178" w:val="left" w:leader="none"/>
        </w:tabs>
        <w:spacing w:line="319" w:lineRule="auto" w:before="26" w:after="0"/>
        <w:ind w:left="117" w:right="124" w:firstLine="440"/>
        <w:jc w:val="left"/>
        <w:rPr>
          <w:sz w:val="22"/>
        </w:rPr>
      </w:pPr>
      <w:r>
        <w:rPr>
          <w:color w:val="231F20"/>
          <w:sz w:val="22"/>
        </w:rPr>
        <w:t>除专用合同条件另有约定外，由承包人（或以承包人名义）为实施工程所编制的文件、承包人完成的设计工作成果和建造完成的建筑物，就合同当事人之间而言，其著作权和其他知识产权应归承包人享有。发包人可因实施工程的运行、调试、维修、改造等目的而复制、使用此类文件，但不能用于与合同无关的其他事项。未经承包人书面同意，发包人不得为了合同以外的目的而复制、使用上述文件或将之提供给任何第三方。</w:t>
      </w:r>
    </w:p>
    <w:p>
      <w:pPr>
        <w:pStyle w:val="ListParagraph"/>
        <w:numPr>
          <w:ilvl w:val="2"/>
          <w:numId w:val="33"/>
        </w:numPr>
        <w:tabs>
          <w:tab w:pos="1178" w:val="left" w:leader="none"/>
        </w:tabs>
        <w:spacing w:line="319" w:lineRule="auto" w:before="26" w:after="0"/>
        <w:ind w:left="117" w:right="234" w:firstLine="440"/>
        <w:jc w:val="both"/>
        <w:rPr>
          <w:sz w:val="22"/>
        </w:rPr>
      </w:pPr>
      <w:r>
        <w:rPr>
          <w:color w:val="231F20"/>
          <w:sz w:val="22"/>
        </w:rPr>
        <w:t>合同当事人保证在履行合同过程中不侵犯对方及第三方的知识产权。承包人在工程设计、使用材料、施工设备、工程设备或采用施工工艺时，因侵犯他人的专利权或其他知识产</w:t>
      </w:r>
      <w:r>
        <w:rPr>
          <w:color w:val="231F20"/>
          <w:spacing w:val="-4"/>
          <w:sz w:val="22"/>
        </w:rPr>
        <w:t>权所引起的责任，由承包人承担；因发包人提供的材料、施工设备、工程设备或施工工艺导致侵权的，由发包人承担责任。</w:t>
      </w:r>
    </w:p>
    <w:p>
      <w:pPr>
        <w:pStyle w:val="ListParagraph"/>
        <w:numPr>
          <w:ilvl w:val="2"/>
          <w:numId w:val="33"/>
        </w:numPr>
        <w:tabs>
          <w:tab w:pos="1178" w:val="left" w:leader="none"/>
        </w:tabs>
        <w:spacing w:line="319" w:lineRule="auto" w:before="26" w:after="0"/>
        <w:ind w:left="117" w:right="232" w:firstLine="440"/>
        <w:jc w:val="left"/>
        <w:rPr>
          <w:sz w:val="22"/>
        </w:rPr>
      </w:pPr>
      <w:r>
        <w:rPr>
          <w:color w:val="231F20"/>
          <w:sz w:val="22"/>
        </w:rPr>
        <w:t>除专用合同条件另有约定外，承包人在投标文件中采用的专利、专有技术、商业软件、技术秘密的使用费已包含在签约合同价中。</w:t>
      </w:r>
    </w:p>
    <w:p>
      <w:pPr>
        <w:pStyle w:val="ListParagraph"/>
        <w:numPr>
          <w:ilvl w:val="2"/>
          <w:numId w:val="33"/>
        </w:numPr>
        <w:tabs>
          <w:tab w:pos="1178" w:val="left" w:leader="none"/>
        </w:tabs>
        <w:spacing w:line="319" w:lineRule="auto" w:before="26" w:after="0"/>
        <w:ind w:left="117" w:right="233" w:firstLine="440"/>
        <w:jc w:val="both"/>
        <w:rPr>
          <w:sz w:val="22"/>
        </w:rPr>
      </w:pPr>
      <w:r>
        <w:rPr>
          <w:color w:val="231F20"/>
          <w:sz w:val="22"/>
        </w:rPr>
        <w:t>合同当事人可就本合同涉及的合同一方、或合同双方（含一方或双方相关的专利商或第三方设计单位）的技术专利、建筑设计方案、专有技术、设计文件著作权等知识产权，订立知识产权及保密协议，作为本合同的组成部分。</w:t>
      </w:r>
    </w:p>
    <w:p>
      <w:pPr>
        <w:spacing w:after="0" w:line="319" w:lineRule="auto"/>
        <w:jc w:val="both"/>
        <w:rPr>
          <w:sz w:val="22"/>
        </w:rPr>
        <w:sectPr>
          <w:footerReference w:type="even" r:id="rId11"/>
          <w:footerReference w:type="default" r:id="rId12"/>
          <w:pgSz w:w="11910" w:h="16840"/>
          <w:pgMar w:footer="832" w:header="0" w:top="1580" w:bottom="1020" w:left="1300" w:right="1180"/>
        </w:sectPr>
      </w:pPr>
    </w:p>
    <w:p>
      <w:pPr>
        <w:pStyle w:val="ListParagraph"/>
        <w:numPr>
          <w:ilvl w:val="1"/>
          <w:numId w:val="34"/>
        </w:numPr>
        <w:tabs>
          <w:tab w:pos="1046" w:val="left" w:leader="none"/>
        </w:tabs>
        <w:spacing w:line="240" w:lineRule="auto" w:before="18" w:after="0"/>
        <w:ind w:left="1045" w:right="0" w:hanging="488"/>
        <w:jc w:val="left"/>
        <w:rPr>
          <w:rFonts w:ascii="方正黑体_GBK" w:eastAsia="方正黑体_GBK" w:hint="eastAsia"/>
          <w:sz w:val="22"/>
        </w:rPr>
      </w:pPr>
      <w:r>
        <w:rPr>
          <w:rFonts w:ascii="方正黑体_GBK" w:eastAsia="方正黑体_GBK" w:hint="eastAsia"/>
          <w:color w:val="231F20"/>
          <w:sz w:val="22"/>
        </w:rPr>
        <w:t>保密</w:t>
      </w:r>
    </w:p>
    <w:p>
      <w:pPr>
        <w:pStyle w:val="BodyText"/>
        <w:spacing w:line="319" w:lineRule="auto" w:before="122"/>
        <w:ind w:right="215" w:firstLine="440"/>
      </w:pPr>
      <w:r>
        <w:rPr>
          <w:color w:val="231F20"/>
        </w:rPr>
        <w:t>合同当事人一方对在订立和履行合同过程中知悉的另一方的商业秘密、技术秘密，以及任何一方明确要求保密的其它信息，负有保密责任。</w:t>
      </w:r>
    </w:p>
    <w:p>
      <w:pPr>
        <w:pStyle w:val="BodyText"/>
        <w:spacing w:line="319" w:lineRule="auto" w:before="25"/>
        <w:ind w:right="215" w:firstLine="440"/>
      </w:pPr>
      <w:r>
        <w:rPr>
          <w:color w:val="231F20"/>
        </w:rPr>
        <w:t>除法律规定或合同另有约定外，未经对方同意，任何一方当事人不得将对方提供的文件、技术秘密以及声明需要保密的资料信息等商业秘密泄露给第三方或者用于本合同以外的目的。</w:t>
      </w:r>
    </w:p>
    <w:p>
      <w:pPr>
        <w:pStyle w:val="BodyText"/>
        <w:spacing w:line="319" w:lineRule="auto" w:before="25"/>
        <w:ind w:right="215" w:firstLine="440"/>
      </w:pPr>
      <w:r>
        <w:rPr>
          <w:color w:val="231F20"/>
        </w:rPr>
        <w:t>一方泄露或者在本合同以外使用该商业秘密、技术秘密等保密信息给另一方造成损失的， 应承担损害赔偿责任。当事人为履行合同所需要的信息，另一方应予以提供。当事人认为必要时，可订立保密协议，作为合同附件。</w:t>
      </w:r>
    </w:p>
    <w:p>
      <w:pPr>
        <w:pStyle w:val="ListParagraph"/>
        <w:numPr>
          <w:ilvl w:val="1"/>
          <w:numId w:val="34"/>
        </w:numPr>
        <w:tabs>
          <w:tab w:pos="986" w:val="left" w:leader="none"/>
        </w:tabs>
        <w:spacing w:line="240" w:lineRule="auto" w:before="19" w:after="0"/>
        <w:ind w:left="985" w:right="0" w:hanging="428"/>
        <w:jc w:val="left"/>
        <w:rPr>
          <w:rFonts w:ascii="方正黑体_GBK" w:eastAsia="方正黑体_GBK" w:hint="eastAsia"/>
          <w:sz w:val="22"/>
        </w:rPr>
      </w:pPr>
      <w:r>
        <w:rPr>
          <w:rFonts w:ascii="方正黑体_GBK" w:eastAsia="方正黑体_GBK" w:hint="eastAsia"/>
          <w:color w:val="231F20"/>
          <w:sz w:val="22"/>
        </w:rPr>
        <w:t>《发包人要求》和基础资料中的错误</w:t>
      </w:r>
    </w:p>
    <w:p>
      <w:pPr>
        <w:pStyle w:val="BodyText"/>
        <w:spacing w:line="319" w:lineRule="auto" w:before="121"/>
        <w:ind w:right="215" w:firstLine="440"/>
      </w:pPr>
      <w:r>
        <w:rPr>
          <w:color w:val="231F20"/>
        </w:rPr>
        <w:t>承包人应尽早认真阅读、复核《发包人要求》以及其提供的基础资料，发现错误的，应及时书面通知发包人补正。发包人作相应修改的，按照第 13 条 [ 变更与调整 ] 的约定处理。</w:t>
      </w:r>
    </w:p>
    <w:p>
      <w:pPr>
        <w:pStyle w:val="BodyText"/>
        <w:spacing w:line="319" w:lineRule="auto" w:before="25"/>
        <w:ind w:right="88" w:firstLine="330"/>
      </w:pPr>
      <w:r>
        <w:rPr>
          <w:color w:val="231F20"/>
        </w:rPr>
        <w:t>《发包人要求》或其提供的基础资料中的错误导致承包人增加费用和（或）工期延误的， 发包人应承担由此增加的费用和（或）工期延误，并向承包人支付合理利润。</w:t>
      </w:r>
    </w:p>
    <w:p>
      <w:pPr>
        <w:pStyle w:val="ListParagraph"/>
        <w:numPr>
          <w:ilvl w:val="1"/>
          <w:numId w:val="34"/>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责任限制</w:t>
      </w:r>
    </w:p>
    <w:p>
      <w:pPr>
        <w:pStyle w:val="BodyText"/>
        <w:spacing w:line="319" w:lineRule="auto" w:before="121"/>
        <w:ind w:right="210" w:firstLine="440"/>
        <w:jc w:val="both"/>
      </w:pPr>
      <w:r>
        <w:rPr>
          <w:color w:val="231F20"/>
        </w:rPr>
        <w:t>承包人对发包人的赔偿责任不应超过专用合同条件约定的赔偿最高限额。若专用合同条件未约定，则承包人对发包人的赔偿责任不应超过签约合同价。但对于因欺诈、犯罪、故意、重大过失、人身伤害等不当行为造成的损失，赔偿的责任限度不受上述最高限额的限制。</w:t>
      </w:r>
    </w:p>
    <w:p>
      <w:pPr>
        <w:pStyle w:val="ListParagraph"/>
        <w:numPr>
          <w:ilvl w:val="1"/>
          <w:numId w:val="34"/>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建筑信息模型技术的应用</w:t>
      </w:r>
    </w:p>
    <w:p>
      <w:pPr>
        <w:pStyle w:val="BodyText"/>
        <w:spacing w:line="319" w:lineRule="auto" w:before="122"/>
        <w:ind w:right="210" w:firstLine="440"/>
        <w:jc w:val="both"/>
      </w:pPr>
      <w:r>
        <w:rPr>
          <w:color w:val="231F20"/>
        </w:rPr>
        <w:t>如果项目中拟采用建筑信息模型技术，合同双方应遵守国家现行相关标准的规定，并符合项目所在地的相关地方标准或指南。合同双方应在专用合同条件中就建筑信息模型的开发、使用、存储、传输、交付及费用等相关内容进行约定。除专用合同条件另有约定外，承包人应负责与本项目中其他使用方协商。</w:t>
      </w:r>
    </w:p>
    <w:p>
      <w:pPr>
        <w:pStyle w:val="BodyText"/>
        <w:tabs>
          <w:tab w:pos="1009" w:val="left" w:leader="none"/>
        </w:tabs>
        <w:spacing w:before="19"/>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2</w:t>
      </w:r>
      <w:r>
        <w:rPr>
          <w:rFonts w:ascii="方正黑体_GBK" w:eastAsia="方正黑体_GBK" w:hint="eastAsia"/>
          <w:color w:val="231F20"/>
          <w:spacing w:val="-7"/>
        </w:rPr>
        <w:t> </w:t>
      </w:r>
      <w:r>
        <w:rPr>
          <w:rFonts w:ascii="方正黑体_GBK" w:eastAsia="方正黑体_GBK" w:hint="eastAsia"/>
          <w:color w:val="231F20"/>
        </w:rPr>
        <w:t>条</w:t>
        <w:tab/>
        <w:t>发包人</w:t>
      </w:r>
    </w:p>
    <w:p>
      <w:pPr>
        <w:pStyle w:val="ListParagraph"/>
        <w:numPr>
          <w:ilvl w:val="1"/>
          <w:numId w:val="35"/>
        </w:numPr>
        <w:tabs>
          <w:tab w:pos="924" w:val="left" w:leader="none"/>
        </w:tabs>
        <w:spacing w:line="240" w:lineRule="auto" w:before="115" w:after="0"/>
        <w:ind w:left="923" w:right="0" w:hanging="366"/>
        <w:jc w:val="left"/>
        <w:rPr>
          <w:rFonts w:ascii="方正黑体_GBK" w:eastAsia="方正黑体_GBK" w:hint="eastAsia"/>
          <w:sz w:val="22"/>
        </w:rPr>
      </w:pPr>
      <w:r>
        <w:rPr>
          <w:rFonts w:ascii="方正黑体_GBK" w:eastAsia="方正黑体_GBK" w:hint="eastAsia"/>
          <w:color w:val="231F20"/>
          <w:sz w:val="22"/>
        </w:rPr>
        <w:t>遵守法律</w:t>
      </w:r>
    </w:p>
    <w:p>
      <w:pPr>
        <w:pStyle w:val="BodyText"/>
        <w:spacing w:line="319" w:lineRule="auto" w:before="122"/>
        <w:ind w:right="216" w:firstLine="440"/>
        <w:jc w:val="both"/>
      </w:pPr>
      <w:r>
        <w:rPr>
          <w:color w:val="231F20"/>
        </w:rPr>
        <w:t>发包人在履行合同过程中应遵守法律，并承担因发包人违反法律给承包人造成的任何费用和损失。发包人不得以任何理由，要求承包人在工程实施过程中违反法律、行政法规以及建设工程质量、安全、环保标准，任意压缩合理工期或者降低工程质量。</w:t>
      </w:r>
    </w:p>
    <w:p>
      <w:pPr>
        <w:pStyle w:val="ListParagraph"/>
        <w:numPr>
          <w:ilvl w:val="1"/>
          <w:numId w:val="35"/>
        </w:numPr>
        <w:tabs>
          <w:tab w:pos="924" w:val="left" w:leader="none"/>
        </w:tabs>
        <w:spacing w:line="240" w:lineRule="auto" w:before="20" w:after="0"/>
        <w:ind w:left="923" w:right="0" w:hanging="366"/>
        <w:jc w:val="left"/>
        <w:rPr>
          <w:rFonts w:ascii="方正黑体_GBK" w:eastAsia="方正黑体_GBK" w:hint="eastAsia"/>
          <w:sz w:val="22"/>
        </w:rPr>
      </w:pPr>
      <w:r>
        <w:rPr>
          <w:rFonts w:ascii="方正黑体_GBK" w:eastAsia="方正黑体_GBK" w:hint="eastAsia"/>
          <w:color w:val="231F20"/>
          <w:sz w:val="22"/>
        </w:rPr>
        <w:t>提供施工现场和工作条件</w:t>
      </w:r>
    </w:p>
    <w:p>
      <w:pPr>
        <w:pStyle w:val="ListParagraph"/>
        <w:numPr>
          <w:ilvl w:val="2"/>
          <w:numId w:val="35"/>
        </w:numPr>
        <w:tabs>
          <w:tab w:pos="1048" w:val="left" w:leader="none"/>
        </w:tabs>
        <w:spacing w:line="240" w:lineRule="auto" w:before="122" w:after="0"/>
        <w:ind w:left="1047" w:right="0" w:hanging="490"/>
        <w:jc w:val="left"/>
        <w:rPr>
          <w:sz w:val="22"/>
        </w:rPr>
      </w:pPr>
      <w:r>
        <w:rPr>
          <w:color w:val="231F20"/>
          <w:sz w:val="22"/>
        </w:rPr>
        <w:t>提供施工现场</w:t>
      </w:r>
    </w:p>
    <w:p>
      <w:pPr>
        <w:pStyle w:val="BodyText"/>
        <w:spacing w:line="319" w:lineRule="auto"/>
        <w:ind w:right="215" w:firstLine="440"/>
      </w:pPr>
      <w:r>
        <w:rPr>
          <w:color w:val="231F20"/>
        </w:rPr>
        <w:t>发包人应按专用合同条件约定向承包人移交施工现场，给承包人进入和占用施工现场各部分的权利，并明确与承包人的交接界面，上述进入和占用权可不为承包人独享。如专用合同条</w:t>
      </w:r>
    </w:p>
    <w:p>
      <w:pPr>
        <w:spacing w:after="0" w:line="319" w:lineRule="auto"/>
        <w:sectPr>
          <w:pgSz w:w="11910" w:h="16840"/>
          <w:pgMar w:header="0" w:footer="832" w:top="1580" w:bottom="1020" w:left="1300" w:right="1200"/>
        </w:sectPr>
      </w:pPr>
    </w:p>
    <w:p>
      <w:pPr>
        <w:pStyle w:val="BodyText"/>
        <w:spacing w:line="319" w:lineRule="auto" w:before="24"/>
        <w:ind w:right="215"/>
      </w:pPr>
      <w:r>
        <w:rPr>
          <w:color w:val="231F20"/>
        </w:rPr>
        <w:t>件没有约定移交时间的，则发包人应最迟于计划开始现场施工日期 7 天前向承包人移交施工现场，但承包人未能按照第 4.2 款 [ 履约担保 ] 提供履约担保的除外。</w:t>
      </w:r>
    </w:p>
    <w:p>
      <w:pPr>
        <w:pStyle w:val="ListParagraph"/>
        <w:numPr>
          <w:ilvl w:val="2"/>
          <w:numId w:val="35"/>
        </w:numPr>
        <w:tabs>
          <w:tab w:pos="1048" w:val="left" w:leader="none"/>
        </w:tabs>
        <w:spacing w:line="240" w:lineRule="auto" w:before="26" w:after="0"/>
        <w:ind w:left="1047" w:right="0" w:hanging="490"/>
        <w:jc w:val="left"/>
        <w:rPr>
          <w:sz w:val="22"/>
        </w:rPr>
      </w:pPr>
      <w:r>
        <w:rPr>
          <w:color w:val="231F20"/>
          <w:sz w:val="22"/>
        </w:rPr>
        <w:t>提供工作条件</w:t>
      </w:r>
    </w:p>
    <w:p>
      <w:pPr>
        <w:pStyle w:val="BodyText"/>
        <w:spacing w:line="319" w:lineRule="auto"/>
        <w:ind w:right="215" w:firstLine="440"/>
      </w:pPr>
      <w:r>
        <w:rPr>
          <w:color w:val="231F20"/>
        </w:rPr>
        <w:t>发包人应按专用合同条件约定向承包人提供工作条件。专用合同条件对此没有约定的，发包人应负责提供开展本合同相关工作所需要的条件，包括：</w:t>
      </w:r>
    </w:p>
    <w:p>
      <w:pPr>
        <w:pStyle w:val="BodyText"/>
        <w:spacing w:before="25"/>
        <w:ind w:left="447"/>
      </w:pPr>
      <w:r>
        <w:rPr>
          <w:color w:val="231F20"/>
        </w:rPr>
        <w:t>（ 1）将施工用水、电力、通讯线路等施工所必需的条件接至施工现场内；</w:t>
      </w:r>
    </w:p>
    <w:p>
      <w:pPr>
        <w:pStyle w:val="BodyText"/>
        <w:ind w:left="447"/>
      </w:pPr>
      <w:r>
        <w:rPr>
          <w:color w:val="231F20"/>
        </w:rPr>
        <w:t>（ 2）保证向承包人提供正常施工所需要的进入施工现场的交通条件；</w:t>
      </w:r>
    </w:p>
    <w:p>
      <w:pPr>
        <w:pStyle w:val="BodyText"/>
        <w:spacing w:line="319" w:lineRule="auto"/>
        <w:ind w:right="199" w:firstLine="330"/>
      </w:pPr>
      <w:r>
        <w:rPr>
          <w:color w:val="231F20"/>
        </w:rPr>
        <w:t>（ 3）协调处理施工现场周围地下管线和邻近建筑物、构筑物、古树名木、文物、化石及坟墓等的保护工作，并承担相关费用；</w:t>
      </w:r>
    </w:p>
    <w:p>
      <w:pPr>
        <w:pStyle w:val="BodyText"/>
        <w:spacing w:line="319" w:lineRule="auto" w:before="25"/>
        <w:ind w:right="212" w:firstLine="330"/>
        <w:jc w:val="both"/>
      </w:pPr>
      <w:r>
        <w:rPr>
          <w:color w:val="231F20"/>
        </w:rPr>
        <w:t>（ 4）对工程现场临近发包人正在使用、运行、或由发包人用于生产的建筑物、构筑物、生产装置、设施、设备等，设置隔离设施，竖立禁止入内、禁止动火的明显标志，并以书面形式通知承包人须遵守的安全规定和位置范围；</w:t>
      </w:r>
    </w:p>
    <w:p>
      <w:pPr>
        <w:pStyle w:val="BodyText"/>
        <w:spacing w:before="25"/>
        <w:ind w:left="447"/>
      </w:pPr>
      <w:r>
        <w:rPr>
          <w:color w:val="231F20"/>
        </w:rPr>
        <w:t>（ 5）按照专用合同条件约定应提供的其他设施和条件。</w:t>
      </w:r>
    </w:p>
    <w:p>
      <w:pPr>
        <w:pStyle w:val="ListParagraph"/>
        <w:numPr>
          <w:ilvl w:val="2"/>
          <w:numId w:val="35"/>
        </w:numPr>
        <w:tabs>
          <w:tab w:pos="1048" w:val="left" w:leader="none"/>
        </w:tabs>
        <w:spacing w:line="240" w:lineRule="auto" w:before="109" w:after="0"/>
        <w:ind w:left="1047" w:right="0" w:hanging="490"/>
        <w:jc w:val="left"/>
        <w:rPr>
          <w:sz w:val="22"/>
        </w:rPr>
      </w:pPr>
      <w:r>
        <w:rPr>
          <w:color w:val="231F20"/>
          <w:sz w:val="22"/>
        </w:rPr>
        <w:t>逾期提供的责任</w:t>
      </w:r>
    </w:p>
    <w:p>
      <w:pPr>
        <w:pStyle w:val="BodyText"/>
        <w:spacing w:line="319" w:lineRule="auto"/>
        <w:ind w:right="215" w:firstLine="440"/>
      </w:pPr>
      <w:r>
        <w:rPr>
          <w:color w:val="231F20"/>
        </w:rPr>
        <w:t>因发包人原因未能按合同约定及时向承包人提供施工现场和施工条件的，由发包人承担由此增加的费用和（或）延误的工期。</w:t>
      </w:r>
    </w:p>
    <w:p>
      <w:pPr>
        <w:pStyle w:val="ListParagraph"/>
        <w:numPr>
          <w:ilvl w:val="1"/>
          <w:numId w:val="36"/>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提供基础资料</w:t>
      </w:r>
    </w:p>
    <w:p>
      <w:pPr>
        <w:pStyle w:val="BodyText"/>
        <w:spacing w:line="319" w:lineRule="auto" w:before="122"/>
        <w:ind w:right="105" w:firstLine="440"/>
      </w:pPr>
      <w:r>
        <w:rPr>
          <w:color w:val="231F20"/>
        </w:rPr>
        <w:t>发包人应按专用合同条件和《发包人要求》中的约定向承包人提供施工现场及工程实施所必需的毗邻区域内的供水、排水、供电、供气、供热、通信、广播电视等地上、地下管线和设施资料，气象和水文观测资料，地质勘察资料，相邻建筑物、构筑物和地下工程等有关基础资料，并根据第 1.12 款 [《发包人要求》和基础资料中的错误 ] 承担基础资料错误造成的责任。按照法律规定确需在开工后方能提供的基础资料，发包人应尽其努力及时地在相应工程实施前的合理期限内提供，合理期限应以不影响承包人的正常履约为限。因发包人原因未能在合理期限内提供相应基础资料的，由发包人承担由此增加的费用和延误的工期。</w:t>
      </w:r>
    </w:p>
    <w:p>
      <w:pPr>
        <w:pStyle w:val="ListParagraph"/>
        <w:numPr>
          <w:ilvl w:val="1"/>
          <w:numId w:val="36"/>
        </w:numPr>
        <w:tabs>
          <w:tab w:pos="924" w:val="left" w:leader="none"/>
        </w:tabs>
        <w:spacing w:line="240" w:lineRule="auto" w:before="20" w:after="0"/>
        <w:ind w:left="923" w:right="0" w:hanging="366"/>
        <w:jc w:val="left"/>
        <w:rPr>
          <w:rFonts w:ascii="方正黑体_GBK" w:eastAsia="方正黑体_GBK" w:hint="eastAsia"/>
          <w:sz w:val="22"/>
        </w:rPr>
      </w:pPr>
      <w:r>
        <w:rPr>
          <w:rFonts w:ascii="方正黑体_GBK" w:eastAsia="方正黑体_GBK" w:hint="eastAsia"/>
          <w:color w:val="231F20"/>
          <w:sz w:val="22"/>
        </w:rPr>
        <w:t>办理许可和批准</w:t>
      </w:r>
    </w:p>
    <w:p>
      <w:pPr>
        <w:pStyle w:val="ListParagraph"/>
        <w:numPr>
          <w:ilvl w:val="2"/>
          <w:numId w:val="36"/>
        </w:numPr>
        <w:tabs>
          <w:tab w:pos="1068" w:val="left" w:leader="none"/>
        </w:tabs>
        <w:spacing w:line="319" w:lineRule="auto" w:before="122" w:after="0"/>
        <w:ind w:left="117" w:right="106" w:firstLine="440"/>
        <w:jc w:val="left"/>
        <w:rPr>
          <w:sz w:val="22"/>
        </w:rPr>
      </w:pPr>
      <w:r>
        <w:rPr>
          <w:color w:val="231F20"/>
          <w:sz w:val="22"/>
        </w:rPr>
        <w:t>发包人在履行合同过程中应遵守法律，并办理法律规定或合同约定由其办理的许可、批准或备案，包括但不限于建设用地规划许可证、建设工程规划许可证、建设工程施工许可证等许可和批准。对于法律规定或合同约定由承包人负责的有关设计、施工证件、批件或备案， 发包人应给予必要的协助。</w:t>
      </w:r>
    </w:p>
    <w:p>
      <w:pPr>
        <w:pStyle w:val="ListParagraph"/>
        <w:numPr>
          <w:ilvl w:val="2"/>
          <w:numId w:val="36"/>
        </w:numPr>
        <w:tabs>
          <w:tab w:pos="1049" w:val="left" w:leader="none"/>
        </w:tabs>
        <w:spacing w:line="319" w:lineRule="auto" w:before="25" w:after="0"/>
        <w:ind w:left="117" w:right="215" w:firstLine="440"/>
        <w:jc w:val="left"/>
        <w:rPr>
          <w:sz w:val="22"/>
        </w:rPr>
      </w:pPr>
      <w:r>
        <w:rPr>
          <w:color w:val="231F20"/>
          <w:sz w:val="22"/>
        </w:rPr>
        <w:t>因发包人原因未能及时办理完毕前述许可、批准或备案，由发包人承担由此增加的费用和（或）延误的工期，并支付承包人合理的利润。</w:t>
      </w:r>
    </w:p>
    <w:p>
      <w:pPr>
        <w:spacing w:after="0" w:line="319" w:lineRule="auto"/>
        <w:jc w:val="left"/>
        <w:rPr>
          <w:sz w:val="22"/>
        </w:rPr>
        <w:sectPr>
          <w:footerReference w:type="even" r:id="rId13"/>
          <w:footerReference w:type="default" r:id="rId14"/>
          <w:pgSz w:w="11910" w:h="16840"/>
          <w:pgMar w:footer="832" w:header="0" w:top="1580" w:bottom="1020" w:left="1300" w:right="1200"/>
          <w:pgNumType w:start="22"/>
        </w:sectPr>
      </w:pPr>
    </w:p>
    <w:p>
      <w:pPr>
        <w:pStyle w:val="ListParagraph"/>
        <w:numPr>
          <w:ilvl w:val="1"/>
          <w:numId w:val="36"/>
        </w:numPr>
        <w:tabs>
          <w:tab w:pos="924" w:val="left" w:leader="none"/>
        </w:tabs>
        <w:spacing w:line="240" w:lineRule="auto" w:before="18" w:after="0"/>
        <w:ind w:left="923" w:right="0" w:hanging="366"/>
        <w:jc w:val="left"/>
        <w:rPr>
          <w:rFonts w:ascii="方正黑体_GBK" w:eastAsia="方正黑体_GBK" w:hint="eastAsia"/>
          <w:sz w:val="22"/>
        </w:rPr>
      </w:pPr>
      <w:r>
        <w:rPr>
          <w:rFonts w:ascii="方正黑体_GBK" w:eastAsia="方正黑体_GBK" w:hint="eastAsia"/>
          <w:color w:val="231F20"/>
          <w:sz w:val="22"/>
        </w:rPr>
        <w:t>支付合同价款</w:t>
      </w:r>
    </w:p>
    <w:p>
      <w:pPr>
        <w:pStyle w:val="ListParagraph"/>
        <w:numPr>
          <w:ilvl w:val="2"/>
          <w:numId w:val="36"/>
        </w:numPr>
        <w:tabs>
          <w:tab w:pos="1048" w:val="left" w:leader="none"/>
        </w:tabs>
        <w:spacing w:line="240" w:lineRule="auto" w:before="122" w:after="0"/>
        <w:ind w:left="117" w:right="0" w:firstLine="440"/>
        <w:jc w:val="left"/>
        <w:rPr>
          <w:sz w:val="22"/>
        </w:rPr>
      </w:pPr>
      <w:r>
        <w:rPr>
          <w:color w:val="231F20"/>
          <w:sz w:val="22"/>
        </w:rPr>
        <w:t>发包人应按合同约定向承包人及时支付合同价款。</w:t>
      </w:r>
    </w:p>
    <w:p>
      <w:pPr>
        <w:pStyle w:val="ListParagraph"/>
        <w:numPr>
          <w:ilvl w:val="2"/>
          <w:numId w:val="36"/>
        </w:numPr>
        <w:tabs>
          <w:tab w:pos="1071" w:val="left" w:leader="none"/>
        </w:tabs>
        <w:spacing w:line="319" w:lineRule="auto" w:before="109" w:after="0"/>
        <w:ind w:left="117" w:right="210" w:firstLine="440"/>
        <w:jc w:val="left"/>
        <w:rPr>
          <w:sz w:val="22"/>
        </w:rPr>
      </w:pPr>
      <w:r>
        <w:rPr>
          <w:color w:val="231F20"/>
          <w:spacing w:val="2"/>
          <w:sz w:val="22"/>
        </w:rPr>
        <w:t>发包人应当制定资金安排计划，除专用合同条件另有约定外，如发包人拟对资金安</w:t>
      </w:r>
      <w:r>
        <w:rPr>
          <w:color w:val="231F20"/>
          <w:sz w:val="22"/>
        </w:rPr>
        <w:t>排做任何重要变更，应将变更的详细情况通知承包人。如发生承包人收到价格大于签约合同价</w:t>
      </w:r>
    </w:p>
    <w:p>
      <w:pPr>
        <w:pStyle w:val="BodyText"/>
        <w:spacing w:line="319" w:lineRule="auto" w:before="26"/>
        <w:ind w:right="209"/>
        <w:jc w:val="both"/>
      </w:pPr>
      <w:r>
        <w:rPr>
          <w:color w:val="231F20"/>
        </w:rPr>
        <w:t>10% 的变更指示或累计变更的总价超过签约合同价 30% ；或承包人未能根据第 14 条 [ 合同价格与支付 ] 收到付款，或承包人得知发包人的资金安排发生重要变更但并未收到发包人上述重要变更通知的情况，则承包人可随时要求发包人在 28 天内补充提供能够按照合同约定支付合同价款的相应资金来源证明。</w:t>
      </w:r>
    </w:p>
    <w:p>
      <w:pPr>
        <w:pStyle w:val="ListParagraph"/>
        <w:numPr>
          <w:ilvl w:val="2"/>
          <w:numId w:val="36"/>
        </w:numPr>
        <w:tabs>
          <w:tab w:pos="1049" w:val="left" w:leader="none"/>
        </w:tabs>
        <w:spacing w:line="319" w:lineRule="auto" w:before="26" w:after="0"/>
        <w:ind w:left="117" w:right="215" w:firstLine="440"/>
        <w:jc w:val="left"/>
        <w:rPr>
          <w:sz w:val="22"/>
        </w:rPr>
      </w:pPr>
      <w:r>
        <w:rPr>
          <w:color w:val="231F20"/>
          <w:sz w:val="22"/>
        </w:rPr>
        <w:t>发包人应当向承包人提供支付担保。支付担保可以采用银行保函或担保公司担保等形式，具体由合同当事人在专用合同条件中约定。</w:t>
      </w:r>
    </w:p>
    <w:p>
      <w:pPr>
        <w:pStyle w:val="BodyText"/>
        <w:spacing w:before="19"/>
        <w:ind w:left="557"/>
        <w:rPr>
          <w:rFonts w:ascii="方正黑体_GBK" w:eastAsia="方正黑体_GBK" w:hint="eastAsia"/>
        </w:rPr>
      </w:pPr>
      <w:r>
        <w:rPr>
          <w:rFonts w:ascii="方正黑体_GBK" w:eastAsia="方正黑体_GBK" w:hint="eastAsia"/>
          <w:color w:val="231F20"/>
        </w:rPr>
        <w:t>2.6 现场管理配合</w:t>
      </w:r>
    </w:p>
    <w:p>
      <w:pPr>
        <w:pStyle w:val="BodyText"/>
        <w:spacing w:before="121"/>
        <w:ind w:left="557"/>
      </w:pPr>
      <w:r>
        <w:rPr>
          <w:color w:val="231F20"/>
        </w:rPr>
        <w:t>发包人应负责保证在现场或现场附近的发包人人员和发包人的其他承包人（如有）：</w:t>
      </w:r>
    </w:p>
    <w:p>
      <w:pPr>
        <w:pStyle w:val="BodyText"/>
        <w:ind w:left="447"/>
      </w:pPr>
      <w:r>
        <w:rPr>
          <w:color w:val="231F20"/>
        </w:rPr>
        <w:t>（ 1）根据第 7.3 款 [ 现场合作 ] 的约定，与承包人进行合作；</w:t>
      </w:r>
    </w:p>
    <w:p>
      <w:pPr>
        <w:pStyle w:val="BodyText"/>
        <w:ind w:left="447"/>
      </w:pPr>
      <w:r>
        <w:rPr>
          <w:color w:val="231F20"/>
        </w:rPr>
        <w:t>（ 2）遵守第 7.5 款 [ 现场劳动用工 ]、第 7.6 款 [ 安全文明施工 ]、第 7.7 款 [ 职业健康 ] 和第</w:t>
      </w:r>
    </w:p>
    <w:p>
      <w:pPr>
        <w:pStyle w:val="BodyText"/>
        <w:jc w:val="both"/>
      </w:pPr>
      <w:r>
        <w:rPr>
          <w:color w:val="231F20"/>
        </w:rPr>
        <w:t>7.8 款 [ 环境保护 ] 的相关约定。</w:t>
      </w:r>
    </w:p>
    <w:p>
      <w:pPr>
        <w:pStyle w:val="BodyText"/>
        <w:spacing w:line="319" w:lineRule="auto"/>
        <w:ind w:right="33" w:firstLine="440"/>
      </w:pPr>
      <w:r>
        <w:rPr>
          <w:color w:val="231F20"/>
        </w:rPr>
        <w:t>发包人应与承包人、由发包人直接发包的其他承包人（如有）订立施工现场统一管理协议， 明确各方的权利义务。</w:t>
      </w:r>
    </w:p>
    <w:p>
      <w:pPr>
        <w:pStyle w:val="BodyText"/>
        <w:spacing w:before="19"/>
        <w:ind w:left="557"/>
        <w:rPr>
          <w:rFonts w:ascii="方正黑体_GBK" w:eastAsia="方正黑体_GBK" w:hint="eastAsia"/>
        </w:rPr>
      </w:pPr>
      <w:r>
        <w:rPr>
          <w:rFonts w:ascii="方正黑体_GBK" w:eastAsia="方正黑体_GBK" w:hint="eastAsia"/>
          <w:color w:val="231F20"/>
        </w:rPr>
        <w:t>2.7 其他义务</w:t>
      </w:r>
    </w:p>
    <w:p>
      <w:pPr>
        <w:pStyle w:val="BodyText"/>
        <w:spacing w:line="319" w:lineRule="auto" w:before="122"/>
        <w:ind w:right="215" w:firstLine="440"/>
      </w:pPr>
      <w:r>
        <w:rPr>
          <w:color w:val="231F20"/>
        </w:rPr>
        <w:t>发包人应履行合同约定的其他义务，双方可在专用合同条件内对发包人应履行的其他义务进行补充约定。</w:t>
      </w:r>
    </w:p>
    <w:p>
      <w:pPr>
        <w:pStyle w:val="BodyText"/>
        <w:tabs>
          <w:tab w:pos="1009" w:val="left" w:leader="none"/>
        </w:tabs>
        <w:spacing w:before="20"/>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3</w:t>
      </w:r>
      <w:r>
        <w:rPr>
          <w:rFonts w:ascii="方正黑体_GBK" w:eastAsia="方正黑体_GBK" w:hint="eastAsia"/>
          <w:color w:val="231F20"/>
          <w:spacing w:val="-7"/>
        </w:rPr>
        <w:t> </w:t>
      </w:r>
      <w:r>
        <w:rPr>
          <w:rFonts w:ascii="方正黑体_GBK" w:eastAsia="方正黑体_GBK" w:hint="eastAsia"/>
          <w:color w:val="231F20"/>
        </w:rPr>
        <w:t>条</w:t>
        <w:tab/>
        <w:t>发包人的管理</w:t>
      </w:r>
    </w:p>
    <w:p>
      <w:pPr>
        <w:pStyle w:val="ListParagraph"/>
        <w:numPr>
          <w:ilvl w:val="1"/>
          <w:numId w:val="37"/>
        </w:numPr>
        <w:tabs>
          <w:tab w:pos="924" w:val="left" w:leader="none"/>
        </w:tabs>
        <w:spacing w:line="240" w:lineRule="auto" w:before="116" w:after="0"/>
        <w:ind w:left="923" w:right="0" w:hanging="366"/>
        <w:jc w:val="left"/>
        <w:rPr>
          <w:rFonts w:ascii="方正黑体_GBK" w:eastAsia="方正黑体_GBK" w:hint="eastAsia"/>
          <w:sz w:val="22"/>
        </w:rPr>
      </w:pPr>
      <w:r>
        <w:rPr>
          <w:rFonts w:ascii="方正黑体_GBK" w:eastAsia="方正黑体_GBK" w:hint="eastAsia"/>
          <w:color w:val="231F20"/>
          <w:sz w:val="22"/>
        </w:rPr>
        <w:t>发包人代表</w:t>
      </w:r>
    </w:p>
    <w:p>
      <w:pPr>
        <w:pStyle w:val="BodyText"/>
        <w:spacing w:line="319" w:lineRule="auto" w:before="122"/>
        <w:ind w:right="210" w:firstLine="440"/>
        <w:jc w:val="both"/>
      </w:pPr>
      <w:r>
        <w:rPr>
          <w:color w:val="231F20"/>
        </w:rPr>
        <w:t>发包人应任命发包人代表，并在专用合同条件中明确发包人代表的姓名、职务、联系方式及授权范围等事项。发包人代表应在发包人的授权范围内，负责处理合同履行过程中与发包人有关的具体事宜。发包人代表在授权范围内的行为由发包人承担法律责任。</w:t>
      </w:r>
    </w:p>
    <w:p>
      <w:pPr>
        <w:pStyle w:val="BodyText"/>
        <w:spacing w:line="319" w:lineRule="auto" w:before="26"/>
        <w:ind w:right="215" w:firstLine="440"/>
      </w:pPr>
      <w:r>
        <w:rPr>
          <w:color w:val="231F20"/>
        </w:rPr>
        <w:t>除非发包人另行通知承包人，发包人代表应被授予并且被认为具有发包人在授权范围内享有的相应权利，涉及第 16.1 款 [ 由发包人解除合同 ] 的权利除外。</w:t>
      </w:r>
    </w:p>
    <w:p>
      <w:pPr>
        <w:pStyle w:val="BodyText"/>
        <w:spacing w:before="26"/>
        <w:ind w:left="557"/>
      </w:pPr>
      <w:r>
        <w:rPr>
          <w:color w:val="231F20"/>
        </w:rPr>
        <w:t>发包人代表（或者在其为法人的情况下，被任命代表其行事的自然人）应：</w:t>
      </w:r>
    </w:p>
    <w:p>
      <w:pPr>
        <w:pStyle w:val="BodyText"/>
        <w:ind w:left="447"/>
      </w:pPr>
      <w:r>
        <w:rPr>
          <w:color w:val="231F20"/>
        </w:rPr>
        <w:t>（ 1）履行指派给其的职责，行使发包人托付给的权利；</w:t>
      </w:r>
    </w:p>
    <w:p>
      <w:pPr>
        <w:pStyle w:val="BodyText"/>
        <w:ind w:left="447"/>
      </w:pPr>
      <w:r>
        <w:rPr>
          <w:color w:val="231F20"/>
        </w:rPr>
        <w:t>（ 2）具备履行这些职责、行使这些权利的能力；</w:t>
      </w:r>
    </w:p>
    <w:p>
      <w:pPr>
        <w:pStyle w:val="BodyText"/>
        <w:ind w:left="447"/>
      </w:pPr>
      <w:r>
        <w:rPr>
          <w:color w:val="231F20"/>
        </w:rPr>
        <w:t>（ 3）作为熟练的专业人员行事。</w:t>
      </w:r>
    </w:p>
    <w:p>
      <w:pPr>
        <w:spacing w:after="0"/>
        <w:sectPr>
          <w:pgSz w:w="11910" w:h="16840"/>
          <w:pgMar w:header="0" w:footer="832" w:top="1580" w:bottom="1020" w:left="1300" w:right="1200"/>
        </w:sectPr>
      </w:pPr>
    </w:p>
    <w:p>
      <w:pPr>
        <w:pStyle w:val="BodyText"/>
        <w:spacing w:line="319" w:lineRule="auto" w:before="24"/>
        <w:ind w:right="115" w:firstLine="440"/>
        <w:jc w:val="right"/>
      </w:pPr>
      <w:r>
        <w:rPr>
          <w:color w:val="231F20"/>
        </w:rPr>
        <w:t>如果发包人代表为法人且在签订本合同时未能确定授权代表的，发包人代表应在本合同签订之日起 3 日内向双方发出书面通知，告知被任命和授权的自然人以及任何替代人员。此授权在双方收到本通知后生效。发包人代表撤销该授权或者变更授权代表时也应同样发出该通知。发包人更换发包人代表的，应提前 14 天将更换人的姓名、地址、任务和权利、以及任命</w:t>
      </w:r>
    </w:p>
    <w:p>
      <w:pPr>
        <w:pStyle w:val="BodyText"/>
        <w:spacing w:line="319" w:lineRule="auto" w:before="26"/>
      </w:pPr>
      <w:r>
        <w:rPr>
          <w:color w:val="231F20"/>
        </w:rPr>
        <w:t>的日期书面通知承包人。发包人不得将发包人代表更换为承包人根据本款发出通知提出合理反对意见的人员，不论是法人还是自然人。</w:t>
      </w:r>
    </w:p>
    <w:p>
      <w:pPr>
        <w:pStyle w:val="BodyText"/>
        <w:spacing w:line="319" w:lineRule="auto" w:before="26"/>
        <w:ind w:right="117" w:firstLine="440"/>
        <w:jc w:val="both"/>
      </w:pPr>
      <w:r>
        <w:rPr>
          <w:color w:val="231F20"/>
        </w:rPr>
        <w:t>发包人代表不能按照合同约定履行其职责及义务，并导致合同无法继续正常履行的，承包人可以要求发包人撤换发包人代表。</w:t>
      </w:r>
    </w:p>
    <w:p>
      <w:pPr>
        <w:pStyle w:val="ListParagraph"/>
        <w:numPr>
          <w:ilvl w:val="1"/>
          <w:numId w:val="37"/>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发包人人员</w:t>
      </w:r>
    </w:p>
    <w:p>
      <w:pPr>
        <w:pStyle w:val="BodyText"/>
        <w:spacing w:line="319" w:lineRule="auto" w:before="121"/>
        <w:ind w:right="114" w:firstLine="440"/>
        <w:jc w:val="both"/>
      </w:pPr>
      <w:r>
        <w:rPr>
          <w:color w:val="231F20"/>
        </w:rPr>
        <w:t>发包人人员包括发包人代表、工程师及其他由发包人派驻施工现场的人员，发包人可以在专用合同条件中明确发包人人员的姓名、职务及职责等事项。发包人或发包人代表可随时对一些助手指派和托付一定的任务和权利，也可撤销这些指派和托付。这些助手可包括驻地工程师或担任检验、试验各项工程设备和材料的独立检查员。这些助手应具有适当的资质、履行其任务和权利的能力。以上指派、托付或撤销，在承包人收到通知后生效。承包人对于可能影响正常履约或工程安全质量的发包人人员保有随时提出沟通的权利。</w:t>
      </w:r>
    </w:p>
    <w:p>
      <w:pPr>
        <w:pStyle w:val="BodyText"/>
        <w:spacing w:line="319" w:lineRule="auto" w:before="25"/>
        <w:ind w:right="111" w:firstLine="440"/>
        <w:jc w:val="both"/>
      </w:pPr>
      <w:r>
        <w:rPr>
          <w:color w:val="231F20"/>
        </w:rPr>
        <w:t>发包人应要求在施工现场的发包人人员遵守法律及有关安全、质量、环境保护、文明施工等规定，因发包人人员未遵守上述要求给承包人造成的损失和责任由发包人承担。</w:t>
      </w:r>
    </w:p>
    <w:p>
      <w:pPr>
        <w:pStyle w:val="ListParagraph"/>
        <w:numPr>
          <w:ilvl w:val="1"/>
          <w:numId w:val="37"/>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工程师</w:t>
      </w:r>
    </w:p>
    <w:p>
      <w:pPr>
        <w:pStyle w:val="ListParagraph"/>
        <w:numPr>
          <w:ilvl w:val="2"/>
          <w:numId w:val="37"/>
        </w:numPr>
        <w:tabs>
          <w:tab w:pos="1072" w:val="left" w:leader="none"/>
        </w:tabs>
        <w:spacing w:line="319" w:lineRule="auto" w:before="122" w:after="0"/>
        <w:ind w:left="117" w:right="109" w:firstLine="440"/>
        <w:jc w:val="both"/>
        <w:rPr>
          <w:sz w:val="22"/>
        </w:rPr>
      </w:pPr>
      <w:r>
        <w:rPr>
          <w:color w:val="231F20"/>
          <w:spacing w:val="1"/>
          <w:sz w:val="22"/>
        </w:rPr>
        <w:t>发包人需对承包人的设计、采购、施工、服务等工作过程或过程节点实施监督管理</w:t>
      </w:r>
      <w:r>
        <w:rPr>
          <w:color w:val="231F20"/>
          <w:sz w:val="22"/>
        </w:rPr>
        <w:t>的，有权委任工程师。工程师的名称、监督管理范围、内容和权限在专用合同条件中写明。根据国家相关法律法规规定，如本合同工程属于强制监理项目的，由工程师履行法定的监理相关职责，但发包人另行授权第三方进行监理的除外。</w:t>
      </w:r>
    </w:p>
    <w:p>
      <w:pPr>
        <w:pStyle w:val="ListParagraph"/>
        <w:numPr>
          <w:ilvl w:val="2"/>
          <w:numId w:val="37"/>
        </w:numPr>
        <w:tabs>
          <w:tab w:pos="1072" w:val="left" w:leader="none"/>
        </w:tabs>
        <w:spacing w:line="319" w:lineRule="auto" w:before="26" w:after="0"/>
        <w:ind w:left="117" w:right="109" w:firstLine="440"/>
        <w:jc w:val="both"/>
        <w:rPr>
          <w:sz w:val="22"/>
        </w:rPr>
      </w:pPr>
      <w:r>
        <w:rPr>
          <w:color w:val="231F20"/>
          <w:spacing w:val="1"/>
          <w:sz w:val="22"/>
        </w:rPr>
        <w:t>工程师按发包人委托的范围、内容、职权和权限，代表发包人对承包人实施监督管</w:t>
      </w:r>
      <w:r>
        <w:rPr>
          <w:color w:val="231F20"/>
          <w:sz w:val="22"/>
        </w:rPr>
        <w:t>理。若承包人认为工程师行使的职权不在发包人委托的授权范围之内的，则其有权拒绝执行工程师的相关指示，同时应及时通知发包人，发包人书面确认工程师相关指示的，承包人应遵照执行。</w:t>
      </w:r>
    </w:p>
    <w:p>
      <w:pPr>
        <w:pStyle w:val="ListParagraph"/>
        <w:numPr>
          <w:ilvl w:val="2"/>
          <w:numId w:val="37"/>
        </w:numPr>
        <w:tabs>
          <w:tab w:pos="1049" w:val="left" w:leader="none"/>
        </w:tabs>
        <w:spacing w:line="319" w:lineRule="auto" w:before="26" w:after="0"/>
        <w:ind w:left="117" w:right="115" w:firstLine="440"/>
        <w:jc w:val="both"/>
        <w:rPr>
          <w:sz w:val="22"/>
        </w:rPr>
      </w:pPr>
      <w:r>
        <w:rPr>
          <w:color w:val="231F20"/>
          <w:sz w:val="22"/>
        </w:rPr>
        <w:t>在发包人和承包人之间提供证明、行使决定权或处理权时，工程师应作为独立专业的第三方，根据自己的专业技能和判断进行工作。但工程师或其人员均无权修改合同，且无权减轻或免除合同当事人的任何责任与义务。</w:t>
      </w:r>
    </w:p>
    <w:p>
      <w:pPr>
        <w:pStyle w:val="ListParagraph"/>
        <w:numPr>
          <w:ilvl w:val="2"/>
          <w:numId w:val="37"/>
        </w:numPr>
        <w:tabs>
          <w:tab w:pos="1049" w:val="left" w:leader="none"/>
        </w:tabs>
        <w:spacing w:line="319" w:lineRule="auto" w:before="26" w:after="0"/>
        <w:ind w:left="117" w:right="114" w:firstLine="440"/>
        <w:jc w:val="both"/>
        <w:rPr>
          <w:sz w:val="22"/>
        </w:rPr>
      </w:pPr>
      <w:r>
        <w:rPr>
          <w:color w:val="231F20"/>
          <w:sz w:val="22"/>
        </w:rPr>
        <w:t>通用合同条件中约定由工程师行使的职权如不在发包人对工程师的授权范围内的，则视为没有取得授权，该职权应由发包人或发包人指定的其他人员行使。若承包人认为工程师的</w:t>
      </w:r>
    </w:p>
    <w:p>
      <w:pPr>
        <w:spacing w:after="0" w:line="319" w:lineRule="auto"/>
        <w:jc w:val="both"/>
        <w:rPr>
          <w:sz w:val="22"/>
        </w:rPr>
        <w:sectPr>
          <w:pgSz w:w="11910" w:h="16840"/>
          <w:pgMar w:header="0" w:footer="832" w:top="1580" w:bottom="1020" w:left="1300" w:right="1300"/>
        </w:sectPr>
      </w:pPr>
    </w:p>
    <w:p>
      <w:pPr>
        <w:pStyle w:val="BodyText"/>
        <w:spacing w:line="319" w:lineRule="auto" w:before="24"/>
        <w:ind w:left="217"/>
      </w:pPr>
      <w:r>
        <w:rPr>
          <w:color w:val="231F20"/>
        </w:rPr>
        <w:t>职权与发包人（包括其人员）的职权相重叠或不明确时，应及时通知发包人，由发包人予以协调和明确并以书面形式通知承包人。</w:t>
      </w:r>
    </w:p>
    <w:p>
      <w:pPr>
        <w:pStyle w:val="ListParagraph"/>
        <w:numPr>
          <w:ilvl w:val="1"/>
          <w:numId w:val="37"/>
        </w:numPr>
        <w:tabs>
          <w:tab w:pos="1024" w:val="left" w:leader="none"/>
        </w:tabs>
        <w:spacing w:line="240" w:lineRule="auto" w:before="19" w:after="0"/>
        <w:ind w:left="1023" w:right="0" w:hanging="366"/>
        <w:jc w:val="left"/>
        <w:rPr>
          <w:rFonts w:ascii="方正黑体_GBK" w:eastAsia="方正黑体_GBK" w:hint="eastAsia"/>
          <w:sz w:val="22"/>
        </w:rPr>
      </w:pPr>
      <w:r>
        <w:rPr>
          <w:rFonts w:ascii="方正黑体_GBK" w:eastAsia="方正黑体_GBK" w:hint="eastAsia"/>
          <w:color w:val="231F20"/>
          <w:sz w:val="22"/>
        </w:rPr>
        <w:t>任命和授权</w:t>
      </w:r>
    </w:p>
    <w:p>
      <w:pPr>
        <w:pStyle w:val="ListParagraph"/>
        <w:numPr>
          <w:ilvl w:val="2"/>
          <w:numId w:val="37"/>
        </w:numPr>
        <w:tabs>
          <w:tab w:pos="1149" w:val="left" w:leader="none"/>
        </w:tabs>
        <w:spacing w:line="319" w:lineRule="auto" w:before="121" w:after="0"/>
        <w:ind w:left="217" w:right="112" w:firstLine="440"/>
        <w:jc w:val="both"/>
        <w:rPr>
          <w:sz w:val="22"/>
        </w:rPr>
      </w:pPr>
      <w:r>
        <w:rPr>
          <w:color w:val="231F20"/>
          <w:sz w:val="22"/>
        </w:rPr>
        <w:t>发包人应在发出开始工作通知前将工程师的任命通知承包人。更换工程师的，发包人</w:t>
      </w:r>
      <w:r>
        <w:rPr>
          <w:color w:val="231F20"/>
          <w:spacing w:val="2"/>
          <w:sz w:val="22"/>
        </w:rPr>
        <w:t>应提前 </w:t>
      </w:r>
      <w:r>
        <w:rPr>
          <w:color w:val="231F20"/>
          <w:sz w:val="22"/>
        </w:rPr>
        <w:t>7 天以书面形式通知承包人，并在通知中写明替换者的姓名、职务、职权、权限和任命时间。工程师超过 2 天不能履行职责的，应委派代表代行其职责，并通知承包人。</w:t>
      </w:r>
    </w:p>
    <w:p>
      <w:pPr>
        <w:pStyle w:val="ListParagraph"/>
        <w:numPr>
          <w:ilvl w:val="2"/>
          <w:numId w:val="37"/>
        </w:numPr>
        <w:tabs>
          <w:tab w:pos="1168" w:val="left" w:leader="none"/>
        </w:tabs>
        <w:spacing w:line="319" w:lineRule="auto" w:before="25" w:after="0"/>
        <w:ind w:left="217" w:right="111" w:firstLine="440"/>
        <w:jc w:val="both"/>
        <w:rPr>
          <w:sz w:val="22"/>
        </w:rPr>
      </w:pPr>
      <w:r>
        <w:rPr>
          <w:color w:val="231F20"/>
          <w:sz w:val="22"/>
        </w:rPr>
        <w:t>工程师可以授权其他人员负责执行其指派的一项或多项工作，但第 3.6</w:t>
      </w:r>
      <w:r>
        <w:rPr>
          <w:color w:val="231F20"/>
          <w:spacing w:val="0"/>
          <w:sz w:val="22"/>
        </w:rPr>
        <w:t> 款 [ 商定或确</w:t>
      </w:r>
      <w:r>
        <w:rPr>
          <w:color w:val="231F20"/>
          <w:sz w:val="22"/>
        </w:rPr>
        <w:t>定 ] 下的权利除外。工程师应将被授权人员的姓名及其授权范围通知承包人。被授权的人员在授权范围内发出的指示视为已得到工程师的同意，与工程师发出的指示具有同等效力。工程师撤销某项授权时，应将撤销授权的决定及时通知承包人。</w:t>
      </w:r>
    </w:p>
    <w:p>
      <w:pPr>
        <w:pStyle w:val="ListParagraph"/>
        <w:numPr>
          <w:ilvl w:val="1"/>
          <w:numId w:val="38"/>
        </w:numPr>
        <w:tabs>
          <w:tab w:pos="1024" w:val="left" w:leader="none"/>
        </w:tabs>
        <w:spacing w:line="240" w:lineRule="auto" w:before="19" w:after="0"/>
        <w:ind w:left="1023" w:right="0" w:hanging="366"/>
        <w:jc w:val="left"/>
        <w:rPr>
          <w:rFonts w:ascii="方正黑体_GBK" w:eastAsia="方正黑体_GBK" w:hint="eastAsia"/>
          <w:sz w:val="22"/>
        </w:rPr>
      </w:pPr>
      <w:r>
        <w:rPr>
          <w:rFonts w:ascii="方正黑体_GBK" w:eastAsia="方正黑体_GBK" w:hint="eastAsia"/>
          <w:color w:val="231F20"/>
          <w:sz w:val="22"/>
        </w:rPr>
        <w:t>指示</w:t>
      </w:r>
    </w:p>
    <w:p>
      <w:pPr>
        <w:pStyle w:val="ListParagraph"/>
        <w:numPr>
          <w:ilvl w:val="2"/>
          <w:numId w:val="38"/>
        </w:numPr>
        <w:tabs>
          <w:tab w:pos="1149" w:val="left" w:leader="none"/>
        </w:tabs>
        <w:spacing w:line="319" w:lineRule="auto" w:before="122" w:after="0"/>
        <w:ind w:left="217" w:right="114" w:firstLine="440"/>
        <w:jc w:val="both"/>
        <w:rPr>
          <w:sz w:val="22"/>
        </w:rPr>
      </w:pPr>
      <w:r>
        <w:rPr>
          <w:color w:val="231F20"/>
          <w:sz w:val="22"/>
        </w:rPr>
        <w:t>工程师应按照发包人的授权发出指示。工程师的指示应采用书面形式，盖有工程师授权的项目管理机构章，并由工程师的授权人员签字。在紧急情况下，工程师的授权人员可以口头形式发出指示或当场签发临时书面指示，承包人应遵照执行。工程师应在授权人员发出口头指示或临时书面指示后 24 小时内发出书面确认函，在 24 小时内未发出书面确认函的，该口头指示或临时书面指示应被视为工程师的正式指示。</w:t>
      </w:r>
    </w:p>
    <w:p>
      <w:pPr>
        <w:pStyle w:val="ListParagraph"/>
        <w:numPr>
          <w:ilvl w:val="2"/>
          <w:numId w:val="38"/>
        </w:numPr>
        <w:tabs>
          <w:tab w:pos="1149" w:val="left" w:leader="none"/>
        </w:tabs>
        <w:spacing w:line="319" w:lineRule="auto" w:before="26" w:after="0"/>
        <w:ind w:left="217" w:right="115" w:firstLine="440"/>
        <w:jc w:val="both"/>
        <w:rPr>
          <w:sz w:val="22"/>
        </w:rPr>
      </w:pPr>
      <w:r>
        <w:rPr>
          <w:color w:val="231F20"/>
          <w:sz w:val="22"/>
        </w:rPr>
        <w:t>承包人收到工程师作出的指示后应遵照执行。如果任何此类指示构成一项变更时，应</w:t>
      </w:r>
      <w:r>
        <w:rPr>
          <w:color w:val="231F20"/>
          <w:spacing w:val="-1"/>
          <w:sz w:val="22"/>
        </w:rPr>
        <w:t>按照第 </w:t>
      </w:r>
      <w:r>
        <w:rPr>
          <w:color w:val="231F20"/>
          <w:sz w:val="22"/>
        </w:rPr>
        <w:t>13</w:t>
      </w:r>
      <w:r>
        <w:rPr>
          <w:color w:val="231F20"/>
          <w:spacing w:val="-1"/>
          <w:sz w:val="22"/>
        </w:rPr>
        <w:t> 条 [ 变更与调整 ] 的约定办理。</w:t>
      </w:r>
    </w:p>
    <w:p>
      <w:pPr>
        <w:pStyle w:val="ListParagraph"/>
        <w:numPr>
          <w:ilvl w:val="2"/>
          <w:numId w:val="38"/>
        </w:numPr>
        <w:tabs>
          <w:tab w:pos="1149" w:val="left" w:leader="none"/>
        </w:tabs>
        <w:spacing w:line="240" w:lineRule="auto" w:before="26" w:after="0"/>
        <w:ind w:left="217" w:right="0" w:firstLine="440"/>
        <w:jc w:val="left"/>
        <w:rPr>
          <w:sz w:val="22"/>
        </w:rPr>
      </w:pPr>
      <w:r>
        <w:rPr>
          <w:color w:val="231F20"/>
          <w:sz w:val="22"/>
        </w:rPr>
        <w:t>由于工程师未能按合同约定发出指示、指示延误或指示错误而导致承包人费用增加和</w:t>
      </w:r>
    </w:p>
    <w:p>
      <w:pPr>
        <w:pStyle w:val="BodyText"/>
        <w:spacing w:line="319" w:lineRule="auto"/>
        <w:ind w:left="217" w:right="215" w:hanging="110"/>
      </w:pPr>
      <w:r>
        <w:rPr>
          <w:color w:val="231F20"/>
        </w:rPr>
        <w:t>（或）工期延误的，发包人应承担由此增加的费用和（或）工期延误，并向承包人支付合理利润。</w:t>
      </w:r>
    </w:p>
    <w:p>
      <w:pPr>
        <w:pStyle w:val="ListParagraph"/>
        <w:numPr>
          <w:ilvl w:val="1"/>
          <w:numId w:val="38"/>
        </w:numPr>
        <w:tabs>
          <w:tab w:pos="1024" w:val="left" w:leader="none"/>
        </w:tabs>
        <w:spacing w:line="240" w:lineRule="auto" w:before="19" w:after="0"/>
        <w:ind w:left="1023" w:right="0" w:hanging="366"/>
        <w:jc w:val="left"/>
        <w:rPr>
          <w:rFonts w:ascii="方正黑体_GBK" w:eastAsia="方正黑体_GBK" w:hint="eastAsia"/>
          <w:sz w:val="22"/>
        </w:rPr>
      </w:pPr>
      <w:r>
        <w:rPr>
          <w:rFonts w:ascii="方正黑体_GBK" w:eastAsia="方正黑体_GBK" w:hint="eastAsia"/>
          <w:color w:val="231F20"/>
          <w:sz w:val="22"/>
        </w:rPr>
        <w:t>商定或确定</w:t>
      </w:r>
    </w:p>
    <w:p>
      <w:pPr>
        <w:pStyle w:val="ListParagraph"/>
        <w:numPr>
          <w:ilvl w:val="2"/>
          <w:numId w:val="38"/>
        </w:numPr>
        <w:tabs>
          <w:tab w:pos="1149" w:val="left" w:leader="none"/>
        </w:tabs>
        <w:spacing w:line="319" w:lineRule="auto" w:before="122" w:after="0"/>
        <w:ind w:left="217" w:right="115" w:firstLine="440"/>
        <w:jc w:val="both"/>
        <w:rPr>
          <w:sz w:val="22"/>
        </w:rPr>
      </w:pPr>
      <w:r>
        <w:rPr>
          <w:color w:val="231F20"/>
          <w:sz w:val="22"/>
        </w:rPr>
        <w:t>合同约定工程师应按照本款对任何事项进行商定或确定时，工程师应及时与合同当事人协商，尽量达成一致。工程师应将商定的结果以书面形式通知发包人和承包人，并由双方签署确认。</w:t>
      </w:r>
    </w:p>
    <w:p>
      <w:pPr>
        <w:pStyle w:val="ListParagraph"/>
        <w:numPr>
          <w:ilvl w:val="2"/>
          <w:numId w:val="38"/>
        </w:numPr>
        <w:tabs>
          <w:tab w:pos="1149" w:val="left" w:leader="none"/>
        </w:tabs>
        <w:spacing w:line="319" w:lineRule="auto" w:before="26" w:after="0"/>
        <w:ind w:left="217" w:right="109" w:firstLine="440"/>
        <w:jc w:val="both"/>
        <w:rPr>
          <w:sz w:val="22"/>
        </w:rPr>
      </w:pPr>
      <w:r>
        <w:rPr>
          <w:color w:val="231F20"/>
          <w:sz w:val="22"/>
        </w:rPr>
        <w:t>除专用合同条件另有约定外，商定的期限应为工程师收到任何一方就商定事由发出的</w:t>
      </w:r>
      <w:r>
        <w:rPr>
          <w:color w:val="231F20"/>
          <w:spacing w:val="3"/>
          <w:sz w:val="22"/>
        </w:rPr>
        <w:t>通知后 </w:t>
      </w:r>
      <w:r>
        <w:rPr>
          <w:color w:val="231F20"/>
          <w:sz w:val="22"/>
        </w:rPr>
        <w:t>42</w:t>
      </w:r>
      <w:r>
        <w:rPr>
          <w:color w:val="231F20"/>
          <w:spacing w:val="0"/>
          <w:sz w:val="22"/>
        </w:rPr>
        <w:t> 天内或工程师提出并经双方同意的其他期限。未能在该期限内达成一致的，由工程</w:t>
      </w:r>
      <w:r>
        <w:rPr>
          <w:color w:val="231F20"/>
          <w:sz w:val="22"/>
        </w:rPr>
        <w:t>师按照合同约定审慎做出公正的确定。确定的期限应为商定的期限届满后 42</w:t>
      </w:r>
      <w:r>
        <w:rPr>
          <w:color w:val="231F20"/>
          <w:spacing w:val="2"/>
          <w:sz w:val="22"/>
        </w:rPr>
        <w:t> 天内或工程师提</w:t>
      </w:r>
      <w:r>
        <w:rPr>
          <w:color w:val="231F20"/>
          <w:sz w:val="22"/>
        </w:rPr>
        <w:t>出并经双方同意的其他期限。工程师应将确定的结果以书面形式通知发包人和承包人，并附详细依据。</w:t>
      </w:r>
    </w:p>
    <w:p>
      <w:pPr>
        <w:pStyle w:val="ListParagraph"/>
        <w:numPr>
          <w:ilvl w:val="2"/>
          <w:numId w:val="38"/>
        </w:numPr>
        <w:tabs>
          <w:tab w:pos="1168" w:val="left" w:leader="none"/>
        </w:tabs>
        <w:spacing w:line="240" w:lineRule="auto" w:before="26" w:after="0"/>
        <w:ind w:left="1167" w:right="0" w:hanging="510"/>
        <w:jc w:val="left"/>
        <w:rPr>
          <w:sz w:val="22"/>
        </w:rPr>
      </w:pPr>
      <w:r>
        <w:rPr>
          <w:color w:val="231F20"/>
          <w:spacing w:val="0"/>
          <w:sz w:val="22"/>
        </w:rPr>
        <w:t>任何一方对工程师的确定有异议的，应在收到确定的结果后 </w:t>
      </w:r>
      <w:r>
        <w:rPr>
          <w:color w:val="231F20"/>
          <w:sz w:val="22"/>
        </w:rPr>
        <w:t>28 天内向另一方发出书</w:t>
      </w:r>
    </w:p>
    <w:p>
      <w:pPr>
        <w:spacing w:after="0" w:line="240" w:lineRule="auto"/>
        <w:jc w:val="left"/>
        <w:rPr>
          <w:sz w:val="22"/>
        </w:rPr>
        <w:sectPr>
          <w:pgSz w:w="11910" w:h="16840"/>
          <w:pgMar w:header="0" w:footer="832" w:top="1580" w:bottom="1020" w:left="1200" w:right="1300"/>
        </w:sectPr>
      </w:pPr>
    </w:p>
    <w:p>
      <w:pPr>
        <w:pStyle w:val="BodyText"/>
        <w:spacing w:line="319" w:lineRule="auto" w:before="24"/>
        <w:ind w:right="208"/>
        <w:jc w:val="both"/>
      </w:pPr>
      <w:r>
        <w:rPr>
          <w:color w:val="231F20"/>
        </w:rPr>
        <w:t>面异议通知并抄送工程师。除第 19.2 款 [ 承包人索赔的处理程序 ] 另有约定外，工程师未能在确定的期限内发出确定的结果通知的，或者任何一方发出对确定的结果有异议的通知的，则构成争议并应按照第 20 条 [ 争议解决 ] 的约定处理。如未在 28 天内发出上述通知的，工程师的确定应被视为已被双方接受并对双方具有约束力，但专用合同条件另有约定的除外。</w:t>
      </w:r>
    </w:p>
    <w:p>
      <w:pPr>
        <w:pStyle w:val="ListParagraph"/>
        <w:numPr>
          <w:ilvl w:val="2"/>
          <w:numId w:val="38"/>
        </w:numPr>
        <w:tabs>
          <w:tab w:pos="1048" w:val="left" w:leader="none"/>
        </w:tabs>
        <w:spacing w:line="319" w:lineRule="auto" w:before="26" w:after="0"/>
        <w:ind w:left="117" w:right="214" w:firstLine="440"/>
        <w:jc w:val="both"/>
        <w:rPr>
          <w:sz w:val="22"/>
        </w:rPr>
      </w:pPr>
      <w:r>
        <w:rPr>
          <w:color w:val="231F20"/>
          <w:spacing w:val="-1"/>
          <w:sz w:val="22"/>
        </w:rPr>
        <w:t>在该争议解决前，双方应暂按工程师的确定执行。按照第 </w:t>
      </w:r>
      <w:r>
        <w:rPr>
          <w:color w:val="231F20"/>
          <w:sz w:val="22"/>
        </w:rPr>
        <w:t>20</w:t>
      </w:r>
      <w:r>
        <w:rPr>
          <w:color w:val="231F20"/>
          <w:spacing w:val="2"/>
          <w:sz w:val="22"/>
        </w:rPr>
        <w:t> 条[ 争议解决] 的约定对工程师的确定作出修改的，按修改后的结果执行，由此导致承包人增加的费用和延误的工期由责任方承担。</w:t>
      </w:r>
    </w:p>
    <w:p>
      <w:pPr>
        <w:pStyle w:val="ListParagraph"/>
        <w:numPr>
          <w:ilvl w:val="1"/>
          <w:numId w:val="39"/>
        </w:numPr>
        <w:tabs>
          <w:tab w:pos="924" w:val="left" w:leader="none"/>
        </w:tabs>
        <w:spacing w:line="240" w:lineRule="auto" w:before="20" w:after="0"/>
        <w:ind w:left="923" w:right="0" w:hanging="366"/>
        <w:jc w:val="left"/>
        <w:rPr>
          <w:rFonts w:ascii="方正黑体_GBK" w:eastAsia="方正黑体_GBK" w:hint="eastAsia"/>
          <w:sz w:val="22"/>
        </w:rPr>
      </w:pPr>
      <w:r>
        <w:rPr>
          <w:rFonts w:ascii="方正黑体_GBK" w:eastAsia="方正黑体_GBK" w:hint="eastAsia"/>
          <w:color w:val="231F20"/>
          <w:sz w:val="22"/>
        </w:rPr>
        <w:t>会议</w:t>
      </w:r>
    </w:p>
    <w:p>
      <w:pPr>
        <w:pStyle w:val="ListParagraph"/>
        <w:numPr>
          <w:ilvl w:val="2"/>
          <w:numId w:val="39"/>
        </w:numPr>
        <w:tabs>
          <w:tab w:pos="1068" w:val="left" w:leader="none"/>
        </w:tabs>
        <w:spacing w:line="319" w:lineRule="auto" w:before="122" w:after="0"/>
        <w:ind w:left="117" w:right="108" w:firstLine="440"/>
        <w:jc w:val="left"/>
        <w:rPr>
          <w:sz w:val="22"/>
        </w:rPr>
      </w:pPr>
      <w:r>
        <w:rPr>
          <w:color w:val="231F20"/>
          <w:sz w:val="22"/>
        </w:rPr>
        <w:t>除专用合同条件另有约定外，任何一方可向另一方发出通知，要求另一方出席会议， 讨论工程的实施安排或与本合同履行有关的其他事项。发包人的其他承包人、承包人的分包人和其他第三方可应任何一方的请求出席任何此类会议。</w:t>
      </w:r>
    </w:p>
    <w:p>
      <w:pPr>
        <w:pStyle w:val="ListParagraph"/>
        <w:numPr>
          <w:ilvl w:val="2"/>
          <w:numId w:val="39"/>
        </w:numPr>
        <w:tabs>
          <w:tab w:pos="1009" w:val="left" w:leader="none"/>
          <w:tab w:pos="1069" w:val="left" w:leader="none"/>
        </w:tabs>
        <w:spacing w:line="316" w:lineRule="auto" w:before="25" w:after="0"/>
        <w:ind w:left="117" w:right="214" w:firstLine="440"/>
        <w:jc w:val="left"/>
        <w:rPr>
          <w:rFonts w:ascii="方正黑体_GBK" w:eastAsia="方正黑体_GBK" w:hint="eastAsia"/>
          <w:sz w:val="22"/>
        </w:rPr>
      </w:pPr>
      <w:r>
        <w:rPr>
          <w:color w:val="231F20"/>
          <w:spacing w:val="-1"/>
          <w:sz w:val="22"/>
        </w:rPr>
        <w:t>除专用合同条件另有约定</w:t>
      </w:r>
      <w:r>
        <w:rPr>
          <w:color w:val="231F20"/>
          <w:spacing w:val="-5"/>
          <w:sz w:val="22"/>
        </w:rPr>
        <w:t>外</w:t>
      </w:r>
      <w:r>
        <w:rPr>
          <w:color w:val="231F20"/>
          <w:spacing w:val="-1"/>
          <w:sz w:val="22"/>
        </w:rPr>
        <w:t>，</w:t>
      </w:r>
      <w:r>
        <w:rPr>
          <w:color w:val="231F20"/>
          <w:sz w:val="22"/>
        </w:rPr>
        <w:t>发包人应保存每次会议参加人签名的记</w:t>
      </w:r>
      <w:r>
        <w:rPr>
          <w:color w:val="231F20"/>
          <w:spacing w:val="-5"/>
          <w:sz w:val="22"/>
        </w:rPr>
        <w:t>录</w:t>
      </w:r>
      <w:r>
        <w:rPr>
          <w:color w:val="231F20"/>
          <w:sz w:val="22"/>
        </w:rPr>
        <w:t>，并将会议纪</w:t>
      </w:r>
      <w:r>
        <w:rPr>
          <w:color w:val="231F20"/>
          <w:spacing w:val="-5"/>
          <w:sz w:val="22"/>
        </w:rPr>
        <w:t>要提供给出席会议的人员。任何根据此类会议以及会议纪要采取的行动应符合本合同的约定。 </w:t>
      </w:r>
      <w:r>
        <w:rPr>
          <w:rFonts w:ascii="方正黑体_GBK" w:eastAsia="方正黑体_GBK" w:hint="eastAsia"/>
          <w:color w:val="231F20"/>
          <w:sz w:val="22"/>
        </w:rPr>
        <w:t>第</w:t>
      </w:r>
      <w:r>
        <w:rPr>
          <w:rFonts w:ascii="方正黑体_GBK" w:eastAsia="方正黑体_GBK" w:hint="eastAsia"/>
          <w:color w:val="231F20"/>
          <w:spacing w:val="-7"/>
          <w:sz w:val="22"/>
        </w:rPr>
        <w:t> </w:t>
      </w:r>
      <w:r>
        <w:rPr>
          <w:rFonts w:ascii="方正黑体_GBK" w:eastAsia="方正黑体_GBK" w:hint="eastAsia"/>
          <w:color w:val="231F20"/>
          <w:sz w:val="22"/>
        </w:rPr>
        <w:t>4</w:t>
      </w:r>
      <w:r>
        <w:rPr>
          <w:rFonts w:ascii="方正黑体_GBK" w:eastAsia="方正黑体_GBK" w:hint="eastAsia"/>
          <w:color w:val="231F20"/>
          <w:spacing w:val="-7"/>
          <w:sz w:val="22"/>
        </w:rPr>
        <w:t> </w:t>
      </w:r>
      <w:r>
        <w:rPr>
          <w:rFonts w:ascii="方正黑体_GBK" w:eastAsia="方正黑体_GBK" w:hint="eastAsia"/>
          <w:color w:val="231F20"/>
          <w:sz w:val="22"/>
        </w:rPr>
        <w:t>条</w:t>
        <w:tab/>
        <w:t>承包人</w:t>
      </w:r>
    </w:p>
    <w:p>
      <w:pPr>
        <w:pStyle w:val="ListParagraph"/>
        <w:numPr>
          <w:ilvl w:val="1"/>
          <w:numId w:val="40"/>
        </w:numPr>
        <w:tabs>
          <w:tab w:pos="924" w:val="left" w:leader="none"/>
        </w:tabs>
        <w:spacing w:line="240" w:lineRule="auto" w:before="36" w:after="0"/>
        <w:ind w:left="923" w:right="0" w:hanging="366"/>
        <w:jc w:val="left"/>
        <w:rPr>
          <w:rFonts w:ascii="方正黑体_GBK" w:eastAsia="方正黑体_GBK" w:hint="eastAsia"/>
          <w:sz w:val="22"/>
        </w:rPr>
      </w:pPr>
      <w:r>
        <w:rPr>
          <w:rFonts w:ascii="方正黑体_GBK" w:eastAsia="方正黑体_GBK" w:hint="eastAsia"/>
          <w:color w:val="231F20"/>
          <w:sz w:val="22"/>
        </w:rPr>
        <w:t>承包人的一般义务</w:t>
      </w:r>
    </w:p>
    <w:p>
      <w:pPr>
        <w:pStyle w:val="BodyText"/>
        <w:spacing w:line="319" w:lineRule="auto" w:before="122"/>
        <w:ind w:right="215" w:firstLine="440"/>
      </w:pPr>
      <w:r>
        <w:rPr>
          <w:color w:val="231F20"/>
        </w:rPr>
        <w:t>除专用合同条件另有约定外，承包人在履行合同过程中应遵守法律和工程建设标准规范， 并履行以下义务：</w:t>
      </w:r>
    </w:p>
    <w:p>
      <w:pPr>
        <w:pStyle w:val="BodyText"/>
        <w:spacing w:line="319" w:lineRule="auto" w:before="26"/>
        <w:ind w:right="212" w:firstLine="330"/>
        <w:jc w:val="both"/>
      </w:pPr>
      <w:r>
        <w:rPr>
          <w:color w:val="231F20"/>
        </w:rPr>
        <w:t>（ 1）办理法律规定和合同约定由承包人办理的许可和批准，将办理结果书面报送发包人留存，并承担因承包人违反法律或合同约定给发包人造成的任何费用和损失；</w:t>
      </w:r>
    </w:p>
    <w:p>
      <w:pPr>
        <w:pStyle w:val="BodyText"/>
        <w:spacing w:line="319" w:lineRule="auto" w:before="26"/>
        <w:ind w:right="105" w:firstLine="330"/>
      </w:pPr>
      <w:r>
        <w:rPr>
          <w:color w:val="231F20"/>
        </w:rPr>
        <w:t>（ 2）按合同约定完成全部工作并在缺陷责任期和保修期内承担缺陷保证责任和保修义务， 对工作中的任何缺陷进行整改、完善和修补，使其满足合同约定的目的；</w:t>
      </w:r>
    </w:p>
    <w:p>
      <w:pPr>
        <w:pStyle w:val="BodyText"/>
        <w:spacing w:line="319" w:lineRule="auto" w:before="26"/>
        <w:ind w:right="215" w:firstLine="330"/>
        <w:jc w:val="both"/>
      </w:pPr>
      <w:r>
        <w:rPr>
          <w:color w:val="231F20"/>
        </w:rPr>
        <w:t>（ 3）提供合同约定的工程设备和承包人文件，以及为完成合同工作所需的劳务、材料、施工设备和其他物品，并按合同约定负责临时设施的设计、施工、运行、维护、管理和拆除；</w:t>
      </w:r>
    </w:p>
    <w:p>
      <w:pPr>
        <w:pStyle w:val="BodyText"/>
        <w:spacing w:line="319" w:lineRule="auto" w:before="26"/>
        <w:ind w:right="219" w:firstLine="330"/>
        <w:jc w:val="both"/>
      </w:pPr>
      <w:r>
        <w:rPr>
          <w:color w:val="231F20"/>
        </w:rPr>
        <w:t>（ </w:t>
      </w:r>
      <w:r>
        <w:rPr>
          <w:color w:val="231F20"/>
          <w:spacing w:val="-21"/>
        </w:rPr>
        <w:t>4）</w:t>
      </w:r>
      <w:r>
        <w:rPr>
          <w:color w:val="231F20"/>
          <w:spacing w:val="-5"/>
        </w:rPr>
        <w:t>按合同约定的工作内容和进度要求，编制设计、施工的组织和实施计划，保证项目进度计划的实现，并对所有设计、施工作业和施工方法，以及全部工程的完备性和安全可靠性负责；</w:t>
      </w:r>
    </w:p>
    <w:p>
      <w:pPr>
        <w:pStyle w:val="BodyText"/>
        <w:spacing w:line="319" w:lineRule="auto" w:before="26"/>
        <w:ind w:right="214" w:firstLine="330"/>
        <w:jc w:val="both"/>
      </w:pPr>
      <w:r>
        <w:rPr>
          <w:color w:val="231F20"/>
        </w:rPr>
        <w:t>（ 5）按法律规定和合同约定采取安全文明施工、职业健康和环境保护措施，办理员工工伤保险等相关保险，确保工程及人员、材料、设备和设施的安全，防止因工程实施造成的人身伤害和财产损失；</w:t>
      </w:r>
    </w:p>
    <w:p>
      <w:pPr>
        <w:pStyle w:val="BodyText"/>
        <w:spacing w:line="319" w:lineRule="auto" w:before="26"/>
        <w:ind w:right="214" w:firstLine="330"/>
        <w:jc w:val="both"/>
      </w:pPr>
      <w:r>
        <w:rPr>
          <w:color w:val="231F20"/>
        </w:rPr>
        <w:t>（ 6）将发包人按合同约定支付的各项价款专用于合同工程，且应及时支付其雇用人员（包括建筑工人）工资，并及时向分包人支付合同价款；</w:t>
      </w:r>
    </w:p>
    <w:p>
      <w:pPr>
        <w:pStyle w:val="BodyText"/>
        <w:spacing w:before="26"/>
        <w:ind w:left="447"/>
      </w:pPr>
      <w:r>
        <w:rPr>
          <w:color w:val="231F20"/>
        </w:rPr>
        <w:t>（ 7）在进行合同约定的各项工作时，不得侵害发包人与他人使用公用道路、水源、市政管</w:t>
      </w:r>
    </w:p>
    <w:p>
      <w:pPr>
        <w:spacing w:after="0"/>
        <w:sectPr>
          <w:pgSz w:w="11910" w:h="16840"/>
          <w:pgMar w:header="0" w:footer="832" w:top="1580" w:bottom="1020" w:left="1300" w:right="1200"/>
        </w:sectPr>
      </w:pPr>
    </w:p>
    <w:p>
      <w:pPr>
        <w:pStyle w:val="BodyText"/>
        <w:spacing w:before="24"/>
      </w:pPr>
      <w:r>
        <w:rPr>
          <w:color w:val="231F20"/>
        </w:rPr>
        <w:t>网等公共设施的权利，避免对邻近的公共设施产生干扰。</w:t>
      </w:r>
    </w:p>
    <w:p>
      <w:pPr>
        <w:pStyle w:val="ListParagraph"/>
        <w:numPr>
          <w:ilvl w:val="1"/>
          <w:numId w:val="40"/>
        </w:numPr>
        <w:tabs>
          <w:tab w:pos="924" w:val="left" w:leader="none"/>
        </w:tabs>
        <w:spacing w:line="240" w:lineRule="auto" w:before="103" w:after="0"/>
        <w:ind w:left="923" w:right="0" w:hanging="366"/>
        <w:jc w:val="left"/>
        <w:rPr>
          <w:rFonts w:ascii="方正黑体_GBK" w:eastAsia="方正黑体_GBK" w:hint="eastAsia"/>
          <w:sz w:val="22"/>
        </w:rPr>
      </w:pPr>
      <w:r>
        <w:rPr>
          <w:rFonts w:ascii="方正黑体_GBK" w:eastAsia="方正黑体_GBK" w:hint="eastAsia"/>
          <w:color w:val="231F20"/>
          <w:sz w:val="22"/>
        </w:rPr>
        <w:t>履约担保</w:t>
      </w:r>
    </w:p>
    <w:p>
      <w:pPr>
        <w:pStyle w:val="BodyText"/>
        <w:spacing w:line="319" w:lineRule="auto" w:before="122"/>
        <w:ind w:right="208" w:firstLine="440"/>
        <w:jc w:val="both"/>
      </w:pPr>
      <w:r>
        <w:rPr>
          <w:color w:val="231F20"/>
        </w:rPr>
        <w:t>发包人需要承包人提供履约担保的，由合同当事人在专用合同条件中约定履约担保的方式、金额及提交的时间等，并应符合第 2.5 款 [ 支付合同价款 ] 的规定。履约担保可以采用银行保函或担保公司担保等形式，承包人为联合体的，其履约担保由联合体各方或者联合体中牵头人的名义代表联合体提交，具体由合同当事人在专用合同条件中约定。</w:t>
      </w:r>
    </w:p>
    <w:p>
      <w:pPr>
        <w:pStyle w:val="BodyText"/>
        <w:spacing w:line="319" w:lineRule="auto" w:before="26"/>
        <w:ind w:right="212" w:firstLine="440"/>
        <w:jc w:val="both"/>
      </w:pPr>
      <w:r>
        <w:rPr>
          <w:color w:val="231F20"/>
        </w:rPr>
        <w:t>承包人应保证其履约担保在发包人竣工验收前一直有效，发包人应在竣工验收合格后 7 天内将履约担保款项退还给承包人或者解除履约担保。</w:t>
      </w:r>
    </w:p>
    <w:p>
      <w:pPr>
        <w:pStyle w:val="BodyText"/>
        <w:spacing w:line="319" w:lineRule="auto" w:before="26"/>
        <w:ind w:right="215" w:firstLine="440"/>
        <w:jc w:val="both"/>
      </w:pPr>
      <w:r>
        <w:rPr>
          <w:color w:val="231F20"/>
        </w:rPr>
        <w:t>因承包人原因导致工期延长的，继续提供履约担保所增加的费用由承包人承担；非因承包人原因导致工期延长的，继续提供履约担保所增加的费用由发包人承担。</w:t>
      </w:r>
    </w:p>
    <w:p>
      <w:pPr>
        <w:pStyle w:val="ListParagraph"/>
        <w:numPr>
          <w:ilvl w:val="1"/>
          <w:numId w:val="40"/>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工程总承包项目经理</w:t>
      </w:r>
    </w:p>
    <w:p>
      <w:pPr>
        <w:pStyle w:val="ListParagraph"/>
        <w:numPr>
          <w:ilvl w:val="2"/>
          <w:numId w:val="40"/>
        </w:numPr>
        <w:tabs>
          <w:tab w:pos="1049" w:val="left" w:leader="none"/>
        </w:tabs>
        <w:spacing w:line="319" w:lineRule="auto" w:before="121" w:after="0"/>
        <w:ind w:left="117" w:right="105" w:firstLine="440"/>
        <w:jc w:val="left"/>
        <w:rPr>
          <w:sz w:val="22"/>
        </w:rPr>
      </w:pPr>
      <w:r>
        <w:rPr>
          <w:color w:val="231F20"/>
          <w:sz w:val="22"/>
        </w:rPr>
        <w:t>工程总承包项目经理应为合同当事人所确认的人选，并在专用合同条件中明确工程总承包项目经理的姓名、注册执业资格或职称、联系方式及授权范围等事项。工程总承包项目经理应具备履行其职责所需的资格、经验和能力，并为承包人正式聘用的员工，承包人应向发包人提交工程总承包项目经理与承包人之间的劳动合同，以及承包人为工程总承包项目经理缴纳社会保险的有效证明。承包人不提交上述文件的，工程总承包项目经理无权履行职责，发包人</w:t>
      </w:r>
      <w:r>
        <w:rPr>
          <w:color w:val="231F20"/>
          <w:spacing w:val="-2"/>
          <w:sz w:val="22"/>
        </w:rPr>
        <w:t>有权要求更换工程总承包项目经理，由此增加的费用和</w:t>
      </w:r>
      <w:r>
        <w:rPr>
          <w:color w:val="231F20"/>
          <w:sz w:val="22"/>
        </w:rPr>
        <w:t>（或</w:t>
      </w:r>
      <w:r>
        <w:rPr>
          <w:color w:val="231F20"/>
          <w:spacing w:val="-30"/>
          <w:sz w:val="22"/>
        </w:rPr>
        <w:t>）</w:t>
      </w:r>
      <w:r>
        <w:rPr>
          <w:color w:val="231F20"/>
          <w:sz w:val="22"/>
        </w:rPr>
        <w:t>延误的工期由承包人承担。同时， 发包人有权根据专用合同条件约定要求承包人承担违约责任。</w:t>
      </w:r>
    </w:p>
    <w:p>
      <w:pPr>
        <w:pStyle w:val="ListParagraph"/>
        <w:numPr>
          <w:ilvl w:val="2"/>
          <w:numId w:val="40"/>
        </w:numPr>
        <w:tabs>
          <w:tab w:pos="1049" w:val="left" w:leader="none"/>
        </w:tabs>
        <w:spacing w:line="319" w:lineRule="auto" w:before="25" w:after="0"/>
        <w:ind w:left="117" w:right="210" w:firstLine="440"/>
        <w:jc w:val="both"/>
        <w:rPr>
          <w:sz w:val="22"/>
        </w:rPr>
      </w:pPr>
      <w:r>
        <w:rPr>
          <w:color w:val="231F20"/>
          <w:sz w:val="22"/>
        </w:rPr>
        <w:t>承包人应按合同协议书的约定指派工程总承包项目经理，并在约定的期限内到职。工程总承包项目经理不得同时担任其他工程项目的工程总承包项目经理或施工工程总承包项目经理（含施工总承包工程、专业承包工程</w:t>
      </w:r>
      <w:r>
        <w:rPr>
          <w:color w:val="231F20"/>
          <w:spacing w:val="-83"/>
          <w:sz w:val="22"/>
        </w:rPr>
        <w:t>）</w:t>
      </w:r>
      <w:r>
        <w:rPr>
          <w:color w:val="231F20"/>
          <w:sz w:val="22"/>
        </w:rPr>
        <w:t>。工程在现场实施的全部时间内，工程总承包项目经理每月在施工现场时间不得少于专用合同条件约定的天数。工程总承包项目经理确需离开施工现场时，应事先通知工程师，并取得发包人的书面同意。工程总承包项目经理未经批准擅自离开施工现场的，承包人应按照专用合同条件的约定承担违约责任。工程总承包项目经理的通知中应当载明临时代行其职责的人员的注册执业资格、管理经验等资料，该人员应具备履行相应职责的资格、经验和能力。</w:t>
      </w:r>
    </w:p>
    <w:p>
      <w:pPr>
        <w:pStyle w:val="ListParagraph"/>
        <w:numPr>
          <w:ilvl w:val="2"/>
          <w:numId w:val="40"/>
        </w:numPr>
        <w:tabs>
          <w:tab w:pos="1071" w:val="left" w:leader="none"/>
        </w:tabs>
        <w:spacing w:line="319" w:lineRule="auto" w:before="25" w:after="0"/>
        <w:ind w:left="117" w:right="207" w:firstLine="440"/>
        <w:jc w:val="both"/>
        <w:rPr>
          <w:sz w:val="22"/>
        </w:rPr>
      </w:pPr>
      <w:r>
        <w:rPr>
          <w:color w:val="231F20"/>
          <w:spacing w:val="5"/>
          <w:sz w:val="22"/>
        </w:rPr>
        <w:t>承包人应根据本合同的约定授予工程总承包项目经理代表承包人履行合同所需的权</w:t>
      </w:r>
      <w:r>
        <w:rPr>
          <w:color w:val="231F20"/>
          <w:sz w:val="22"/>
        </w:rPr>
        <w:t>利，工程总承包项目经理权限以专用合同条件中约定的权限为准。经承包人授权后，工程总承</w:t>
      </w:r>
      <w:r>
        <w:rPr>
          <w:color w:val="231F20"/>
          <w:spacing w:val="3"/>
          <w:sz w:val="22"/>
        </w:rPr>
        <w:t>包项目经理应按合同约定以及工程师按第 </w:t>
      </w:r>
      <w:r>
        <w:rPr>
          <w:color w:val="231F20"/>
          <w:sz w:val="22"/>
        </w:rPr>
        <w:t>3.5 款 [ 指示 ] 作出的指示，代表承包人负责组织合同的实施。在紧急情况下，且无法与发包人和工程师取得联系时，工程总承包项目经理有权采</w:t>
      </w:r>
      <w:r>
        <w:rPr>
          <w:color w:val="231F20"/>
          <w:spacing w:val="-1"/>
          <w:sz w:val="22"/>
        </w:rPr>
        <w:t>取必要的措施保证人身、工程和财产的安全，但须在事后 </w:t>
      </w:r>
      <w:r>
        <w:rPr>
          <w:color w:val="231F20"/>
          <w:sz w:val="22"/>
        </w:rPr>
        <w:t>48</w:t>
      </w:r>
      <w:r>
        <w:rPr>
          <w:color w:val="231F20"/>
          <w:spacing w:val="-1"/>
          <w:sz w:val="22"/>
        </w:rPr>
        <w:t> 小时内向工程师送交书面报告。</w:t>
      </w:r>
    </w:p>
    <w:p>
      <w:pPr>
        <w:spacing w:after="0" w:line="319" w:lineRule="auto"/>
        <w:jc w:val="both"/>
        <w:rPr>
          <w:sz w:val="22"/>
        </w:rPr>
        <w:sectPr>
          <w:pgSz w:w="11910" w:h="16840"/>
          <w:pgMar w:header="0" w:footer="832" w:top="1580" w:bottom="1020" w:left="1300" w:right="1200"/>
        </w:sectPr>
      </w:pPr>
    </w:p>
    <w:p>
      <w:pPr>
        <w:pStyle w:val="ListParagraph"/>
        <w:numPr>
          <w:ilvl w:val="2"/>
          <w:numId w:val="40"/>
        </w:numPr>
        <w:tabs>
          <w:tab w:pos="1050" w:val="left" w:leader="none"/>
        </w:tabs>
        <w:spacing w:line="319" w:lineRule="auto" w:before="24" w:after="0"/>
        <w:ind w:left="117" w:right="105" w:firstLine="440"/>
        <w:jc w:val="left"/>
        <w:rPr>
          <w:sz w:val="22"/>
        </w:rPr>
      </w:pPr>
      <w:r>
        <w:rPr>
          <w:color w:val="231F20"/>
          <w:spacing w:val="-1"/>
          <w:sz w:val="22"/>
        </w:rPr>
        <w:t>承包人需要更换工程总承包项目经理的，应提前 </w:t>
      </w:r>
      <w:r>
        <w:rPr>
          <w:color w:val="231F20"/>
          <w:sz w:val="22"/>
        </w:rPr>
        <w:t>14</w:t>
      </w:r>
      <w:r>
        <w:rPr>
          <w:color w:val="231F20"/>
          <w:spacing w:val="-1"/>
          <w:sz w:val="22"/>
        </w:rPr>
        <w:t> 天书面通知发包人并抄送工程师， 征得发包人书面同意。通知中应当载明继任工程总承包项目经理的注册执业资格、管理经验等资料，继任工程总承包项目经理继续履行本合同约定的职责。未经发包人书面同意，承包人不得擅自更换工程总承包项目经理，在发包人未予以书面回复期间内，工程总承包项目经理将继续履行其职责。工程总承包项目经理突发丧失履行职务能力的，承包人应当及时委派一位具有相应资格能力的人员担任临时工程总承包项目经理，履行工程总承包项目经理的职责，临时工程总承包项目经理将履行职责直至发包人同意新的工程总承包项目经理的任命之日止。承包人擅自更换工程总承包项目经理的，应按照专用合同条件的约定承担违约责任。</w:t>
      </w:r>
    </w:p>
    <w:p>
      <w:pPr>
        <w:pStyle w:val="ListParagraph"/>
        <w:numPr>
          <w:ilvl w:val="2"/>
          <w:numId w:val="40"/>
        </w:numPr>
        <w:tabs>
          <w:tab w:pos="1071" w:val="left" w:leader="none"/>
        </w:tabs>
        <w:spacing w:line="319" w:lineRule="auto" w:before="26" w:after="0"/>
        <w:ind w:left="117" w:right="103" w:firstLine="440"/>
        <w:jc w:val="left"/>
        <w:rPr>
          <w:sz w:val="22"/>
        </w:rPr>
      </w:pPr>
      <w:r>
        <w:rPr>
          <w:color w:val="231F20"/>
          <w:spacing w:val="3"/>
          <w:sz w:val="22"/>
        </w:rPr>
        <w:t>发包人有权书面通知承包人要求更换其认为不称职的工程总承包项目经理，通知中</w:t>
      </w:r>
      <w:r>
        <w:rPr>
          <w:color w:val="231F20"/>
          <w:sz w:val="22"/>
        </w:rPr>
        <w:t>应当载明要求更换的理由。承包人应在接到更换通知后 14 天内向发包人提出书面的改进报告。</w:t>
      </w:r>
      <w:r>
        <w:rPr>
          <w:color w:val="231F20"/>
          <w:spacing w:val="0"/>
          <w:sz w:val="22"/>
        </w:rPr>
        <w:t>如承包人没有提出改进报告，应在收到更换通知后 </w:t>
      </w:r>
      <w:r>
        <w:rPr>
          <w:color w:val="231F20"/>
          <w:sz w:val="22"/>
        </w:rPr>
        <w:t>28</w:t>
      </w:r>
      <w:r>
        <w:rPr>
          <w:color w:val="231F20"/>
          <w:spacing w:val="1"/>
          <w:sz w:val="22"/>
        </w:rPr>
        <w:t> 天内更换项目经理。发包人收到改进报</w:t>
      </w:r>
      <w:r>
        <w:rPr>
          <w:color w:val="231F20"/>
          <w:sz w:val="22"/>
        </w:rPr>
        <w:t>告后仍要求更换的，承包人应在接到第二次更换通知的 28</w:t>
      </w:r>
      <w:r>
        <w:rPr>
          <w:color w:val="231F20"/>
          <w:spacing w:val="1"/>
          <w:sz w:val="22"/>
        </w:rPr>
        <w:t> 天内进行更换，并将新任命的工程</w:t>
      </w:r>
      <w:r>
        <w:rPr>
          <w:color w:val="231F20"/>
          <w:sz w:val="22"/>
        </w:rPr>
        <w:t>总承包项目经理的注册执业资格、管理经验等资料书面通知发包人。继任工程总承包项目经理继续履行本合同约定的职责。承包人无正当理由拒绝更换工程总承包项目经理的，应按照专用合同条件的约定承担违约责任。</w:t>
      </w:r>
    </w:p>
    <w:p>
      <w:pPr>
        <w:pStyle w:val="ListParagraph"/>
        <w:numPr>
          <w:ilvl w:val="2"/>
          <w:numId w:val="40"/>
        </w:numPr>
        <w:tabs>
          <w:tab w:pos="1049" w:val="left" w:leader="none"/>
        </w:tabs>
        <w:spacing w:line="319" w:lineRule="auto" w:before="26" w:after="0"/>
        <w:ind w:left="117" w:right="215" w:firstLine="440"/>
        <w:jc w:val="both"/>
        <w:rPr>
          <w:sz w:val="22"/>
        </w:rPr>
      </w:pPr>
      <w:r>
        <w:rPr>
          <w:color w:val="231F20"/>
          <w:sz w:val="22"/>
        </w:rPr>
        <w:t>工程总承包项目经理因特殊情况授权其下属人员履行其某项工作职责的，该下属人员应具备履行相应职责的能力，并应事先将上述人员的姓名、注册执业资格、管理经验等信息和授权范围书面通知发包人并抄送工程师，征得发包人书面同意。</w:t>
      </w:r>
    </w:p>
    <w:p>
      <w:pPr>
        <w:pStyle w:val="ListParagraph"/>
        <w:numPr>
          <w:ilvl w:val="1"/>
          <w:numId w:val="41"/>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承包人人员</w:t>
      </w:r>
    </w:p>
    <w:p>
      <w:pPr>
        <w:pStyle w:val="ListParagraph"/>
        <w:numPr>
          <w:ilvl w:val="2"/>
          <w:numId w:val="41"/>
        </w:numPr>
        <w:tabs>
          <w:tab w:pos="1048" w:val="left" w:leader="none"/>
        </w:tabs>
        <w:spacing w:line="240" w:lineRule="auto" w:before="121" w:after="0"/>
        <w:ind w:left="1047" w:right="0" w:hanging="490"/>
        <w:jc w:val="left"/>
        <w:rPr>
          <w:sz w:val="22"/>
        </w:rPr>
      </w:pPr>
      <w:r>
        <w:rPr>
          <w:color w:val="231F20"/>
          <w:sz w:val="22"/>
        </w:rPr>
        <w:t>人员安排</w:t>
      </w:r>
    </w:p>
    <w:p>
      <w:pPr>
        <w:pStyle w:val="BodyText"/>
        <w:spacing w:line="319" w:lineRule="auto"/>
        <w:ind w:right="211" w:firstLine="440"/>
        <w:jc w:val="both"/>
      </w:pPr>
      <w:r>
        <w:rPr>
          <w:color w:val="231F20"/>
          <w:spacing w:val="-3"/>
        </w:rPr>
        <w:t>承包人人员的资质、数量、配置和管理应能满足工程实施的需要。除专用合同条件另有约</w:t>
      </w:r>
      <w:r>
        <w:rPr>
          <w:color w:val="231F20"/>
          <w:spacing w:val="-5"/>
        </w:rPr>
        <w:t>定外，承包人应在接到开始工作通知之日起 </w:t>
      </w:r>
      <w:r>
        <w:rPr>
          <w:color w:val="231F20"/>
          <w:spacing w:val="-3"/>
        </w:rPr>
        <w:t>14</w:t>
      </w:r>
      <w:r>
        <w:rPr>
          <w:color w:val="231F20"/>
          <w:spacing w:val="-6"/>
        </w:rPr>
        <w:t> 天内，向工程师提交承包人的项目管理机构以及</w:t>
      </w:r>
      <w:r>
        <w:rPr>
          <w:color w:val="231F20"/>
          <w:spacing w:val="-5"/>
        </w:rPr>
        <w:t>人员安排的报告，其内容应包括管理机构的设置、各主要岗位的关键人员名单及注册执业资格等证明其具备担任关键人员能力的相关文件，以及设计人员和各工种技术负责人的安排状况。</w:t>
      </w:r>
    </w:p>
    <w:p>
      <w:pPr>
        <w:pStyle w:val="BodyText"/>
        <w:spacing w:line="319" w:lineRule="auto" w:before="26"/>
        <w:ind w:right="215" w:firstLine="440"/>
      </w:pPr>
      <w:r>
        <w:rPr>
          <w:color w:val="231F20"/>
        </w:rPr>
        <w:t>关键人员是发包人及承包人一致认为对工程建设起重要作用的承包人主要管理人员或技术人员。关键人员的具体范围由发包人及承包人在附件 5[ 承包人主要管理人员表 ] 中另行约定。</w:t>
      </w:r>
    </w:p>
    <w:p>
      <w:pPr>
        <w:pStyle w:val="ListParagraph"/>
        <w:numPr>
          <w:ilvl w:val="2"/>
          <w:numId w:val="41"/>
        </w:numPr>
        <w:tabs>
          <w:tab w:pos="1048" w:val="left" w:leader="none"/>
        </w:tabs>
        <w:spacing w:line="240" w:lineRule="auto" w:before="26" w:after="0"/>
        <w:ind w:left="1047" w:right="0" w:hanging="490"/>
        <w:jc w:val="left"/>
        <w:rPr>
          <w:sz w:val="22"/>
        </w:rPr>
      </w:pPr>
      <w:r>
        <w:rPr>
          <w:color w:val="231F20"/>
          <w:sz w:val="22"/>
        </w:rPr>
        <w:t>关键人员更换</w:t>
      </w:r>
    </w:p>
    <w:p>
      <w:pPr>
        <w:pStyle w:val="BodyText"/>
        <w:spacing w:line="319" w:lineRule="auto"/>
        <w:ind w:right="210" w:firstLine="440"/>
        <w:jc w:val="both"/>
      </w:pPr>
      <w:r>
        <w:rPr>
          <w:color w:val="231F20"/>
        </w:rPr>
        <w:t>承包人派驻到施工现场的关键人员应相对稳定。承包人更换关键人员时，应提前 14 天将继任关键人员信息及相关证明文件提交给工程师，并由工程师报发包人征求同意。在发包人未予以书面回复期间内，关键人员将继续履行其职务。关键人员突发丧失履行职务能力的，承包人应当及时委派一位具有相应资格能力的人员临时继任该关键人员职位，履行该关键人员职</w:t>
      </w:r>
    </w:p>
    <w:p>
      <w:pPr>
        <w:spacing w:after="0" w:line="319" w:lineRule="auto"/>
        <w:jc w:val="both"/>
        <w:sectPr>
          <w:pgSz w:w="11910" w:h="16840"/>
          <w:pgMar w:header="0" w:footer="832" w:top="1580" w:bottom="1020" w:left="1300" w:right="1200"/>
        </w:sectPr>
      </w:pPr>
    </w:p>
    <w:p>
      <w:pPr>
        <w:pStyle w:val="BodyText"/>
        <w:spacing w:line="319" w:lineRule="auto" w:before="24"/>
        <w:ind w:right="214"/>
        <w:jc w:val="both"/>
      </w:pPr>
      <w:r>
        <w:rPr>
          <w:color w:val="231F20"/>
        </w:rPr>
        <w:t>责，临时继任关键人员将履行职责直至发包人同意新的关键人员任命之日止。承包人擅自更换关键人员，应按照专用合同条件约定承担违约责任。</w:t>
      </w:r>
    </w:p>
    <w:p>
      <w:pPr>
        <w:pStyle w:val="BodyText"/>
        <w:spacing w:line="319" w:lineRule="auto" w:before="26"/>
        <w:ind w:right="213" w:firstLine="440"/>
        <w:jc w:val="both"/>
      </w:pPr>
      <w:r>
        <w:rPr>
          <w:color w:val="231F20"/>
        </w:rPr>
        <w:t>工程师对于承包人关键人员的资格或能力有异议的，承包人应提供资料证明被质疑人员有能力完成其岗位工作或不存在工程师所质疑的情形。工程师指示撤换不能按照合同约定履行职责及义务的主要施工管理人员的，承包人应当撤换。承包人无正当理由拒绝撤换的，应按照专用合同条件的约定承担违约责任。</w:t>
      </w:r>
    </w:p>
    <w:p>
      <w:pPr>
        <w:pStyle w:val="ListParagraph"/>
        <w:numPr>
          <w:ilvl w:val="2"/>
          <w:numId w:val="41"/>
        </w:numPr>
        <w:tabs>
          <w:tab w:pos="1048" w:val="left" w:leader="none"/>
        </w:tabs>
        <w:spacing w:line="240" w:lineRule="auto" w:before="26" w:after="0"/>
        <w:ind w:left="1047" w:right="0" w:hanging="490"/>
        <w:jc w:val="left"/>
        <w:rPr>
          <w:sz w:val="22"/>
        </w:rPr>
      </w:pPr>
      <w:r>
        <w:rPr>
          <w:color w:val="231F20"/>
          <w:sz w:val="22"/>
        </w:rPr>
        <w:t>现场管理关键人员在岗要求</w:t>
      </w:r>
    </w:p>
    <w:p>
      <w:pPr>
        <w:pStyle w:val="BodyText"/>
        <w:ind w:left="557"/>
      </w:pPr>
      <w:r>
        <w:rPr>
          <w:color w:val="231F20"/>
        </w:rPr>
        <w:t>除专用合同条件另有约定外，承包人的现场管理关键人员离开施工现场每月累计不超过 7 天</w:t>
      </w:r>
    </w:p>
    <w:p>
      <w:pPr>
        <w:pStyle w:val="BodyText"/>
        <w:spacing w:line="319" w:lineRule="auto"/>
        <w:ind w:right="214"/>
        <w:jc w:val="both"/>
      </w:pPr>
      <w:r>
        <w:rPr>
          <w:color w:val="231F20"/>
          <w:spacing w:val="-11"/>
        </w:rPr>
        <w:t>的，应报工程师同意；离开施工现场每月累计超过 </w:t>
      </w:r>
      <w:r>
        <w:rPr>
          <w:color w:val="231F20"/>
        </w:rPr>
        <w:t>7</w:t>
      </w:r>
      <w:r>
        <w:rPr>
          <w:color w:val="231F20"/>
          <w:spacing w:val="-5"/>
        </w:rPr>
        <w:t> 天的，应书面通知发包人并抄送工程师，征得发包人书面同意。现场管理关键人员因故离开施工现场的，可授权有经验的人员临时代行其职责，但承包人应将被授权人员信息及授权范围书面通知发包人并取得其同意。现场管理关键人员未经工程师或发包人同意擅自离开施工现场的，应按照专用合同条件约定承担违约责任。</w:t>
      </w:r>
    </w:p>
    <w:p>
      <w:pPr>
        <w:pStyle w:val="ListParagraph"/>
        <w:numPr>
          <w:ilvl w:val="1"/>
          <w:numId w:val="42"/>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分包</w:t>
      </w:r>
    </w:p>
    <w:p>
      <w:pPr>
        <w:pStyle w:val="ListParagraph"/>
        <w:numPr>
          <w:ilvl w:val="2"/>
          <w:numId w:val="42"/>
        </w:numPr>
        <w:tabs>
          <w:tab w:pos="1048" w:val="left" w:leader="none"/>
        </w:tabs>
        <w:spacing w:line="240" w:lineRule="auto" w:before="121" w:after="0"/>
        <w:ind w:left="1047" w:right="0" w:hanging="490"/>
        <w:jc w:val="left"/>
        <w:rPr>
          <w:sz w:val="22"/>
        </w:rPr>
      </w:pPr>
      <w:r>
        <w:rPr>
          <w:color w:val="231F20"/>
          <w:sz w:val="22"/>
        </w:rPr>
        <w:t>一般约定</w:t>
      </w:r>
    </w:p>
    <w:p>
      <w:pPr>
        <w:pStyle w:val="BodyText"/>
        <w:spacing w:line="319" w:lineRule="auto"/>
        <w:ind w:right="214" w:firstLine="440"/>
        <w:jc w:val="both"/>
      </w:pPr>
      <w:r>
        <w:rPr>
          <w:color w:val="231F20"/>
        </w:rPr>
        <w:t>承包人不得将其承包的全部工程转包给第三人，或将其承包的全部工程支解后以分包的名义转包给第三人。承包人不得将法律或专用合同条件中禁止分包的工作事项分包给第三人，不得以劳务分包的名义转包或违法分包工程。</w:t>
      </w:r>
    </w:p>
    <w:p>
      <w:pPr>
        <w:pStyle w:val="ListParagraph"/>
        <w:numPr>
          <w:ilvl w:val="2"/>
          <w:numId w:val="42"/>
        </w:numPr>
        <w:tabs>
          <w:tab w:pos="1048" w:val="left" w:leader="none"/>
        </w:tabs>
        <w:spacing w:line="240" w:lineRule="auto" w:before="26" w:after="0"/>
        <w:ind w:left="1047" w:right="0" w:hanging="490"/>
        <w:jc w:val="left"/>
        <w:rPr>
          <w:sz w:val="22"/>
        </w:rPr>
      </w:pPr>
      <w:r>
        <w:rPr>
          <w:color w:val="231F20"/>
          <w:sz w:val="22"/>
        </w:rPr>
        <w:t>分包的确定</w:t>
      </w:r>
    </w:p>
    <w:p>
      <w:pPr>
        <w:pStyle w:val="BodyText"/>
        <w:ind w:left="557"/>
      </w:pPr>
      <w:r>
        <w:rPr>
          <w:color w:val="231F20"/>
        </w:rPr>
        <w:t>承包人应按照专用合同条件约定对工作事项进行分包，确定分包人。</w:t>
      </w:r>
    </w:p>
    <w:p>
      <w:pPr>
        <w:pStyle w:val="BodyText"/>
        <w:spacing w:line="319" w:lineRule="auto"/>
        <w:ind w:right="105" w:firstLine="440"/>
      </w:pPr>
      <w:r>
        <w:rPr>
          <w:color w:val="231F20"/>
        </w:rPr>
        <w:t>专用合同条件未列出的分包事项，承包人可在工程实施阶段分批分期就分包事项向发包人提交申请，发包人在接到分包事项申请后的 14 天内，予以批准或提出意见。未经发包人同意，</w:t>
      </w:r>
    </w:p>
    <w:p>
      <w:pPr>
        <w:pStyle w:val="BodyText"/>
        <w:spacing w:line="319" w:lineRule="auto" w:before="26"/>
        <w:ind w:right="209"/>
        <w:jc w:val="both"/>
      </w:pPr>
      <w:r>
        <w:rPr>
          <w:color w:val="231F20"/>
        </w:rPr>
        <w:t>承包人不得将提出的拟分包事项对外分包。发包人未能在 14 天内批准亦未提出意见的，承包人有权将提出的拟分包事项对外分包，但应在分包人确定后通知发包人。</w:t>
      </w:r>
    </w:p>
    <w:p>
      <w:pPr>
        <w:pStyle w:val="ListParagraph"/>
        <w:numPr>
          <w:ilvl w:val="2"/>
          <w:numId w:val="42"/>
        </w:numPr>
        <w:tabs>
          <w:tab w:pos="1048" w:val="left" w:leader="none"/>
        </w:tabs>
        <w:spacing w:line="240" w:lineRule="auto" w:before="26" w:after="0"/>
        <w:ind w:left="1047" w:right="0" w:hanging="490"/>
        <w:jc w:val="left"/>
        <w:rPr>
          <w:sz w:val="22"/>
        </w:rPr>
      </w:pPr>
      <w:r>
        <w:rPr>
          <w:color w:val="231F20"/>
          <w:sz w:val="22"/>
        </w:rPr>
        <w:t>分包人资质</w:t>
      </w:r>
    </w:p>
    <w:p>
      <w:pPr>
        <w:pStyle w:val="BodyText"/>
        <w:spacing w:line="319" w:lineRule="auto"/>
        <w:ind w:right="215" w:firstLine="440"/>
      </w:pPr>
      <w:r>
        <w:rPr>
          <w:color w:val="231F20"/>
        </w:rPr>
        <w:t>分包人应符合国家法律规定的资质等级，否则不能作为分包人。承包人有义务对分包人的资质进行审查。</w:t>
      </w:r>
    </w:p>
    <w:p>
      <w:pPr>
        <w:pStyle w:val="ListParagraph"/>
        <w:numPr>
          <w:ilvl w:val="2"/>
          <w:numId w:val="42"/>
        </w:numPr>
        <w:tabs>
          <w:tab w:pos="1048" w:val="left" w:leader="none"/>
        </w:tabs>
        <w:spacing w:line="240" w:lineRule="auto" w:before="26" w:after="0"/>
        <w:ind w:left="1047" w:right="0" w:hanging="490"/>
        <w:jc w:val="left"/>
        <w:rPr>
          <w:sz w:val="22"/>
        </w:rPr>
      </w:pPr>
      <w:r>
        <w:rPr>
          <w:color w:val="231F20"/>
          <w:sz w:val="22"/>
        </w:rPr>
        <w:t>分包管理</w:t>
      </w:r>
    </w:p>
    <w:p>
      <w:pPr>
        <w:pStyle w:val="BodyText"/>
        <w:spacing w:line="319" w:lineRule="auto"/>
        <w:ind w:right="214" w:firstLine="440"/>
        <w:jc w:val="both"/>
      </w:pPr>
      <w:r>
        <w:rPr>
          <w:color w:val="231F20"/>
        </w:rPr>
        <w:t>承包人应当对分包人的工作进行必要的协调与管理，确保分包人严格执行国家有关分包事项的管理规定。承包人应向工程师提交分包人的主要管理人员表，并对分包人的工作人员进行实名制管理，包括但不限于进出场管理、登记造册以及各种证照的办理。</w:t>
      </w:r>
    </w:p>
    <w:p>
      <w:pPr>
        <w:pStyle w:val="ListParagraph"/>
        <w:numPr>
          <w:ilvl w:val="2"/>
          <w:numId w:val="42"/>
        </w:numPr>
        <w:tabs>
          <w:tab w:pos="1048" w:val="left" w:leader="none"/>
        </w:tabs>
        <w:spacing w:line="240" w:lineRule="auto" w:before="25" w:after="0"/>
        <w:ind w:left="1047" w:right="0" w:hanging="490"/>
        <w:jc w:val="left"/>
        <w:rPr>
          <w:sz w:val="22"/>
        </w:rPr>
      </w:pPr>
      <w:r>
        <w:rPr>
          <w:color w:val="231F20"/>
          <w:sz w:val="22"/>
        </w:rPr>
        <w:t>分包合同价款支付</w:t>
      </w:r>
    </w:p>
    <w:p>
      <w:pPr>
        <w:spacing w:after="0" w:line="240" w:lineRule="auto"/>
        <w:jc w:val="left"/>
        <w:rPr>
          <w:sz w:val="22"/>
        </w:rPr>
        <w:sectPr>
          <w:pgSz w:w="11910" w:h="16840"/>
          <w:pgMar w:header="0" w:footer="832" w:top="1580" w:bottom="1020" w:left="1300" w:right="1200"/>
        </w:sectPr>
      </w:pPr>
    </w:p>
    <w:p>
      <w:pPr>
        <w:pStyle w:val="BodyText"/>
        <w:spacing w:line="319" w:lineRule="auto" w:before="24"/>
        <w:ind w:right="215" w:firstLine="330"/>
      </w:pPr>
      <w:r>
        <w:rPr>
          <w:color w:val="231F20"/>
        </w:rPr>
        <w:t>（ 1）除本项第（ 2）目约定的情况或专用合同条件另有约定外，分包合同价款由承包人与分包人结算，未经承包人同意，发包人不得向分包人支付分包合同价款；</w:t>
      </w:r>
    </w:p>
    <w:p>
      <w:pPr>
        <w:pStyle w:val="BodyText"/>
        <w:spacing w:line="319" w:lineRule="auto" w:before="26"/>
        <w:ind w:right="199" w:firstLine="330"/>
      </w:pPr>
      <w:r>
        <w:rPr>
          <w:color w:val="231F20"/>
        </w:rPr>
        <w:t>（ 2）生效法律文书要求发包人向分包人支付分包合同价款的，发包人有权从应付承包人工程款中扣除该部分款项，将扣款直接支付给分包人，并书面通知承包人。</w:t>
      </w:r>
    </w:p>
    <w:p>
      <w:pPr>
        <w:pStyle w:val="ListParagraph"/>
        <w:numPr>
          <w:ilvl w:val="2"/>
          <w:numId w:val="42"/>
        </w:numPr>
        <w:tabs>
          <w:tab w:pos="1048" w:val="left" w:leader="none"/>
        </w:tabs>
        <w:spacing w:line="240" w:lineRule="auto" w:before="26" w:after="0"/>
        <w:ind w:left="1047" w:right="0" w:hanging="490"/>
        <w:jc w:val="left"/>
        <w:rPr>
          <w:sz w:val="22"/>
        </w:rPr>
      </w:pPr>
      <w:r>
        <w:rPr>
          <w:color w:val="231F20"/>
          <w:sz w:val="22"/>
        </w:rPr>
        <w:t>责任承担</w:t>
      </w:r>
    </w:p>
    <w:p>
      <w:pPr>
        <w:pStyle w:val="BodyText"/>
        <w:ind w:left="557"/>
      </w:pPr>
      <w:r>
        <w:rPr>
          <w:color w:val="231F20"/>
        </w:rPr>
        <w:t>承包人对分包人的行为向发包人负责，承包人和分包人就分包工作向发包人承担连带责任。</w:t>
      </w:r>
    </w:p>
    <w:p>
      <w:pPr>
        <w:pStyle w:val="ListParagraph"/>
        <w:numPr>
          <w:ilvl w:val="1"/>
          <w:numId w:val="43"/>
        </w:numPr>
        <w:tabs>
          <w:tab w:pos="924" w:val="left" w:leader="none"/>
        </w:tabs>
        <w:spacing w:line="240" w:lineRule="auto" w:before="103" w:after="0"/>
        <w:ind w:left="923" w:right="0" w:hanging="366"/>
        <w:jc w:val="left"/>
        <w:rPr>
          <w:rFonts w:ascii="方正黑体_GBK" w:eastAsia="方正黑体_GBK" w:hint="eastAsia"/>
          <w:sz w:val="22"/>
        </w:rPr>
      </w:pPr>
      <w:r>
        <w:rPr>
          <w:rFonts w:ascii="方正黑体_GBK" w:eastAsia="方正黑体_GBK" w:hint="eastAsia"/>
          <w:color w:val="231F20"/>
          <w:sz w:val="22"/>
        </w:rPr>
        <w:t>联合体</w:t>
      </w:r>
    </w:p>
    <w:p>
      <w:pPr>
        <w:pStyle w:val="ListParagraph"/>
        <w:numPr>
          <w:ilvl w:val="2"/>
          <w:numId w:val="43"/>
        </w:numPr>
        <w:tabs>
          <w:tab w:pos="1049" w:val="left" w:leader="none"/>
        </w:tabs>
        <w:spacing w:line="319" w:lineRule="auto" w:before="122" w:after="0"/>
        <w:ind w:left="117" w:right="215" w:firstLine="440"/>
        <w:jc w:val="left"/>
        <w:rPr>
          <w:sz w:val="22"/>
        </w:rPr>
      </w:pPr>
      <w:r>
        <w:rPr>
          <w:color w:val="231F20"/>
          <w:sz w:val="22"/>
        </w:rPr>
        <w:t>经发包人同意，以联合体方式承包工程的，联合体各方应共同与发包人订立合同协议书。联合体各方应为履行合同向发包人承担连带责任。</w:t>
      </w:r>
    </w:p>
    <w:p>
      <w:pPr>
        <w:pStyle w:val="ListParagraph"/>
        <w:numPr>
          <w:ilvl w:val="2"/>
          <w:numId w:val="43"/>
        </w:numPr>
        <w:tabs>
          <w:tab w:pos="1068" w:val="left" w:leader="none"/>
        </w:tabs>
        <w:spacing w:line="319" w:lineRule="auto" w:before="25" w:after="0"/>
        <w:ind w:left="117" w:right="108" w:firstLine="440"/>
        <w:jc w:val="left"/>
        <w:rPr>
          <w:sz w:val="22"/>
        </w:rPr>
      </w:pPr>
      <w:r>
        <w:rPr>
          <w:color w:val="231F20"/>
          <w:sz w:val="22"/>
        </w:rPr>
        <w:t>承包人应在专用合同条件中明确联合体各成员的分工、费用收取、发票开具等事项。联合体各成员分工承担的工作内容必须与适用法律规定的该成员的资质资格相适应，并应具有相应的项目管理体系和项目管理能力，且不应根据其就承包工作的分工而减免对发包人的任何合同责任。</w:t>
      </w:r>
    </w:p>
    <w:p>
      <w:pPr>
        <w:pStyle w:val="ListParagraph"/>
        <w:numPr>
          <w:ilvl w:val="2"/>
          <w:numId w:val="43"/>
        </w:numPr>
        <w:tabs>
          <w:tab w:pos="1049" w:val="left" w:leader="none"/>
        </w:tabs>
        <w:spacing w:line="319" w:lineRule="auto" w:before="25" w:after="0"/>
        <w:ind w:left="117" w:right="215" w:firstLine="440"/>
        <w:jc w:val="left"/>
        <w:rPr>
          <w:sz w:val="22"/>
        </w:rPr>
      </w:pPr>
      <w:r>
        <w:rPr>
          <w:color w:val="231F20"/>
          <w:sz w:val="22"/>
        </w:rPr>
        <w:t>联合体协议经发包人确认后作为合同附件。在履行合同过程中，未经发包人同意，不得变更联合体成员和其负责的工作范围，或者修改联合体协议中与本合同履行相关的内容。</w:t>
      </w:r>
    </w:p>
    <w:p>
      <w:pPr>
        <w:pStyle w:val="ListParagraph"/>
        <w:numPr>
          <w:ilvl w:val="1"/>
          <w:numId w:val="44"/>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承包人现场查勘</w:t>
      </w:r>
    </w:p>
    <w:p>
      <w:pPr>
        <w:pStyle w:val="ListParagraph"/>
        <w:numPr>
          <w:ilvl w:val="2"/>
          <w:numId w:val="44"/>
        </w:numPr>
        <w:tabs>
          <w:tab w:pos="1049" w:val="left" w:leader="none"/>
        </w:tabs>
        <w:spacing w:line="319" w:lineRule="auto" w:before="121" w:after="0"/>
        <w:ind w:left="117" w:right="209" w:firstLine="440"/>
        <w:jc w:val="both"/>
        <w:rPr>
          <w:sz w:val="22"/>
        </w:rPr>
      </w:pPr>
      <w:r>
        <w:rPr>
          <w:color w:val="231F20"/>
          <w:sz w:val="22"/>
        </w:rPr>
        <w:t>除专用合同条件另有约定外，承包人应对基于发包人提交的基础资料所做出的解释和推断负责，因基础资料存在错误、遗漏导致承包人解释或推断失实的，按照第 2.3</w:t>
      </w:r>
      <w:r>
        <w:rPr>
          <w:color w:val="231F20"/>
          <w:spacing w:val="2"/>
          <w:sz w:val="22"/>
        </w:rPr>
        <w:t> 项 [ 提供基</w:t>
      </w:r>
      <w:r>
        <w:rPr>
          <w:color w:val="231F20"/>
          <w:sz w:val="22"/>
        </w:rPr>
        <w:t>础资料 ] 的规定承担责任。承包人发现基础资料中存在明显错误或疏忽的，应及时书面通知发包人。</w:t>
      </w:r>
    </w:p>
    <w:p>
      <w:pPr>
        <w:pStyle w:val="ListParagraph"/>
        <w:numPr>
          <w:ilvl w:val="2"/>
          <w:numId w:val="44"/>
        </w:numPr>
        <w:tabs>
          <w:tab w:pos="1049" w:val="left" w:leader="none"/>
        </w:tabs>
        <w:spacing w:line="319" w:lineRule="auto" w:before="25" w:after="0"/>
        <w:ind w:left="117" w:right="213" w:firstLine="440"/>
        <w:jc w:val="both"/>
        <w:rPr>
          <w:sz w:val="22"/>
        </w:rPr>
      </w:pPr>
      <w:r>
        <w:rPr>
          <w:color w:val="231F20"/>
          <w:sz w:val="22"/>
        </w:rPr>
        <w:t>承包人应对现场和工程实施条件进行查勘，并充分了解工程所在地的气象条件、交通条件、风俗习惯以及其他与完成合同工作有关的其他资料。承包人提交投标文件，视为承包人已对施工现场及周围环境进行了踏勘，并已充分了解评估施工现场及周围环境对工程可能产生的影响，自愿承担相应风险与责任。在全部合同工作中，视为承包人已充分估计了应承担的责</w:t>
      </w:r>
      <w:r>
        <w:rPr>
          <w:color w:val="231F20"/>
          <w:spacing w:val="-1"/>
          <w:sz w:val="22"/>
        </w:rPr>
        <w:t>任和风险，但属于 </w:t>
      </w:r>
      <w:r>
        <w:rPr>
          <w:color w:val="231F20"/>
          <w:sz w:val="22"/>
        </w:rPr>
        <w:t>4.8</w:t>
      </w:r>
      <w:r>
        <w:rPr>
          <w:color w:val="231F20"/>
          <w:spacing w:val="-1"/>
          <w:sz w:val="22"/>
        </w:rPr>
        <w:t> 款 [ 不可预见的困难 ] 约定的情形除外。</w:t>
      </w:r>
    </w:p>
    <w:p>
      <w:pPr>
        <w:pStyle w:val="ListParagraph"/>
        <w:numPr>
          <w:ilvl w:val="1"/>
          <w:numId w:val="45"/>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不可预见的困难</w:t>
      </w:r>
    </w:p>
    <w:p>
      <w:pPr>
        <w:pStyle w:val="BodyText"/>
        <w:spacing w:line="319" w:lineRule="auto" w:before="121"/>
        <w:ind w:right="215" w:firstLine="440"/>
      </w:pPr>
      <w:r>
        <w:rPr>
          <w:color w:val="231F20"/>
        </w:rPr>
        <w:t>不可预见的困难是指有经验的承包人在施工现场遇到的不可预见的自然物质条件、非自然的物质障碍和污染物，包括地表以下物质条件和水文条件以及专用合同条件约定的其他情形， 但不包括气候条件。</w:t>
      </w:r>
    </w:p>
    <w:p>
      <w:pPr>
        <w:pStyle w:val="BodyText"/>
        <w:spacing w:line="319" w:lineRule="auto" w:before="25"/>
        <w:ind w:right="215" w:firstLine="440"/>
      </w:pPr>
      <w:r>
        <w:rPr>
          <w:color w:val="231F20"/>
        </w:rPr>
        <w:t>承包人遇到不可预见的困难时，应采取克服不可预见的困难的合理措施继续施工，并及时通知工程师并抄送发包人。通知应载明不可预见的困难的内容、承包人认为不可预见的理由以</w:t>
      </w:r>
    </w:p>
    <w:p>
      <w:pPr>
        <w:spacing w:after="0" w:line="319" w:lineRule="auto"/>
        <w:sectPr>
          <w:footerReference w:type="even" r:id="rId15"/>
          <w:footerReference w:type="default" r:id="rId16"/>
          <w:pgSz w:w="11910" w:h="16840"/>
          <w:pgMar w:footer="832" w:header="0" w:top="1580" w:bottom="1020" w:left="1300" w:right="1200"/>
        </w:sectPr>
      </w:pPr>
    </w:p>
    <w:p>
      <w:pPr>
        <w:pStyle w:val="BodyText"/>
        <w:spacing w:line="319" w:lineRule="auto" w:before="24"/>
        <w:ind w:right="215"/>
      </w:pPr>
      <w:r>
        <w:rPr>
          <w:color w:val="231F20"/>
        </w:rPr>
        <w:t>及承包人制定的处理方案。工程师应当及时发出指示，指示构成变更的，按第 13 条[ 变更与调整 ] 约定执行。承包人因采取合理措施而增加的费用和（或）延误的工期由发包人承担。</w:t>
      </w:r>
    </w:p>
    <w:p>
      <w:pPr>
        <w:pStyle w:val="ListParagraph"/>
        <w:numPr>
          <w:ilvl w:val="1"/>
          <w:numId w:val="45"/>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工程质量管理</w:t>
      </w:r>
    </w:p>
    <w:p>
      <w:pPr>
        <w:pStyle w:val="ListParagraph"/>
        <w:numPr>
          <w:ilvl w:val="2"/>
          <w:numId w:val="45"/>
        </w:numPr>
        <w:tabs>
          <w:tab w:pos="1068" w:val="left" w:leader="none"/>
        </w:tabs>
        <w:spacing w:line="319" w:lineRule="auto" w:before="121" w:after="0"/>
        <w:ind w:left="117" w:right="104" w:firstLine="440"/>
        <w:jc w:val="left"/>
        <w:rPr>
          <w:sz w:val="22"/>
        </w:rPr>
      </w:pPr>
      <w:r>
        <w:rPr>
          <w:color w:val="231F20"/>
          <w:sz w:val="22"/>
        </w:rPr>
        <w:t>承包人应按合同约定的质量标准规范，建立有效的质量管理系统，确保设计、采购、加工制造、施工、竣工试验等各项工作的质量，并按照国家有关规定，通过质量保修责任书的形式约定保修范围、保修期限和保修责任。</w:t>
      </w:r>
    </w:p>
    <w:p>
      <w:pPr>
        <w:pStyle w:val="ListParagraph"/>
        <w:numPr>
          <w:ilvl w:val="2"/>
          <w:numId w:val="45"/>
        </w:numPr>
        <w:tabs>
          <w:tab w:pos="1070" w:val="left" w:leader="none"/>
        </w:tabs>
        <w:spacing w:line="319" w:lineRule="auto" w:before="25" w:after="0"/>
        <w:ind w:left="117" w:right="212" w:firstLine="440"/>
        <w:jc w:val="both"/>
        <w:rPr>
          <w:sz w:val="22"/>
        </w:rPr>
      </w:pPr>
      <w:r>
        <w:rPr>
          <w:color w:val="231F20"/>
          <w:spacing w:val="1"/>
          <w:sz w:val="22"/>
        </w:rPr>
        <w:t>承包人按照第 </w:t>
      </w:r>
      <w:r>
        <w:rPr>
          <w:color w:val="231F20"/>
          <w:sz w:val="22"/>
        </w:rPr>
        <w:t>8.4 款 [ 项目进度计划 ] 约定向工程师提交工程质量保证体系及措施文件，建立完善的质量检查制度，并提交相应的工程质量文件。对于发包人和工程师违反法律规定和合同约定的错误指示，承包人有权拒绝实施。</w:t>
      </w:r>
    </w:p>
    <w:p>
      <w:pPr>
        <w:pStyle w:val="ListParagraph"/>
        <w:numPr>
          <w:ilvl w:val="2"/>
          <w:numId w:val="45"/>
        </w:numPr>
        <w:tabs>
          <w:tab w:pos="1049" w:val="left" w:leader="none"/>
        </w:tabs>
        <w:spacing w:line="319" w:lineRule="auto" w:before="25" w:after="0"/>
        <w:ind w:left="117" w:right="215" w:firstLine="440"/>
        <w:jc w:val="both"/>
        <w:rPr>
          <w:sz w:val="22"/>
        </w:rPr>
      </w:pPr>
      <w:r>
        <w:rPr>
          <w:color w:val="231F20"/>
          <w:sz w:val="22"/>
        </w:rPr>
        <w:t>承包人应对其人员进行质量教育和技术培训，定期考核人员的劳动技能，严格执行相关规范和操作规程。</w:t>
      </w:r>
    </w:p>
    <w:p>
      <w:pPr>
        <w:pStyle w:val="ListParagraph"/>
        <w:numPr>
          <w:ilvl w:val="2"/>
          <w:numId w:val="45"/>
        </w:numPr>
        <w:tabs>
          <w:tab w:pos="1072" w:val="left" w:leader="none"/>
        </w:tabs>
        <w:spacing w:line="319" w:lineRule="auto" w:before="25" w:after="0"/>
        <w:ind w:left="117" w:right="209" w:firstLine="440"/>
        <w:jc w:val="both"/>
        <w:rPr>
          <w:sz w:val="22"/>
        </w:rPr>
      </w:pPr>
      <w:r>
        <w:rPr>
          <w:color w:val="231F20"/>
          <w:spacing w:val="1"/>
          <w:sz w:val="22"/>
        </w:rPr>
        <w:t>承包人应按照法律规定和合同约定，对设计、材料、工程设备以及全部工程内容及</w:t>
      </w:r>
      <w:r>
        <w:rPr>
          <w:color w:val="231F20"/>
          <w:sz w:val="22"/>
        </w:rPr>
        <w:t>其施工工艺进行全过程的质量检查和检验，并作详细记录，编制工程质量报表，报送工程师审查。此外，承包人还应按照法律规定和合同约定，进行施工现场取样试验、工程复核测量和设备性能检测，提供试验样品、提交试验报告和测量成果以及其他工作。</w:t>
      </w:r>
    </w:p>
    <w:p>
      <w:pPr>
        <w:pStyle w:val="BodyText"/>
        <w:tabs>
          <w:tab w:pos="1009" w:val="left" w:leader="none"/>
        </w:tabs>
        <w:spacing w:before="19"/>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5</w:t>
      </w:r>
      <w:r>
        <w:rPr>
          <w:rFonts w:ascii="方正黑体_GBK" w:eastAsia="方正黑体_GBK" w:hint="eastAsia"/>
          <w:color w:val="231F20"/>
          <w:spacing w:val="-7"/>
        </w:rPr>
        <w:t> </w:t>
      </w:r>
      <w:r>
        <w:rPr>
          <w:rFonts w:ascii="方正黑体_GBK" w:eastAsia="方正黑体_GBK" w:hint="eastAsia"/>
          <w:color w:val="231F20"/>
        </w:rPr>
        <w:t>条</w:t>
        <w:tab/>
        <w:t>设计</w:t>
      </w:r>
    </w:p>
    <w:p>
      <w:pPr>
        <w:pStyle w:val="ListParagraph"/>
        <w:numPr>
          <w:ilvl w:val="1"/>
          <w:numId w:val="46"/>
        </w:numPr>
        <w:tabs>
          <w:tab w:pos="924" w:val="left" w:leader="none"/>
        </w:tabs>
        <w:spacing w:line="240" w:lineRule="auto" w:before="115" w:after="0"/>
        <w:ind w:left="923" w:right="0" w:hanging="366"/>
        <w:jc w:val="left"/>
        <w:rPr>
          <w:rFonts w:ascii="方正黑体_GBK" w:eastAsia="方正黑体_GBK" w:hint="eastAsia"/>
          <w:sz w:val="22"/>
        </w:rPr>
      </w:pPr>
      <w:r>
        <w:rPr>
          <w:rFonts w:ascii="方正黑体_GBK" w:eastAsia="方正黑体_GBK" w:hint="eastAsia"/>
          <w:color w:val="231F20"/>
          <w:sz w:val="22"/>
        </w:rPr>
        <w:t>承包人的设计义务</w:t>
      </w:r>
    </w:p>
    <w:p>
      <w:pPr>
        <w:pStyle w:val="ListParagraph"/>
        <w:numPr>
          <w:ilvl w:val="2"/>
          <w:numId w:val="46"/>
        </w:numPr>
        <w:tabs>
          <w:tab w:pos="1048" w:val="left" w:leader="none"/>
        </w:tabs>
        <w:spacing w:line="240" w:lineRule="auto" w:before="121" w:after="0"/>
        <w:ind w:left="1047" w:right="0" w:hanging="490"/>
        <w:jc w:val="left"/>
        <w:rPr>
          <w:sz w:val="22"/>
        </w:rPr>
      </w:pPr>
      <w:r>
        <w:rPr>
          <w:color w:val="231F20"/>
          <w:sz w:val="22"/>
        </w:rPr>
        <w:t>设计义务的一般要求</w:t>
      </w:r>
    </w:p>
    <w:p>
      <w:pPr>
        <w:pStyle w:val="BodyText"/>
        <w:spacing w:line="319" w:lineRule="auto"/>
        <w:ind w:right="212" w:firstLine="440"/>
        <w:jc w:val="both"/>
      </w:pPr>
      <w:r>
        <w:rPr>
          <w:color w:val="231F20"/>
        </w:rPr>
        <w:t>承包人应当按照法律规定，国家、行业和地方的规范和标准，以及《发包人要求》和合同约定完成设计工作和设计相关的其他服务，并对工程的设计负责。承包人应根据工程实施的需要及时向发包人和工程师说明设计文件的意图，解释设计文件。</w:t>
      </w:r>
    </w:p>
    <w:p>
      <w:pPr>
        <w:pStyle w:val="ListParagraph"/>
        <w:numPr>
          <w:ilvl w:val="2"/>
          <w:numId w:val="46"/>
        </w:numPr>
        <w:tabs>
          <w:tab w:pos="1048" w:val="left" w:leader="none"/>
        </w:tabs>
        <w:spacing w:line="240" w:lineRule="auto" w:before="26" w:after="0"/>
        <w:ind w:left="1047" w:right="0" w:hanging="490"/>
        <w:jc w:val="left"/>
        <w:rPr>
          <w:sz w:val="22"/>
        </w:rPr>
      </w:pPr>
      <w:r>
        <w:rPr>
          <w:color w:val="231F20"/>
          <w:sz w:val="22"/>
        </w:rPr>
        <w:t>对设计人员的要求</w:t>
      </w:r>
    </w:p>
    <w:p>
      <w:pPr>
        <w:pStyle w:val="BodyText"/>
        <w:spacing w:line="319" w:lineRule="auto"/>
        <w:ind w:right="214" w:firstLine="440"/>
        <w:jc w:val="both"/>
      </w:pPr>
      <w:r>
        <w:rPr>
          <w:color w:val="231F20"/>
        </w:rPr>
        <w:t>承包人应保证其或其设计分包人的设计资质在合同有效期内满足法律法规、行业标准或合同约定的相关要求，并指派符合法律法规、行业标准或合同约定的资质要求并具有从事设计所必需的经验与能力的的设计人员完成设计工作。承包人应保证其设计人员（包括分包人的设计人员）在合同期限内，都能按时参加发包人或工程师组织的工作会议。</w:t>
      </w:r>
    </w:p>
    <w:p>
      <w:pPr>
        <w:pStyle w:val="ListParagraph"/>
        <w:numPr>
          <w:ilvl w:val="2"/>
          <w:numId w:val="46"/>
        </w:numPr>
        <w:tabs>
          <w:tab w:pos="1048" w:val="left" w:leader="none"/>
        </w:tabs>
        <w:spacing w:line="240" w:lineRule="auto" w:before="26" w:after="0"/>
        <w:ind w:left="1047" w:right="0" w:hanging="490"/>
        <w:jc w:val="left"/>
        <w:rPr>
          <w:sz w:val="22"/>
        </w:rPr>
      </w:pPr>
      <w:r>
        <w:rPr>
          <w:color w:val="231F20"/>
          <w:sz w:val="22"/>
        </w:rPr>
        <w:t>法律和标准的变化</w:t>
      </w:r>
    </w:p>
    <w:p>
      <w:pPr>
        <w:pStyle w:val="BodyText"/>
        <w:spacing w:line="319" w:lineRule="auto"/>
        <w:ind w:right="210" w:firstLine="440"/>
        <w:jc w:val="both"/>
      </w:pPr>
      <w:r>
        <w:rPr>
          <w:color w:val="231F20"/>
        </w:rPr>
        <w:t>除合同另有约定外，承包人完成设计工作所应遵守的法律规定，以及国家、行业和地方的规范和标准，均应视为在基准日期适用的版本。基准日期之后，前述版本发生重大变化，或者有新的法律，以及国家、行业和地方的规范和标准实施的，承包人应向工程师提出遵守新规定的建议。发包人或其委托的工程师应在收到建议后 7 天内发出是否遵守新规定的指示。如果该</w:t>
      </w:r>
    </w:p>
    <w:p>
      <w:pPr>
        <w:spacing w:after="0" w:line="319" w:lineRule="auto"/>
        <w:jc w:val="both"/>
        <w:sectPr>
          <w:pgSz w:w="11910" w:h="16840"/>
          <w:pgMar w:header="0" w:footer="832" w:top="1580" w:bottom="1020" w:left="1300" w:right="1200"/>
        </w:sectPr>
      </w:pPr>
    </w:p>
    <w:p>
      <w:pPr>
        <w:pStyle w:val="BodyText"/>
        <w:spacing w:before="24"/>
      </w:pPr>
      <w:r>
        <w:rPr>
          <w:color w:val="231F20"/>
        </w:rPr>
        <w:t>项建议构成变更的，按照第 13.2 款 [ 承包人的合理化建议 ] 的约定执行。</w:t>
      </w:r>
    </w:p>
    <w:p>
      <w:pPr>
        <w:pStyle w:val="BodyText"/>
        <w:spacing w:line="319" w:lineRule="auto"/>
        <w:ind w:right="110" w:firstLine="440"/>
        <w:jc w:val="both"/>
      </w:pPr>
      <w:r>
        <w:rPr>
          <w:color w:val="231F20"/>
        </w:rPr>
        <w:t>在基准日期之后，因国家颁布新的强制性规范、标准导致承包人的费用变化的，发包人应合理调整合同价格；导致工期延误的，发包人应合理延长工期。</w:t>
      </w:r>
    </w:p>
    <w:p>
      <w:pPr>
        <w:pStyle w:val="ListParagraph"/>
        <w:numPr>
          <w:ilvl w:val="1"/>
          <w:numId w:val="47"/>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承包人文件审查</w:t>
      </w:r>
    </w:p>
    <w:p>
      <w:pPr>
        <w:pStyle w:val="ListParagraph"/>
        <w:numPr>
          <w:ilvl w:val="2"/>
          <w:numId w:val="47"/>
        </w:numPr>
        <w:tabs>
          <w:tab w:pos="1049" w:val="left" w:leader="none"/>
        </w:tabs>
        <w:spacing w:line="319" w:lineRule="auto" w:before="121" w:after="0"/>
        <w:ind w:left="117" w:right="115" w:firstLine="440"/>
        <w:jc w:val="both"/>
        <w:rPr>
          <w:sz w:val="22"/>
        </w:rPr>
      </w:pPr>
      <w:r>
        <w:rPr>
          <w:color w:val="231F20"/>
          <w:sz w:val="22"/>
        </w:rPr>
        <w:t>根据《发包人要求》应当通过工程师报发包人审查同意的承包人文件，承包人应当按照《发包人要求》约定的范围和内容及时报送审查。</w:t>
      </w:r>
    </w:p>
    <w:p>
      <w:pPr>
        <w:pStyle w:val="BodyText"/>
        <w:spacing w:line="319" w:lineRule="auto" w:before="25"/>
        <w:ind w:right="109" w:firstLine="440"/>
        <w:jc w:val="both"/>
      </w:pPr>
      <w:r>
        <w:rPr>
          <w:color w:val="231F20"/>
        </w:rPr>
        <w:t>除专用合同条件另有约定外，自工程师收到承包人文件以及承包人的通知之日起，发包人对承包人文件审查期不超过 21 天。承包人的设计文件对于合同约定有偏离的，应在通知中说明。承包人需要修改已提交的承包人文件的，应立即通知工程师，并向工程师提交修改后的承包人文件，审查期重新起算。</w:t>
      </w:r>
    </w:p>
    <w:p>
      <w:pPr>
        <w:pStyle w:val="BodyText"/>
        <w:spacing w:line="319" w:lineRule="auto" w:before="25"/>
        <w:ind w:right="110" w:firstLine="440"/>
        <w:jc w:val="both"/>
      </w:pPr>
      <w:r>
        <w:rPr>
          <w:color w:val="231F20"/>
        </w:rPr>
        <w:t>发包人同意承包人文件的，应及时通知承包人，发包人不同意承包人文件的，应在审查期限内通过工程师以书面形式通知承包人，并说明不同意的具体内容和理由。</w:t>
      </w:r>
    </w:p>
    <w:p>
      <w:pPr>
        <w:pStyle w:val="BodyText"/>
        <w:spacing w:before="25"/>
        <w:ind w:left="557"/>
      </w:pPr>
      <w:r>
        <w:rPr>
          <w:color w:val="231F20"/>
        </w:rPr>
        <w:t>承包人对发包人的意见按以下方式处理：</w:t>
      </w:r>
    </w:p>
    <w:p>
      <w:pPr>
        <w:pStyle w:val="BodyText"/>
        <w:spacing w:line="319" w:lineRule="auto"/>
        <w:ind w:right="115" w:firstLine="330"/>
        <w:jc w:val="both"/>
      </w:pPr>
      <w:r>
        <w:rPr>
          <w:color w:val="231F20"/>
        </w:rPr>
        <w:t>（ 1）发包人的意见构成变更的，承包人应在 7 天内通知发包人按照第 13 条 [ 变更与调整 ] 中关于发包人指示变更的约定执行，双方对是否构成变更无法达成一致的，按照第 20 条[ 争议解决 ] 的约定执行；</w:t>
      </w:r>
    </w:p>
    <w:p>
      <w:pPr>
        <w:pStyle w:val="BodyText"/>
        <w:spacing w:line="319" w:lineRule="auto" w:before="26"/>
        <w:ind w:right="114" w:firstLine="330"/>
        <w:jc w:val="both"/>
      </w:pPr>
      <w:r>
        <w:rPr>
          <w:color w:val="231F20"/>
        </w:rPr>
        <w:t>（ 2）因承包人原因导致无法通过审查的，承包人应根据发包人的书面说明，对承包人文件进行修改后重新报送发包人审查，审查期重新起算。因此引起的工期延长和必要的工程费用增加，由承包人负责。</w:t>
      </w:r>
    </w:p>
    <w:p>
      <w:pPr>
        <w:pStyle w:val="BodyText"/>
        <w:spacing w:line="319" w:lineRule="auto" w:before="26"/>
        <w:ind w:right="117" w:firstLine="440"/>
        <w:jc w:val="both"/>
      </w:pPr>
      <w:r>
        <w:rPr>
          <w:color w:val="231F20"/>
        </w:rPr>
        <w:t>合同约定的审查期满，发包人没有做出审查结论也没有提出异议的，视为承包人文件已获发包人同意。</w:t>
      </w:r>
    </w:p>
    <w:p>
      <w:pPr>
        <w:pStyle w:val="BodyText"/>
        <w:spacing w:line="319" w:lineRule="auto" w:before="26"/>
        <w:ind w:right="116" w:firstLine="440"/>
        <w:jc w:val="both"/>
      </w:pPr>
      <w:r>
        <w:rPr>
          <w:color w:val="231F20"/>
        </w:rPr>
        <w:t>发包人对承包人文件的审查和同意不得被理解为对合同的修改或改变，也并不减轻或免除承包人任何的责任和义务。</w:t>
      </w:r>
    </w:p>
    <w:p>
      <w:pPr>
        <w:pStyle w:val="ListParagraph"/>
        <w:numPr>
          <w:ilvl w:val="2"/>
          <w:numId w:val="47"/>
        </w:numPr>
        <w:tabs>
          <w:tab w:pos="1071" w:val="left" w:leader="none"/>
        </w:tabs>
        <w:spacing w:line="319" w:lineRule="auto" w:before="26" w:after="0"/>
        <w:ind w:left="117" w:right="107" w:firstLine="440"/>
        <w:jc w:val="both"/>
        <w:rPr>
          <w:sz w:val="22"/>
        </w:rPr>
      </w:pPr>
      <w:r>
        <w:rPr>
          <w:color w:val="231F20"/>
          <w:spacing w:val="5"/>
          <w:sz w:val="22"/>
        </w:rPr>
        <w:t>承包人文件不需要政府有关部门或专用合同条件约定的第三方审查单位审查或批准</w:t>
      </w:r>
      <w:r>
        <w:rPr>
          <w:color w:val="231F20"/>
          <w:sz w:val="22"/>
        </w:rPr>
        <w:t>的，承包人应当严格按照经发包人审查同意的承包人文件设计和实施工程。</w:t>
      </w:r>
    </w:p>
    <w:p>
      <w:pPr>
        <w:pStyle w:val="BodyText"/>
        <w:spacing w:line="319" w:lineRule="auto" w:before="26"/>
        <w:ind w:right="110" w:firstLine="440"/>
        <w:jc w:val="both"/>
      </w:pPr>
      <w:r>
        <w:rPr>
          <w:color w:val="231F20"/>
        </w:rPr>
        <w:t>发包人需要组织审查会议对承包人文件进行审查的，审查会议的审查形式、时间安排、费用承担，在专用合同条件中约定。发包人负责组织承包人文件审查会议，承包人有义务参加发包人组织的审查会议，向审查者介绍、解答、解释承包人文件，并提供有关补充资料。</w:t>
      </w:r>
    </w:p>
    <w:p>
      <w:pPr>
        <w:pStyle w:val="BodyText"/>
        <w:spacing w:line="319" w:lineRule="auto" w:before="26"/>
        <w:ind w:right="116" w:firstLine="440"/>
        <w:jc w:val="both"/>
      </w:pPr>
      <w:r>
        <w:rPr>
          <w:color w:val="231F20"/>
        </w:rPr>
        <w:t>发包人有义务向承包人提供审查会议的批准文件和纪要。承包人有义务按照相关审查会议批准的文件和纪要，并依据合同约定及相关技术标准，对承包人文件进行修改、补充和完善。</w:t>
      </w:r>
    </w:p>
    <w:p>
      <w:pPr>
        <w:pStyle w:val="ListParagraph"/>
        <w:numPr>
          <w:ilvl w:val="2"/>
          <w:numId w:val="47"/>
        </w:numPr>
        <w:tabs>
          <w:tab w:pos="1049" w:val="left" w:leader="none"/>
        </w:tabs>
        <w:spacing w:line="240" w:lineRule="auto" w:before="26" w:after="0"/>
        <w:ind w:left="117" w:right="0" w:firstLine="440"/>
        <w:jc w:val="left"/>
        <w:rPr>
          <w:sz w:val="22"/>
        </w:rPr>
      </w:pPr>
      <w:r>
        <w:rPr>
          <w:color w:val="231F20"/>
          <w:sz w:val="22"/>
        </w:rPr>
        <w:t>承包人文件需政府有关部门或专用合同条件约定的第三方审查单位审查或批准的，发</w:t>
      </w:r>
    </w:p>
    <w:p>
      <w:pPr>
        <w:spacing w:after="0" w:line="240" w:lineRule="auto"/>
        <w:jc w:val="left"/>
        <w:rPr>
          <w:sz w:val="22"/>
        </w:rPr>
        <w:sectPr>
          <w:footerReference w:type="even" r:id="rId17"/>
          <w:footerReference w:type="default" r:id="rId18"/>
          <w:pgSz w:w="11910" w:h="16840"/>
          <w:pgMar w:footer="832" w:header="0" w:top="1580" w:bottom="1020" w:left="1300" w:right="1300"/>
          <w:pgNumType w:start="32"/>
        </w:sectPr>
      </w:pPr>
    </w:p>
    <w:p>
      <w:pPr>
        <w:pStyle w:val="BodyText"/>
        <w:spacing w:line="319" w:lineRule="auto" w:before="24"/>
        <w:ind w:right="215"/>
      </w:pPr>
      <w:r>
        <w:rPr>
          <w:color w:val="231F20"/>
        </w:rPr>
        <w:t>包人应在发包人审查同意承包人文件后 7 天内，向政府有关部门或第三方报送承包人文件，承包人应予以协助。</w:t>
      </w:r>
    </w:p>
    <w:p>
      <w:pPr>
        <w:pStyle w:val="BodyText"/>
        <w:spacing w:line="319" w:lineRule="auto" w:before="26"/>
        <w:ind w:right="210" w:firstLine="440"/>
        <w:jc w:val="both"/>
      </w:pPr>
      <w:r>
        <w:rPr>
          <w:color w:val="231F20"/>
        </w:rPr>
        <w:t>对于政府有关部门或第三方审查单位的审查意见，不需要修改《发包人要求》的，承包人</w:t>
      </w:r>
      <w:r>
        <w:rPr>
          <w:color w:val="231F20"/>
          <w:spacing w:val="-9"/>
        </w:rPr>
        <w:t>需按该审查意见修改承包人的设计文件；需要修改《发包人要求》的，承包人应按第 </w:t>
      </w:r>
      <w:r>
        <w:rPr>
          <w:color w:val="231F20"/>
        </w:rPr>
        <w:t>13.2</w:t>
      </w:r>
      <w:r>
        <w:rPr>
          <w:color w:val="231F20"/>
          <w:spacing w:val="7"/>
        </w:rPr>
        <w:t> 款[ 承</w:t>
      </w:r>
      <w:r>
        <w:rPr>
          <w:color w:val="231F20"/>
          <w:spacing w:val="0"/>
        </w:rPr>
        <w:t>包人的合理化建议] 的约定执行。上述情形还应适用第</w:t>
      </w:r>
      <w:r>
        <w:rPr>
          <w:color w:val="231F20"/>
        </w:rPr>
        <w:t>5.1 款[ 承包人的设计义务] 和第13</w:t>
      </w:r>
      <w:r>
        <w:rPr>
          <w:color w:val="231F20"/>
          <w:spacing w:val="-3"/>
        </w:rPr>
        <w:t> 条[ 变更与调整 ] 的有关约定。</w:t>
      </w:r>
    </w:p>
    <w:p>
      <w:pPr>
        <w:pStyle w:val="BodyText"/>
        <w:spacing w:line="319" w:lineRule="auto" w:before="26"/>
        <w:ind w:right="210" w:firstLine="440"/>
        <w:jc w:val="both"/>
      </w:pPr>
      <w:r>
        <w:rPr>
          <w:color w:val="231F20"/>
        </w:rPr>
        <w:t>政府有关部门或第三方审查单位审查批准后，承包人应当严格按照批准后的承包人文件实施工程。政府有关部门或第三方审查单位批准时间较合同约定时间延长的，竣工日期相应顺延。因此给双方带来的费用增加，由双方在负责的范围内各自承担。</w:t>
      </w:r>
    </w:p>
    <w:p>
      <w:pPr>
        <w:pStyle w:val="ListParagraph"/>
        <w:numPr>
          <w:ilvl w:val="1"/>
          <w:numId w:val="48"/>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培训</w:t>
      </w:r>
    </w:p>
    <w:p>
      <w:pPr>
        <w:pStyle w:val="BodyText"/>
        <w:spacing w:line="319" w:lineRule="auto" w:before="121"/>
        <w:ind w:right="33" w:firstLine="440"/>
      </w:pPr>
      <w:r>
        <w:rPr>
          <w:color w:val="231F20"/>
        </w:rPr>
        <w:t>承包人应按照《发包人要求》，对发包人的雇员或其它发包人指定的人员进行工程操作、维修或其它合同中约定的培训。合同约定接收之前进行培训的，应在第 10.1 款 [ 竣工验收 ] 约定的竣工验收前或试运行结束前完成培训。</w:t>
      </w:r>
    </w:p>
    <w:p>
      <w:pPr>
        <w:pStyle w:val="BodyText"/>
        <w:spacing w:line="319" w:lineRule="auto" w:before="25"/>
        <w:ind w:right="215" w:firstLine="440"/>
      </w:pPr>
      <w:r>
        <w:rPr>
          <w:color w:val="231F20"/>
        </w:rPr>
        <w:t>培训的时长应由双方在专用合同条件中约定，承包人应为培训提供有经验的人员、设施和其它必要条件。</w:t>
      </w:r>
    </w:p>
    <w:p>
      <w:pPr>
        <w:pStyle w:val="ListParagraph"/>
        <w:numPr>
          <w:ilvl w:val="1"/>
          <w:numId w:val="48"/>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竣工文件</w:t>
      </w:r>
    </w:p>
    <w:p>
      <w:pPr>
        <w:pStyle w:val="ListParagraph"/>
        <w:numPr>
          <w:ilvl w:val="2"/>
          <w:numId w:val="48"/>
        </w:numPr>
        <w:tabs>
          <w:tab w:pos="1049" w:val="left" w:leader="none"/>
        </w:tabs>
        <w:spacing w:line="319" w:lineRule="auto" w:before="122" w:after="0"/>
        <w:ind w:left="117" w:right="215" w:firstLine="440"/>
        <w:jc w:val="both"/>
        <w:rPr>
          <w:sz w:val="22"/>
        </w:rPr>
      </w:pPr>
      <w:r>
        <w:rPr>
          <w:color w:val="231F20"/>
          <w:sz w:val="22"/>
        </w:rPr>
        <w:t>承包人应编制并及时更新反映工程实施结果的竣工记录，如实记载竣工工程的确切位置、尺寸和已实施工作的详细说明。竣工文件的形式、技术标准以及其它相关内容应按照相关法律法规、行业标准与《发包人要求》执行。竣工记录应保存在施工现场，并在竣工试验开始前，按照专用合同条件约定的份数提交给工程师。</w:t>
      </w:r>
    </w:p>
    <w:p>
      <w:pPr>
        <w:pStyle w:val="ListParagraph"/>
        <w:numPr>
          <w:ilvl w:val="2"/>
          <w:numId w:val="48"/>
        </w:numPr>
        <w:tabs>
          <w:tab w:pos="1049" w:val="left" w:leader="none"/>
        </w:tabs>
        <w:spacing w:line="319" w:lineRule="auto" w:before="26" w:after="0"/>
        <w:ind w:left="117" w:right="215" w:firstLine="440"/>
        <w:jc w:val="both"/>
        <w:rPr>
          <w:sz w:val="22"/>
        </w:rPr>
      </w:pPr>
      <w:r>
        <w:rPr>
          <w:color w:val="231F20"/>
          <w:sz w:val="22"/>
        </w:rPr>
        <w:t>在颁发工程接收证书之前，承包人应按照《发包人要求》的份数和形式向工程师提交相应竣工图纸，并取得工程师对尺寸、参照系统及其他有关细节的认可。工程师应按照第 5.2 款 [ 承包人文件审查 ] 的约定进行审查。</w:t>
      </w:r>
    </w:p>
    <w:p>
      <w:pPr>
        <w:pStyle w:val="ListParagraph"/>
        <w:numPr>
          <w:ilvl w:val="2"/>
          <w:numId w:val="48"/>
        </w:numPr>
        <w:tabs>
          <w:tab w:pos="1049" w:val="left" w:leader="none"/>
        </w:tabs>
        <w:spacing w:line="240" w:lineRule="auto" w:before="26" w:after="0"/>
        <w:ind w:left="117" w:right="0" w:firstLine="440"/>
        <w:jc w:val="left"/>
        <w:rPr>
          <w:sz w:val="22"/>
        </w:rPr>
      </w:pPr>
      <w:r>
        <w:rPr>
          <w:color w:val="231F20"/>
          <w:sz w:val="22"/>
        </w:rPr>
        <w:t>除专用合同条件另有约定外，在工程师收到本款下的文件前，不应认为工程已根据第</w:t>
      </w:r>
    </w:p>
    <w:p>
      <w:pPr>
        <w:pStyle w:val="BodyText"/>
      </w:pPr>
      <w:r>
        <w:rPr>
          <w:color w:val="231F20"/>
        </w:rPr>
        <w:t>10.1 款 [ 竣工验收 ] 和第 10.2 款 [ 单位 / 区段工程的验收 ] 的约定完成验收。</w:t>
      </w:r>
    </w:p>
    <w:p>
      <w:pPr>
        <w:pStyle w:val="ListParagraph"/>
        <w:numPr>
          <w:ilvl w:val="1"/>
          <w:numId w:val="49"/>
        </w:numPr>
        <w:tabs>
          <w:tab w:pos="924" w:val="left" w:leader="none"/>
        </w:tabs>
        <w:spacing w:line="240" w:lineRule="auto" w:before="102" w:after="0"/>
        <w:ind w:left="923" w:right="0" w:hanging="366"/>
        <w:jc w:val="left"/>
        <w:rPr>
          <w:rFonts w:ascii="方正黑体_GBK" w:eastAsia="方正黑体_GBK" w:hint="eastAsia"/>
          <w:sz w:val="22"/>
        </w:rPr>
      </w:pPr>
      <w:r>
        <w:rPr>
          <w:rFonts w:ascii="方正黑体_GBK" w:eastAsia="方正黑体_GBK" w:hint="eastAsia"/>
          <w:color w:val="231F20"/>
          <w:sz w:val="22"/>
        </w:rPr>
        <w:t>操作和维修手册</w:t>
      </w:r>
    </w:p>
    <w:p>
      <w:pPr>
        <w:pStyle w:val="ListParagraph"/>
        <w:numPr>
          <w:ilvl w:val="2"/>
          <w:numId w:val="49"/>
        </w:numPr>
        <w:tabs>
          <w:tab w:pos="1068" w:val="left" w:leader="none"/>
        </w:tabs>
        <w:spacing w:line="319" w:lineRule="auto" w:before="121" w:after="0"/>
        <w:ind w:left="117" w:right="106" w:firstLine="440"/>
        <w:jc w:val="left"/>
        <w:rPr>
          <w:sz w:val="22"/>
        </w:rPr>
      </w:pPr>
      <w:r>
        <w:rPr>
          <w:color w:val="231F20"/>
          <w:sz w:val="22"/>
        </w:rPr>
        <w:t>在竣工试验开始前，承包人应向工程师提交暂行的操作和维修手册并负责及时更新， 该手册应足够详细，以便发包人能够对工程设备进行操作、维修、拆卸、重新安装、调整及修</w:t>
      </w:r>
      <w:r>
        <w:rPr>
          <w:color w:val="231F20"/>
          <w:spacing w:val="-7"/>
          <w:sz w:val="22"/>
        </w:rPr>
        <w:t>理，以及实现《发包人要求》。同时，手册还应包含发包人未来可能需要的备品备件清单。</w:t>
      </w:r>
    </w:p>
    <w:p>
      <w:pPr>
        <w:pStyle w:val="ListParagraph"/>
        <w:numPr>
          <w:ilvl w:val="2"/>
          <w:numId w:val="49"/>
        </w:numPr>
        <w:tabs>
          <w:tab w:pos="1070" w:val="left" w:leader="none"/>
        </w:tabs>
        <w:spacing w:line="319" w:lineRule="auto" w:before="25" w:after="0"/>
        <w:ind w:left="117" w:right="210" w:firstLine="440"/>
        <w:jc w:val="left"/>
        <w:rPr>
          <w:sz w:val="22"/>
        </w:rPr>
      </w:pPr>
      <w:r>
        <w:rPr>
          <w:color w:val="231F20"/>
          <w:spacing w:val="0"/>
          <w:sz w:val="22"/>
        </w:rPr>
        <w:t>工程师收到承包人提交的文件后，应依据第 </w:t>
      </w:r>
      <w:r>
        <w:rPr>
          <w:color w:val="231F20"/>
          <w:sz w:val="22"/>
        </w:rPr>
        <w:t>5.2 款 [ 承包人文件审查 ] 的约定对操作和维修手册进行审查，竣工试验工程中，承包人应为任何因操作和维修手册错误或遗漏引起的</w:t>
      </w:r>
    </w:p>
    <w:p>
      <w:pPr>
        <w:spacing w:after="0" w:line="319" w:lineRule="auto"/>
        <w:jc w:val="left"/>
        <w:rPr>
          <w:sz w:val="22"/>
        </w:rPr>
        <w:sectPr>
          <w:pgSz w:w="11910" w:h="16840"/>
          <w:pgMar w:header="0" w:footer="832" w:top="1580" w:bottom="1020" w:left="1300" w:right="1200"/>
        </w:sectPr>
      </w:pPr>
    </w:p>
    <w:p>
      <w:pPr>
        <w:pStyle w:val="BodyText"/>
        <w:spacing w:before="24"/>
      </w:pPr>
      <w:r>
        <w:rPr>
          <w:color w:val="231F20"/>
        </w:rPr>
        <w:t>风险或损失承担责任。</w:t>
      </w:r>
    </w:p>
    <w:p>
      <w:pPr>
        <w:pStyle w:val="ListParagraph"/>
        <w:numPr>
          <w:ilvl w:val="2"/>
          <w:numId w:val="49"/>
        </w:numPr>
        <w:tabs>
          <w:tab w:pos="1071" w:val="left" w:leader="none"/>
        </w:tabs>
        <w:spacing w:line="319" w:lineRule="auto" w:before="109" w:after="0"/>
        <w:ind w:left="117" w:right="210" w:firstLine="440"/>
        <w:jc w:val="both"/>
        <w:rPr>
          <w:sz w:val="22"/>
        </w:rPr>
      </w:pPr>
      <w:r>
        <w:rPr>
          <w:color w:val="231F20"/>
          <w:spacing w:val="2"/>
          <w:sz w:val="22"/>
        </w:rPr>
        <w:t>除专用合同条件另有约定外，承包人应提交足够详细的最终操作和维修手册，以及</w:t>
      </w:r>
      <w:r>
        <w:rPr>
          <w:color w:val="231F20"/>
          <w:sz w:val="22"/>
        </w:rPr>
        <w:t>在《发包人要求》中明确的相关操作和维修手册。除专用合同条件另有约定外，在工程师收到上述文件前，不应认为工程已根据第 10.1 款 [ 竣工验收 ] 和第 10.2 款 [ 单位 / 区段工程的验收 ] 的约定完成验收。</w:t>
      </w:r>
    </w:p>
    <w:p>
      <w:pPr>
        <w:pStyle w:val="BodyText"/>
        <w:spacing w:before="19"/>
        <w:ind w:left="557"/>
        <w:rPr>
          <w:rFonts w:ascii="方正黑体_GBK" w:eastAsia="方正黑体_GBK" w:hint="eastAsia"/>
        </w:rPr>
      </w:pPr>
      <w:r>
        <w:rPr>
          <w:rFonts w:ascii="方正黑体_GBK" w:eastAsia="方正黑体_GBK" w:hint="eastAsia"/>
          <w:color w:val="231F20"/>
        </w:rPr>
        <w:t>5.6 承包人文件错误</w:t>
      </w:r>
    </w:p>
    <w:p>
      <w:pPr>
        <w:pStyle w:val="BodyText"/>
        <w:spacing w:line="319" w:lineRule="auto" w:before="121"/>
        <w:ind w:right="92" w:firstLine="440"/>
      </w:pPr>
      <w:r>
        <w:rPr>
          <w:color w:val="231F20"/>
        </w:rPr>
        <w:t>承包人文件存在错误、遗漏、含混、矛盾、不充分之处或其他缺陷，无论承包人是否根据本款获得了同意，承包人均应自费对前述问题带来的缺陷和工程问题进行改正，并按照第 5.2 款 [ 承包人文件审查 ] 的要求，重新送工程师审查，审查日期从工程师收到文件开始重新计算。因此款原因重新提交审查文件导致的工程延误和必要费用增加由承包人承担。《发包人要求》的错误导致承包人文件错误、遗漏、含混、矛盾、不充分或其他缺陷的除外。</w:t>
      </w:r>
    </w:p>
    <w:p>
      <w:pPr>
        <w:pStyle w:val="BodyText"/>
        <w:tabs>
          <w:tab w:pos="1009" w:val="left" w:leader="none"/>
        </w:tabs>
        <w:spacing w:before="19"/>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6</w:t>
      </w:r>
      <w:r>
        <w:rPr>
          <w:rFonts w:ascii="方正黑体_GBK" w:eastAsia="方正黑体_GBK" w:hint="eastAsia"/>
          <w:color w:val="231F20"/>
          <w:spacing w:val="-7"/>
        </w:rPr>
        <w:t> </w:t>
      </w:r>
      <w:r>
        <w:rPr>
          <w:rFonts w:ascii="方正黑体_GBK" w:eastAsia="方正黑体_GBK" w:hint="eastAsia"/>
          <w:color w:val="231F20"/>
        </w:rPr>
        <w:t>条</w:t>
        <w:tab/>
        <w:t>材料、工程设备</w:t>
      </w:r>
    </w:p>
    <w:p>
      <w:pPr>
        <w:pStyle w:val="ListParagraph"/>
        <w:numPr>
          <w:ilvl w:val="1"/>
          <w:numId w:val="50"/>
        </w:numPr>
        <w:tabs>
          <w:tab w:pos="924" w:val="left" w:leader="none"/>
        </w:tabs>
        <w:spacing w:line="240" w:lineRule="auto" w:before="116" w:after="0"/>
        <w:ind w:left="923" w:right="0" w:hanging="366"/>
        <w:jc w:val="left"/>
        <w:rPr>
          <w:rFonts w:ascii="方正黑体_GBK" w:eastAsia="方正黑体_GBK" w:hint="eastAsia"/>
          <w:sz w:val="22"/>
        </w:rPr>
      </w:pPr>
      <w:r>
        <w:rPr>
          <w:rFonts w:ascii="方正黑体_GBK" w:eastAsia="方正黑体_GBK" w:hint="eastAsia"/>
          <w:color w:val="231F20"/>
          <w:sz w:val="22"/>
        </w:rPr>
        <w:t>实施方法</w:t>
      </w:r>
    </w:p>
    <w:p>
      <w:pPr>
        <w:pStyle w:val="BodyText"/>
        <w:spacing w:line="319" w:lineRule="auto" w:before="122"/>
        <w:ind w:right="210" w:firstLine="440"/>
        <w:jc w:val="both"/>
      </w:pPr>
      <w:r>
        <w:rPr>
          <w:color w:val="231F20"/>
        </w:rPr>
        <w:t>承包人应按以下方法进行材料的加工、工程设备的采购、制造和安装、以及工程的所有其他实施作业：</w:t>
      </w:r>
    </w:p>
    <w:p>
      <w:pPr>
        <w:pStyle w:val="BodyText"/>
        <w:spacing w:before="25"/>
        <w:ind w:left="447"/>
      </w:pPr>
      <w:r>
        <w:rPr>
          <w:color w:val="231F20"/>
        </w:rPr>
        <w:t>（ 1）按照法律规定和合同约定的方法；</w:t>
      </w:r>
    </w:p>
    <w:p>
      <w:pPr>
        <w:pStyle w:val="BodyText"/>
        <w:spacing w:before="108"/>
        <w:ind w:left="447"/>
      </w:pPr>
      <w:r>
        <w:rPr>
          <w:color w:val="231F20"/>
        </w:rPr>
        <w:t>（ 2）按照公认的良好行业习惯，使用恰当、审慎、先进的方法；</w:t>
      </w:r>
    </w:p>
    <w:p>
      <w:pPr>
        <w:pStyle w:val="BodyText"/>
        <w:spacing w:before="108"/>
        <w:ind w:left="447"/>
      </w:pPr>
      <w:r>
        <w:rPr>
          <w:color w:val="231F20"/>
        </w:rPr>
        <w:t>（ </w:t>
      </w:r>
      <w:r>
        <w:rPr>
          <w:color w:val="231F20"/>
          <w:spacing w:val="-23"/>
        </w:rPr>
        <w:t>3）</w:t>
      </w:r>
      <w:r>
        <w:rPr>
          <w:color w:val="231F20"/>
          <w:spacing w:val="-9"/>
        </w:rPr>
        <w:t>除专用合同条件另有规定外，应使用适当配备的实施方法、设备、设施和无危险的材料。</w:t>
      </w:r>
    </w:p>
    <w:p>
      <w:pPr>
        <w:pStyle w:val="ListParagraph"/>
        <w:numPr>
          <w:ilvl w:val="1"/>
          <w:numId w:val="50"/>
        </w:numPr>
        <w:tabs>
          <w:tab w:pos="924" w:val="left" w:leader="none"/>
        </w:tabs>
        <w:spacing w:line="240" w:lineRule="auto" w:before="102" w:after="0"/>
        <w:ind w:left="923" w:right="0" w:hanging="366"/>
        <w:jc w:val="left"/>
        <w:rPr>
          <w:rFonts w:ascii="方正黑体_GBK" w:eastAsia="方正黑体_GBK" w:hint="eastAsia"/>
          <w:sz w:val="22"/>
        </w:rPr>
      </w:pPr>
      <w:r>
        <w:rPr>
          <w:rFonts w:ascii="方正黑体_GBK" w:eastAsia="方正黑体_GBK" w:hint="eastAsia"/>
          <w:color w:val="231F20"/>
          <w:sz w:val="22"/>
        </w:rPr>
        <w:t>材料和工程设备</w:t>
      </w:r>
    </w:p>
    <w:p>
      <w:pPr>
        <w:pStyle w:val="ListParagraph"/>
        <w:numPr>
          <w:ilvl w:val="2"/>
          <w:numId w:val="50"/>
        </w:numPr>
        <w:tabs>
          <w:tab w:pos="1048" w:val="left" w:leader="none"/>
        </w:tabs>
        <w:spacing w:line="240" w:lineRule="auto" w:before="121" w:after="0"/>
        <w:ind w:left="1047" w:right="0" w:hanging="490"/>
        <w:jc w:val="left"/>
        <w:rPr>
          <w:sz w:val="22"/>
        </w:rPr>
      </w:pPr>
      <w:r>
        <w:rPr>
          <w:color w:val="231F20"/>
          <w:sz w:val="22"/>
        </w:rPr>
        <w:t>发包人提供的材料和工程设备</w:t>
      </w:r>
    </w:p>
    <w:p>
      <w:pPr>
        <w:pStyle w:val="BodyText"/>
        <w:spacing w:line="319" w:lineRule="auto" w:before="108"/>
        <w:ind w:right="210" w:firstLine="440"/>
        <w:jc w:val="both"/>
      </w:pPr>
      <w:r>
        <w:rPr>
          <w:color w:val="231F20"/>
        </w:rPr>
        <w:t>发包人自行供应材料、工程设备的，应在订立合同时在专用合同条件的附件《发包人供应材料设备一览表》中明确材料、工程设备的品种、规格、型号、主要参数、数量、单价、质量等级和交接地点等。</w:t>
      </w:r>
    </w:p>
    <w:p>
      <w:pPr>
        <w:pStyle w:val="BodyText"/>
        <w:spacing w:line="319" w:lineRule="auto" w:before="25"/>
        <w:ind w:right="209" w:firstLine="440"/>
        <w:jc w:val="both"/>
      </w:pPr>
      <w:r>
        <w:rPr>
          <w:color w:val="231F20"/>
        </w:rPr>
        <w:t>承包人应根据项目进度计划的安排，提前 28 天以书面形式通知工程师供应材料与工程设备的进场计划。承包人按照第 8.4 款 [ 项目进度计划 ] 约定修订项目进度计划时，需同时提交经修订后的发包人供应材料与工程设备的进场计划。发包人应按照上述进场计划，向承包人提交材料和工程设备。</w:t>
      </w:r>
    </w:p>
    <w:p>
      <w:pPr>
        <w:pStyle w:val="BodyText"/>
        <w:spacing w:line="319" w:lineRule="auto" w:before="25"/>
        <w:ind w:right="205" w:firstLine="440"/>
        <w:jc w:val="both"/>
      </w:pPr>
      <w:r>
        <w:rPr>
          <w:color w:val="231F20"/>
        </w:rPr>
        <w:t>发包人应在材料和工程设备到货 7 天前通知承包人，承包人应会同工程师在约定的时间内，赴交货地点共同进行验收。除专用合同条件另有约定外，发包人提供的材料和工程设备验收后，由承包人负责接收、运输和保管。</w:t>
      </w:r>
    </w:p>
    <w:p>
      <w:pPr>
        <w:pStyle w:val="BodyText"/>
        <w:spacing w:before="25"/>
        <w:ind w:left="557"/>
      </w:pPr>
      <w:r>
        <w:rPr>
          <w:color w:val="231F20"/>
        </w:rPr>
        <w:t>发包人需要对进场计划进行变更的，承包人不得拒绝，应根据第 13 条 [ 变更与调整 ] 的规</w:t>
      </w:r>
    </w:p>
    <w:p>
      <w:pPr>
        <w:spacing w:after="0"/>
        <w:sectPr>
          <w:pgSz w:w="11910" w:h="16840"/>
          <w:pgMar w:header="0" w:footer="832" w:top="1580" w:bottom="1020" w:left="1300" w:right="1200"/>
        </w:sectPr>
      </w:pPr>
    </w:p>
    <w:p>
      <w:pPr>
        <w:pStyle w:val="BodyText"/>
        <w:spacing w:line="319" w:lineRule="auto" w:before="24"/>
        <w:ind w:right="215"/>
      </w:pPr>
      <w:r>
        <w:rPr>
          <w:color w:val="231F20"/>
        </w:rPr>
        <w:t>定执行，并由发包人承担承包人由此增加的费用，以及引起的工期延误。承包人需要对进场计划进行变更的，应事先报请工程师批准，由此增加的费用和（或）工期延误由承包人承担。</w:t>
      </w:r>
    </w:p>
    <w:p>
      <w:pPr>
        <w:pStyle w:val="BodyText"/>
        <w:spacing w:line="319" w:lineRule="auto" w:before="26"/>
        <w:ind w:right="215" w:firstLine="440"/>
      </w:pPr>
      <w:r>
        <w:rPr>
          <w:color w:val="231F20"/>
        </w:rPr>
        <w:t>发包人提供的材料和工程设备的规格、数量或质量不符合合同要求，或由于发包人原因发生交货日期延误及交货地点变更等情况的，发包人应承担由此增加的费用和（或）工期延误， 并向承包人支付合理利润。</w:t>
      </w:r>
    </w:p>
    <w:p>
      <w:pPr>
        <w:pStyle w:val="ListParagraph"/>
        <w:numPr>
          <w:ilvl w:val="2"/>
          <w:numId w:val="50"/>
        </w:numPr>
        <w:tabs>
          <w:tab w:pos="1048" w:val="left" w:leader="none"/>
        </w:tabs>
        <w:spacing w:line="240" w:lineRule="auto" w:before="26" w:after="0"/>
        <w:ind w:left="1047" w:right="0" w:hanging="490"/>
        <w:jc w:val="left"/>
        <w:rPr>
          <w:sz w:val="22"/>
        </w:rPr>
      </w:pPr>
      <w:r>
        <w:rPr>
          <w:color w:val="231F20"/>
          <w:sz w:val="22"/>
        </w:rPr>
        <w:t>承包人提供的材料和工程设备</w:t>
      </w:r>
    </w:p>
    <w:p>
      <w:pPr>
        <w:pStyle w:val="BodyText"/>
        <w:spacing w:line="319" w:lineRule="auto"/>
        <w:ind w:right="215" w:firstLine="440"/>
      </w:pPr>
      <w:r>
        <w:rPr>
          <w:color w:val="231F20"/>
        </w:rPr>
        <w:t>承包人应按照专用合同条件的约定，将各项材料和工程设备的供货人及品种、技术要求、规格、数量和供货时间等报送工程师批准。承包人应向工程师提交其负责提供的材料和工程设备的质量证明文件，并根据合同约定的质量标准，对材料、工程设备质量负责。</w:t>
      </w:r>
    </w:p>
    <w:p>
      <w:pPr>
        <w:pStyle w:val="BodyText"/>
        <w:spacing w:line="319" w:lineRule="auto" w:before="25"/>
        <w:ind w:right="213" w:firstLine="440"/>
        <w:jc w:val="both"/>
      </w:pPr>
      <w:r>
        <w:rPr>
          <w:color w:val="231F20"/>
          <w:spacing w:val="-1"/>
        </w:rPr>
        <w:t>承包人应按照已被批准的第 </w:t>
      </w:r>
      <w:r>
        <w:rPr>
          <w:color w:val="231F20"/>
        </w:rPr>
        <w:t>8.4 款[ 项目进度计划] 规定的数量要求及时间要求，负责组织</w:t>
      </w:r>
      <w:r>
        <w:rPr>
          <w:color w:val="231F20"/>
          <w:spacing w:val="2"/>
        </w:rPr>
        <w:t>材料和工程设备采购</w:t>
      </w:r>
      <w:r>
        <w:rPr>
          <w:color w:val="231F20"/>
          <w:spacing w:val="3"/>
        </w:rPr>
        <w:t>（</w:t>
      </w:r>
      <w:r>
        <w:rPr>
          <w:color w:val="231F20"/>
        </w:rPr>
        <w:t>包括备品备件、专用工具及厂商提供的技术文件</w:t>
      </w:r>
      <w:r>
        <w:rPr>
          <w:color w:val="231F20"/>
          <w:spacing w:val="-110"/>
        </w:rPr>
        <w:t>）</w:t>
      </w:r>
      <w:r>
        <w:rPr>
          <w:color w:val="231F20"/>
        </w:rPr>
        <w:t>，负责运抵现场。合同约定由承包人采购的材料、工程设备，除专用合同条件另有约定外，发包人不得指定生产厂家或供应商，发包人违反本款约定指定生产厂家或供应商的，承包人有权拒绝，并由发包人承担相应责任。</w:t>
      </w:r>
    </w:p>
    <w:p>
      <w:pPr>
        <w:pStyle w:val="BodyText"/>
        <w:spacing w:line="319" w:lineRule="auto" w:before="25"/>
        <w:ind w:right="214" w:firstLine="440"/>
        <w:jc w:val="both"/>
      </w:pPr>
      <w:r>
        <w:rPr>
          <w:color w:val="231F20"/>
        </w:rPr>
        <w:t>对承包人提供的材料和工程设备，承包人应会同工程师进行检验和交货验收，查验材料合格证明和产品合格证书，并按合同约定和工程师指示，进行材料的抽样检验和工程设备的检验测试，检验和测试结果应提交工程师，所需费用由承包人承担。</w:t>
      </w:r>
    </w:p>
    <w:p>
      <w:pPr>
        <w:pStyle w:val="BodyText"/>
        <w:spacing w:line="319" w:lineRule="auto" w:before="25"/>
        <w:ind w:right="215" w:firstLine="440"/>
      </w:pPr>
      <w:r>
        <w:rPr>
          <w:color w:val="231F20"/>
        </w:rPr>
        <w:t>因承包人提供的材料和工程设备不符合国家强制性标准、规范的规定或合同约定的标准、规范，所造成的质量缺陷，由承包人自费修复，竣工日期不予延长。在履行合同过程中，由于国家新颁布的强制性标准、规范，造成承包人负责提供的材料和工程设备，虽符合合同约定的标准，但不符合新颁布的强制性标准时，由承包人负责修复或重新订货，相关费用支出及导致的工期延长由发包人负责。</w:t>
      </w:r>
    </w:p>
    <w:p>
      <w:pPr>
        <w:pStyle w:val="ListParagraph"/>
        <w:numPr>
          <w:ilvl w:val="2"/>
          <w:numId w:val="50"/>
        </w:numPr>
        <w:tabs>
          <w:tab w:pos="1048" w:val="left" w:leader="none"/>
        </w:tabs>
        <w:spacing w:line="240" w:lineRule="auto" w:before="25" w:after="0"/>
        <w:ind w:left="1047" w:right="0" w:hanging="490"/>
        <w:jc w:val="left"/>
        <w:rPr>
          <w:sz w:val="22"/>
        </w:rPr>
      </w:pPr>
      <w:r>
        <w:rPr>
          <w:color w:val="231F20"/>
          <w:sz w:val="22"/>
        </w:rPr>
        <w:t>材料和工程设备的保管</w:t>
      </w:r>
    </w:p>
    <w:p>
      <w:pPr>
        <w:pStyle w:val="BodyText"/>
        <w:ind w:left="447"/>
      </w:pPr>
      <w:r>
        <w:rPr>
          <w:color w:val="231F20"/>
        </w:rPr>
        <w:t>（ 1）发包人供应材料与工程设备的保管与使用</w:t>
      </w:r>
    </w:p>
    <w:p>
      <w:pPr>
        <w:pStyle w:val="BodyText"/>
        <w:spacing w:line="319" w:lineRule="auto"/>
        <w:ind w:right="208" w:firstLine="440"/>
        <w:jc w:val="right"/>
      </w:pPr>
      <w:r>
        <w:rPr>
          <w:color w:val="231F20"/>
        </w:rPr>
        <w:t>发包人供应的材料和工程设备，承包人清点并接收后由承包人妥善保管，保管费用由承包人承担，但专用合同条件另有约定除外。因承包人原因发生丢失毁损的，由承包人负责赔偿。发包人供应的材料和工程设备使用前，由承包人负责必要的检验，检验费用由发包人承</w:t>
      </w:r>
    </w:p>
    <w:p>
      <w:pPr>
        <w:pStyle w:val="BodyText"/>
        <w:spacing w:before="25"/>
      </w:pPr>
      <w:r>
        <w:rPr>
          <w:color w:val="231F20"/>
        </w:rPr>
        <w:t>担，不合格的不得使用。</w:t>
      </w:r>
    </w:p>
    <w:p>
      <w:pPr>
        <w:pStyle w:val="BodyText"/>
        <w:spacing w:before="108"/>
        <w:ind w:left="447"/>
      </w:pPr>
      <w:r>
        <w:rPr>
          <w:color w:val="231F20"/>
        </w:rPr>
        <w:t>（ 2）承包人采购材料与工程设备的保管与使用</w:t>
      </w:r>
    </w:p>
    <w:p>
      <w:pPr>
        <w:pStyle w:val="BodyText"/>
        <w:spacing w:line="319" w:lineRule="auto" w:before="108"/>
        <w:ind w:right="215" w:firstLine="440"/>
      </w:pPr>
      <w:r>
        <w:rPr>
          <w:color w:val="231F20"/>
        </w:rPr>
        <w:t>承包人采购的材料和工程设备由承包人妥善保管，保管费用由承包人承担。合同约定或法律规定材料和工程设备使用前必须进行检验或试验的，承包人应按工程师的指示进行检验或试</w:t>
      </w:r>
    </w:p>
    <w:p>
      <w:pPr>
        <w:spacing w:after="0" w:line="319" w:lineRule="auto"/>
        <w:sectPr>
          <w:pgSz w:w="11910" w:h="16840"/>
          <w:pgMar w:header="0" w:footer="832" w:top="1580" w:bottom="1020" w:left="1300" w:right="1200"/>
        </w:sectPr>
      </w:pPr>
    </w:p>
    <w:p>
      <w:pPr>
        <w:pStyle w:val="BodyText"/>
        <w:spacing w:before="24"/>
      </w:pPr>
      <w:r>
        <w:rPr>
          <w:color w:val="231F20"/>
        </w:rPr>
        <w:t>验，检验或试验费用由承包人承担，不合格的不得使用。</w:t>
      </w:r>
    </w:p>
    <w:p>
      <w:pPr>
        <w:pStyle w:val="BodyText"/>
        <w:spacing w:line="319" w:lineRule="auto"/>
        <w:ind w:right="215" w:firstLine="440"/>
      </w:pPr>
      <w:r>
        <w:rPr>
          <w:color w:val="231F20"/>
        </w:rPr>
        <w:t>工程师发现承包人使用不符合设计或有关标准要求的材料和工程设备时，有权要求承包人进行修复、拆除或重新采购，由此增加的费用和（或）延误的工期，由承包人承担。</w:t>
      </w:r>
    </w:p>
    <w:p>
      <w:pPr>
        <w:pStyle w:val="ListParagraph"/>
        <w:numPr>
          <w:ilvl w:val="2"/>
          <w:numId w:val="50"/>
        </w:numPr>
        <w:tabs>
          <w:tab w:pos="1048" w:val="left" w:leader="none"/>
        </w:tabs>
        <w:spacing w:line="240" w:lineRule="auto" w:before="25" w:after="0"/>
        <w:ind w:left="1047" w:right="0" w:hanging="490"/>
        <w:jc w:val="left"/>
        <w:rPr>
          <w:sz w:val="22"/>
        </w:rPr>
      </w:pPr>
      <w:r>
        <w:rPr>
          <w:color w:val="231F20"/>
          <w:sz w:val="22"/>
        </w:rPr>
        <w:t>材料和工程设备的所有权</w:t>
      </w:r>
    </w:p>
    <w:p>
      <w:pPr>
        <w:pStyle w:val="BodyText"/>
        <w:spacing w:line="319" w:lineRule="auto" w:before="108"/>
        <w:ind w:right="209" w:firstLine="440"/>
        <w:jc w:val="right"/>
      </w:pPr>
      <w:r>
        <w:rPr>
          <w:color w:val="231F20"/>
        </w:rPr>
        <w:t>除本合同另有约定外，承包人根据第 6.2.2 项 [ 承包人提供的材料和工程设备 ] 约定提供的</w:t>
      </w:r>
      <w:r>
        <w:rPr>
          <w:color w:val="231F20"/>
          <w:spacing w:val="0"/>
        </w:rPr>
        <w:t>材料和工程设备后，材料及工程设备的价款应列入第 </w:t>
      </w:r>
      <w:r>
        <w:rPr>
          <w:color w:val="231F20"/>
        </w:rPr>
        <w:t>14.3.1</w:t>
      </w:r>
      <w:r>
        <w:rPr>
          <w:color w:val="231F20"/>
          <w:spacing w:val="5"/>
        </w:rPr>
        <w:t> 项第</w:t>
      </w:r>
      <w:r>
        <w:rPr>
          <w:color w:val="231F20"/>
        </w:rPr>
        <w:t>（ 2）</w:t>
      </w:r>
      <w:r>
        <w:rPr>
          <w:color w:val="231F20"/>
          <w:spacing w:val="1"/>
        </w:rPr>
        <w:t>目的进度款金额中，发</w:t>
      </w:r>
      <w:r>
        <w:rPr>
          <w:color w:val="231F20"/>
          <w:spacing w:val="0"/>
        </w:rPr>
        <w:t>包人支付当期进度款之后，其所有权转为发包人所有</w:t>
      </w:r>
      <w:r>
        <w:rPr>
          <w:color w:val="231F20"/>
          <w:spacing w:val="2"/>
        </w:rPr>
        <w:t>（周转性材料除外</w:t>
      </w:r>
      <w:r>
        <w:rPr>
          <w:color w:val="231F20"/>
          <w:spacing w:val="-53"/>
        </w:rPr>
        <w:t>）</w:t>
      </w:r>
      <w:r>
        <w:rPr>
          <w:color w:val="231F20"/>
          <w:spacing w:val="-5"/>
        </w:rPr>
        <w:t>；在发包人接收工程</w:t>
      </w:r>
      <w:r>
        <w:rPr>
          <w:color w:val="231F20"/>
        </w:rPr>
        <w:t>前，承包人有义务对材料和工程设备进行保管、维护和保养，未经发包人批准不得运出现场。</w:t>
      </w:r>
      <w:r>
        <w:rPr>
          <w:color w:val="231F20"/>
          <w:spacing w:val="3"/>
        </w:rPr>
        <w:t>承包人按第 </w:t>
      </w:r>
      <w:r>
        <w:rPr>
          <w:color w:val="231F20"/>
        </w:rPr>
        <w:t>6.2.2</w:t>
      </w:r>
      <w:r>
        <w:rPr>
          <w:color w:val="231F20"/>
          <w:spacing w:val="1"/>
        </w:rPr>
        <w:t> 项提供的材料和工程设备，承包人应确保发包人取得无权利负担的材料</w:t>
      </w:r>
    </w:p>
    <w:p>
      <w:pPr>
        <w:pStyle w:val="BodyText"/>
        <w:spacing w:line="319" w:lineRule="auto" w:before="25"/>
        <w:ind w:right="215"/>
      </w:pPr>
      <w:r>
        <w:rPr>
          <w:color w:val="231F20"/>
        </w:rPr>
        <w:t>及工程设备所有权，因承包人与第三人的物权争议导致的增加的费用和（或）延误的工期，由承包人承担。</w:t>
      </w:r>
    </w:p>
    <w:p>
      <w:pPr>
        <w:pStyle w:val="ListParagraph"/>
        <w:numPr>
          <w:ilvl w:val="1"/>
          <w:numId w:val="51"/>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样品</w:t>
      </w:r>
    </w:p>
    <w:p>
      <w:pPr>
        <w:pStyle w:val="ListParagraph"/>
        <w:numPr>
          <w:ilvl w:val="2"/>
          <w:numId w:val="51"/>
        </w:numPr>
        <w:tabs>
          <w:tab w:pos="1048" w:val="left" w:leader="none"/>
        </w:tabs>
        <w:spacing w:line="240" w:lineRule="auto" w:before="122" w:after="0"/>
        <w:ind w:left="1047" w:right="0" w:hanging="490"/>
        <w:jc w:val="left"/>
        <w:rPr>
          <w:sz w:val="22"/>
        </w:rPr>
      </w:pPr>
      <w:r>
        <w:rPr>
          <w:color w:val="231F20"/>
          <w:sz w:val="22"/>
        </w:rPr>
        <w:t>样品的报送与封存</w:t>
      </w:r>
    </w:p>
    <w:p>
      <w:pPr>
        <w:pStyle w:val="BodyText"/>
        <w:spacing w:line="319" w:lineRule="auto"/>
        <w:ind w:right="215" w:firstLine="440"/>
      </w:pPr>
      <w:r>
        <w:rPr>
          <w:color w:val="231F20"/>
        </w:rPr>
        <w:t>需要承包人报送样品的材料或工程设备，样品的种类、名称、规格、数量等要求均应在专用合同条件中约定。样品的报送程序如下：</w:t>
      </w:r>
    </w:p>
    <w:p>
      <w:pPr>
        <w:pStyle w:val="BodyText"/>
        <w:spacing w:line="319" w:lineRule="auto" w:before="25"/>
        <w:ind w:right="93" w:firstLine="330"/>
      </w:pPr>
      <w:r>
        <w:rPr>
          <w:color w:val="231F20"/>
        </w:rPr>
        <w:t>（ 1）承包人应在计划采购前 28 天向工程师报送样品。承包人报送的样品均应来自供应材料的实际生产地，且提供的样品的规格、数量足以表明材料或工程设备的质量、型号、颜色、表面处理、质地、误差和其他要求的特征。</w:t>
      </w:r>
    </w:p>
    <w:p>
      <w:pPr>
        <w:pStyle w:val="BodyText"/>
        <w:spacing w:line="319" w:lineRule="auto" w:before="25"/>
        <w:ind w:right="214" w:firstLine="330"/>
        <w:jc w:val="both"/>
      </w:pPr>
      <w:r>
        <w:rPr>
          <w:color w:val="231F20"/>
        </w:rPr>
        <w:t>（ 2）承包人每次报送样品时应随附申报单，申报单应载明报送样品的相关数据和资料，并标明每件样品对应的图纸号，预留工程师审批意见栏。工程师应在收到承包人报送的样品后 7 天向承包人回复经发包人签认的样品审批意见。</w:t>
      </w:r>
    </w:p>
    <w:p>
      <w:pPr>
        <w:pStyle w:val="BodyText"/>
        <w:spacing w:line="319" w:lineRule="auto" w:before="25"/>
        <w:ind w:right="212" w:firstLine="330"/>
        <w:jc w:val="both"/>
      </w:pPr>
      <w:r>
        <w:rPr>
          <w:color w:val="231F20"/>
        </w:rPr>
        <w:t>（ 3）经工程师审批确认的样品应按约定的方法封样，封存的样品作为检验工程相关部分的标准之一。承包人在施工过程中不得使用与样品不符的材料或工程设备。</w:t>
      </w:r>
    </w:p>
    <w:p>
      <w:pPr>
        <w:pStyle w:val="BodyText"/>
        <w:spacing w:line="319" w:lineRule="auto" w:before="25"/>
        <w:ind w:right="212" w:firstLine="330"/>
        <w:jc w:val="both"/>
      </w:pPr>
      <w:r>
        <w:rPr>
          <w:color w:val="231F20"/>
        </w:rPr>
        <w:t>（ 4）工程师对样品的审批确认仅为确认相关材料或工程设备的特征或用途，不得被理解为对合同的修改或改变，也并不减轻或免除承包人任何的责任和义务。如果封存的样品修改或改变了合同约定，合同当事人应当以书面协议予以确认。</w:t>
      </w:r>
    </w:p>
    <w:p>
      <w:pPr>
        <w:pStyle w:val="ListParagraph"/>
        <w:numPr>
          <w:ilvl w:val="2"/>
          <w:numId w:val="51"/>
        </w:numPr>
        <w:tabs>
          <w:tab w:pos="1048" w:val="left" w:leader="none"/>
        </w:tabs>
        <w:spacing w:line="240" w:lineRule="auto" w:before="25" w:after="0"/>
        <w:ind w:left="1047" w:right="0" w:hanging="490"/>
        <w:jc w:val="left"/>
        <w:rPr>
          <w:sz w:val="22"/>
        </w:rPr>
      </w:pPr>
      <w:r>
        <w:rPr>
          <w:color w:val="231F20"/>
          <w:sz w:val="22"/>
        </w:rPr>
        <w:t>样品的保管</w:t>
      </w:r>
    </w:p>
    <w:p>
      <w:pPr>
        <w:pStyle w:val="BodyText"/>
        <w:spacing w:line="319" w:lineRule="auto"/>
        <w:ind w:right="215" w:firstLine="440"/>
      </w:pPr>
      <w:r>
        <w:rPr>
          <w:color w:val="231F20"/>
        </w:rPr>
        <w:t>经批准的样品应由工程师负责封存于现场，承包人应在现场为保存样品提供适当和固定的场所并保持适当和良好的存储环境条件。</w:t>
      </w:r>
    </w:p>
    <w:p>
      <w:pPr>
        <w:pStyle w:val="ListParagraph"/>
        <w:numPr>
          <w:ilvl w:val="1"/>
          <w:numId w:val="52"/>
        </w:numPr>
        <w:tabs>
          <w:tab w:pos="924" w:val="left" w:leader="none"/>
        </w:tabs>
        <w:spacing w:line="240" w:lineRule="auto" w:before="20" w:after="0"/>
        <w:ind w:left="923" w:right="0" w:hanging="366"/>
        <w:jc w:val="left"/>
        <w:rPr>
          <w:rFonts w:ascii="方正黑体_GBK" w:eastAsia="方正黑体_GBK" w:hint="eastAsia"/>
          <w:sz w:val="22"/>
        </w:rPr>
      </w:pPr>
      <w:r>
        <w:rPr>
          <w:rFonts w:ascii="方正黑体_GBK" w:eastAsia="方正黑体_GBK" w:hint="eastAsia"/>
          <w:color w:val="231F20"/>
          <w:sz w:val="22"/>
        </w:rPr>
        <w:t>质量检查</w:t>
      </w:r>
    </w:p>
    <w:p>
      <w:pPr>
        <w:pStyle w:val="ListParagraph"/>
        <w:numPr>
          <w:ilvl w:val="2"/>
          <w:numId w:val="52"/>
        </w:numPr>
        <w:tabs>
          <w:tab w:pos="1048" w:val="left" w:leader="none"/>
        </w:tabs>
        <w:spacing w:line="240" w:lineRule="auto" w:before="122" w:after="0"/>
        <w:ind w:left="1047" w:right="0" w:hanging="490"/>
        <w:jc w:val="left"/>
        <w:rPr>
          <w:sz w:val="22"/>
        </w:rPr>
      </w:pPr>
      <w:r>
        <w:rPr>
          <w:color w:val="231F20"/>
          <w:sz w:val="22"/>
        </w:rPr>
        <w:t>工程质量要求</w:t>
      </w:r>
    </w:p>
    <w:p>
      <w:pPr>
        <w:spacing w:after="0" w:line="240" w:lineRule="auto"/>
        <w:jc w:val="left"/>
        <w:rPr>
          <w:sz w:val="22"/>
        </w:rPr>
        <w:sectPr>
          <w:pgSz w:w="11910" w:h="16840"/>
          <w:pgMar w:header="0" w:footer="832" w:top="1580" w:bottom="1020" w:left="1300" w:right="1200"/>
        </w:sectPr>
      </w:pPr>
    </w:p>
    <w:p>
      <w:pPr>
        <w:pStyle w:val="BodyText"/>
        <w:spacing w:line="319" w:lineRule="auto" w:before="24"/>
        <w:ind w:left="217" w:right="216" w:firstLine="440"/>
        <w:jc w:val="both"/>
      </w:pPr>
      <w:r>
        <w:rPr>
          <w:color w:val="231F20"/>
        </w:rPr>
        <w:t>工程质量标准必须符合现行国家有关工程施工质量验收规范和标准的要求。有关工程质量的特殊标准或要求由合同当事人在专用合同条件中约定。</w:t>
      </w:r>
    </w:p>
    <w:p>
      <w:pPr>
        <w:pStyle w:val="BodyText"/>
        <w:spacing w:line="319" w:lineRule="auto" w:before="26"/>
        <w:ind w:left="217" w:right="214" w:firstLine="440"/>
        <w:jc w:val="both"/>
      </w:pPr>
      <w:r>
        <w:rPr>
          <w:color w:val="231F20"/>
        </w:rPr>
        <w:t>因承包人原因造成工程质量未达到合同约定标准的，发包人有权要求承包人返工直至工程质量达到合同约定的标准为止，并由承包人承担由此增加的费用和（或）延误的工期。因发包人原因造成工程质量未达到合同约定标准的，由发包人承担由此增加的费用和（或）延误的工期，并支付承包人合理的利润。</w:t>
      </w:r>
    </w:p>
    <w:p>
      <w:pPr>
        <w:pStyle w:val="ListParagraph"/>
        <w:numPr>
          <w:ilvl w:val="2"/>
          <w:numId w:val="52"/>
        </w:numPr>
        <w:tabs>
          <w:tab w:pos="1148" w:val="left" w:leader="none"/>
        </w:tabs>
        <w:spacing w:line="240" w:lineRule="auto" w:before="26" w:after="0"/>
        <w:ind w:left="1147" w:right="0" w:hanging="490"/>
        <w:jc w:val="left"/>
        <w:rPr>
          <w:sz w:val="22"/>
        </w:rPr>
      </w:pPr>
      <w:r>
        <w:rPr>
          <w:color w:val="231F20"/>
          <w:sz w:val="22"/>
        </w:rPr>
        <w:t>质量检查</w:t>
      </w:r>
    </w:p>
    <w:p>
      <w:pPr>
        <w:pStyle w:val="BodyText"/>
        <w:spacing w:line="319" w:lineRule="auto"/>
        <w:ind w:left="217" w:right="92" w:firstLine="440"/>
      </w:pPr>
      <w:r>
        <w:rPr>
          <w:color w:val="231F20"/>
        </w:rPr>
        <w:t>发包人有权通过工程师或自行对全部工程内容及其施工工艺、材料和工程设备进行检查和检验。承包人应为工程师或发包人的检查和检验提供方便，包括到施工现场，或制造、加工地点，或专用合同条件约定的其他地方进行察看和查阅施工原始记录。承包人还应按工程师或发包人指示，进行施工现场的取样试验，工程复核测量和设备性能检测，提供试验样品、提交试验报告和测量成果以及工程师或发包人指示进行的其他工作。工程师或发包人的检查和检验， 不免除承包人按合同约定应负的责任。</w:t>
      </w:r>
    </w:p>
    <w:p>
      <w:pPr>
        <w:pStyle w:val="ListParagraph"/>
        <w:numPr>
          <w:ilvl w:val="2"/>
          <w:numId w:val="52"/>
        </w:numPr>
        <w:tabs>
          <w:tab w:pos="1148" w:val="left" w:leader="none"/>
        </w:tabs>
        <w:spacing w:line="240" w:lineRule="auto" w:before="25" w:after="0"/>
        <w:ind w:left="1147" w:right="0" w:hanging="490"/>
        <w:jc w:val="left"/>
        <w:rPr>
          <w:sz w:val="22"/>
        </w:rPr>
      </w:pPr>
      <w:r>
        <w:rPr>
          <w:color w:val="231F20"/>
          <w:sz w:val="22"/>
        </w:rPr>
        <w:t>隐蔽工程检查</w:t>
      </w:r>
    </w:p>
    <w:p>
      <w:pPr>
        <w:pStyle w:val="BodyText"/>
        <w:spacing w:line="319" w:lineRule="auto" w:before="108"/>
        <w:ind w:left="217" w:right="216" w:firstLine="440"/>
        <w:jc w:val="both"/>
      </w:pPr>
      <w:r>
        <w:rPr>
          <w:color w:val="231F20"/>
        </w:rPr>
        <w:t>除专用合同条件另有约定外，工程隐蔽部位经承包人自检确认具备覆盖条件的，承包人应书面通知工程师在约定的期限内检查，通知中应载明隐蔽检查的内容、时间和地点，并应附有自检记录和必要的检查资料。</w:t>
      </w:r>
    </w:p>
    <w:p>
      <w:pPr>
        <w:pStyle w:val="BodyText"/>
        <w:spacing w:line="319" w:lineRule="auto" w:before="25"/>
        <w:ind w:left="217" w:right="216" w:firstLine="440"/>
        <w:jc w:val="both"/>
      </w:pPr>
      <w:r>
        <w:rPr>
          <w:color w:val="231F20"/>
        </w:rPr>
        <w:t>工程师应按时到场并对隐蔽工程及其施工工艺、材料和工程设备进行检查。经工程师检查确认质量符合隐蔽要求，并在验收记录上签字后，承包人才能进行覆盖。经工程师检查质量不合格的，承包人应在工程师指示的时间内完成修复，并由工程师重新检查，由此增加的费用和</w:t>
      </w:r>
    </w:p>
    <w:p>
      <w:pPr>
        <w:pStyle w:val="BodyText"/>
        <w:spacing w:before="25"/>
        <w:ind w:left="107"/>
      </w:pPr>
      <w:r>
        <w:rPr>
          <w:color w:val="231F20"/>
        </w:rPr>
        <w:t>（或）延误的工期由承包人承担。</w:t>
      </w:r>
    </w:p>
    <w:p>
      <w:pPr>
        <w:pStyle w:val="BodyText"/>
        <w:spacing w:line="319" w:lineRule="auto" w:before="108"/>
        <w:ind w:left="217" w:right="211" w:firstLine="440"/>
        <w:jc w:val="both"/>
      </w:pPr>
      <w:r>
        <w:rPr>
          <w:color w:val="231F20"/>
        </w:rPr>
        <w:t>除专用合同条件另有约定外，工程师不能按时进行检查的，应提前向承包人提交书面延期要求，顺延时间不得超过 48 小时，由此导致工期延误的，工期应予以顺延，顺延超过 48 小时的，由此导致的工期延误及费用增加由发包人承担。工程师未按时进行检查，也未提出延期要求的，视为隐蔽工程检查合格，承包人可自行完成覆盖工作，并作相应记录报送工程师，工程师应签字确认。工程师事后对检查记录有疑问的，可按下列约定重新检查。</w:t>
      </w:r>
    </w:p>
    <w:p>
      <w:pPr>
        <w:pStyle w:val="BodyText"/>
        <w:spacing w:line="319" w:lineRule="auto" w:before="25"/>
        <w:ind w:left="217" w:right="212" w:firstLine="440"/>
        <w:jc w:val="both"/>
      </w:pPr>
      <w:r>
        <w:rPr>
          <w:color w:val="231F20"/>
        </w:rPr>
        <w:t>承包人覆盖工程隐蔽部位后，工程师对质量有疑问的，可要求承包人对已覆盖的部位进行钻孔探测或揭开重新检查，承包人应遵照执行，并在检查后重新覆盖恢复原状。经检查证明工程质量符合合同要求的，由发包人承担由此增加的费用和（或）延误的工期，并支付承包人合</w:t>
      </w:r>
      <w:r>
        <w:rPr>
          <w:color w:val="231F20"/>
          <w:spacing w:val="-8"/>
        </w:rPr>
        <w:t>理的利润；经检查证明工程质量不符合合同要求的，由此增加的费用和</w:t>
      </w:r>
      <w:r>
        <w:rPr>
          <w:color w:val="231F20"/>
        </w:rPr>
        <w:t>（或）延误的工期由承包人承担。</w:t>
      </w:r>
    </w:p>
    <w:p>
      <w:pPr>
        <w:spacing w:after="0" w:line="319" w:lineRule="auto"/>
        <w:jc w:val="both"/>
        <w:sectPr>
          <w:pgSz w:w="11910" w:h="16840"/>
          <w:pgMar w:header="0" w:footer="832" w:top="1580" w:bottom="1020" w:left="1200" w:right="1200"/>
        </w:sectPr>
      </w:pPr>
    </w:p>
    <w:p>
      <w:pPr>
        <w:pStyle w:val="BodyText"/>
        <w:spacing w:line="319" w:lineRule="auto" w:before="24"/>
        <w:ind w:right="216" w:firstLine="440"/>
        <w:jc w:val="both"/>
      </w:pPr>
      <w:r>
        <w:rPr>
          <w:color w:val="231F20"/>
        </w:rPr>
        <w:t>承包人未通知工程师到场检查，私自将工程隐蔽部位覆盖的，工程师有权指示承包人钻孔探测或揭开检查，无论工程隐蔽部位质量是否合格，由此增加的费用和（或）延误的工期均由承包人承担。</w:t>
      </w:r>
    </w:p>
    <w:p>
      <w:pPr>
        <w:pStyle w:val="ListParagraph"/>
        <w:numPr>
          <w:ilvl w:val="1"/>
          <w:numId w:val="52"/>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由承包人试验和检验</w:t>
      </w:r>
    </w:p>
    <w:p>
      <w:pPr>
        <w:pStyle w:val="ListParagraph"/>
        <w:numPr>
          <w:ilvl w:val="2"/>
          <w:numId w:val="52"/>
        </w:numPr>
        <w:tabs>
          <w:tab w:pos="1048" w:val="left" w:leader="none"/>
        </w:tabs>
        <w:spacing w:line="240" w:lineRule="auto" w:before="121" w:after="0"/>
        <w:ind w:left="1047" w:right="0" w:hanging="490"/>
        <w:jc w:val="left"/>
        <w:rPr>
          <w:sz w:val="22"/>
        </w:rPr>
      </w:pPr>
      <w:r>
        <w:rPr>
          <w:color w:val="231F20"/>
          <w:sz w:val="22"/>
        </w:rPr>
        <w:t>试验设备与试验人员</w:t>
      </w:r>
    </w:p>
    <w:p>
      <w:pPr>
        <w:pStyle w:val="BodyText"/>
        <w:spacing w:line="319" w:lineRule="auto"/>
        <w:ind w:right="105" w:firstLine="330"/>
      </w:pPr>
      <w:r>
        <w:rPr>
          <w:color w:val="231F20"/>
        </w:rPr>
        <w:t>（ 1）承包人根据合同约定或工程师指示进行的现场材料试验，应由承包人提供试验场所、试验人员、试验设备以及其他必要的试验条件。工程师在必要时可以使用承包人提供的试验场所、试验设备以及其他试验条件，进行以工程质量检查为目的的材料复核试验，承包人应予以协助。</w:t>
      </w:r>
    </w:p>
    <w:p>
      <w:pPr>
        <w:pStyle w:val="BodyText"/>
        <w:spacing w:line="319" w:lineRule="auto" w:before="26"/>
        <w:ind w:right="215" w:firstLine="330"/>
        <w:jc w:val="both"/>
      </w:pPr>
      <w:r>
        <w:rPr>
          <w:color w:val="231F20"/>
        </w:rPr>
        <w:t>（ 2）承包人应按专用合同条件约定的试验内容、时间和地点提供试验设备、取样装置、试验场所和试验条件，并向工程师提交相应进场计划表。</w:t>
      </w:r>
    </w:p>
    <w:p>
      <w:pPr>
        <w:pStyle w:val="BodyText"/>
        <w:spacing w:line="319" w:lineRule="auto" w:before="26"/>
        <w:ind w:right="215" w:firstLine="440"/>
      </w:pPr>
      <w:r>
        <w:rPr>
          <w:color w:val="231F20"/>
        </w:rPr>
        <w:t>承包人配置的试验设备要符合相应试验规程的要求并经过具有资质的检测单位检测，且在正式使用该试验设备前，需要经过工程师与承包人共同校定。</w:t>
      </w:r>
    </w:p>
    <w:p>
      <w:pPr>
        <w:pStyle w:val="BodyText"/>
        <w:spacing w:line="319" w:lineRule="auto" w:before="26"/>
        <w:ind w:right="214" w:firstLine="330"/>
        <w:jc w:val="both"/>
      </w:pPr>
      <w:r>
        <w:rPr>
          <w:color w:val="231F20"/>
        </w:rPr>
        <w:t>（ 3）承包人应向工程师提交试验人员的名单及其岗位、资格等证明资料，试验人员必须能够熟练进行相应的检测试验，承包人对试验人员的试验程序和试验结果的正确性负责。</w:t>
      </w:r>
    </w:p>
    <w:p>
      <w:pPr>
        <w:pStyle w:val="ListParagraph"/>
        <w:numPr>
          <w:ilvl w:val="2"/>
          <w:numId w:val="52"/>
        </w:numPr>
        <w:tabs>
          <w:tab w:pos="1048" w:val="left" w:leader="none"/>
        </w:tabs>
        <w:spacing w:line="240" w:lineRule="auto" w:before="26" w:after="0"/>
        <w:ind w:left="1047" w:right="0" w:hanging="490"/>
        <w:jc w:val="left"/>
        <w:rPr>
          <w:sz w:val="22"/>
        </w:rPr>
      </w:pPr>
      <w:r>
        <w:rPr>
          <w:color w:val="231F20"/>
          <w:sz w:val="22"/>
        </w:rPr>
        <w:t>取样</w:t>
      </w:r>
    </w:p>
    <w:p>
      <w:pPr>
        <w:pStyle w:val="BodyText"/>
        <w:spacing w:line="319" w:lineRule="auto"/>
        <w:ind w:right="215" w:firstLine="440"/>
      </w:pPr>
      <w:r>
        <w:rPr>
          <w:color w:val="231F20"/>
        </w:rPr>
        <w:t>试验属于自检性质的，承包人可以单独取样。试验属于工程师抽检性质的，可由工程师取样，也可由承包人的试验人员在工程师的监督下取样。</w:t>
      </w:r>
    </w:p>
    <w:p>
      <w:pPr>
        <w:pStyle w:val="ListParagraph"/>
        <w:numPr>
          <w:ilvl w:val="2"/>
          <w:numId w:val="52"/>
        </w:numPr>
        <w:tabs>
          <w:tab w:pos="1048" w:val="left" w:leader="none"/>
        </w:tabs>
        <w:spacing w:line="240" w:lineRule="auto" w:before="25" w:after="0"/>
        <w:ind w:left="1047" w:right="0" w:hanging="490"/>
        <w:jc w:val="left"/>
        <w:rPr>
          <w:sz w:val="22"/>
        </w:rPr>
      </w:pPr>
      <w:r>
        <w:rPr>
          <w:color w:val="231F20"/>
          <w:sz w:val="22"/>
        </w:rPr>
        <w:t>材料、工程设备和工程的试验和检验</w:t>
      </w:r>
    </w:p>
    <w:p>
      <w:pPr>
        <w:pStyle w:val="BodyText"/>
        <w:spacing w:line="319" w:lineRule="auto"/>
        <w:ind w:right="213" w:firstLine="330"/>
        <w:jc w:val="both"/>
      </w:pPr>
      <w:r>
        <w:rPr>
          <w:color w:val="231F20"/>
        </w:rPr>
        <w:t>（ 1）承包人应按合同约定进行材料和工程设备的试验和检验，并为工程师对上述材料、工程设备和工程的质量检查提供必要的试验资料和原始记录。按合同约定应由工程师与承包人共同进行试验和检验的，由承包人负责提供必要的试验资料和原始记录。</w:t>
      </w:r>
    </w:p>
    <w:p>
      <w:pPr>
        <w:pStyle w:val="BodyText"/>
        <w:spacing w:line="319" w:lineRule="auto" w:before="26"/>
        <w:ind w:right="214" w:firstLine="330"/>
        <w:jc w:val="both"/>
      </w:pPr>
      <w:r>
        <w:rPr>
          <w:color w:val="231F20"/>
        </w:rPr>
        <w:t>（ 2）试验属于自检性质的，承包人可以单独进行试验。试验属于工程师抽检性质的，工程师可以单独进行试验，也可由承包人与工程师共同进行。承包人对由工程师单独进行的试验结果有异议的，可以申请重新共同进行试验。约定共同进行试验的，工程师未按照约定参加试验的，承包人可自行试验，并将试验结果报送工程师，工程师应承认该试验结果。</w:t>
      </w:r>
    </w:p>
    <w:p>
      <w:pPr>
        <w:pStyle w:val="BodyText"/>
        <w:spacing w:line="319" w:lineRule="auto" w:before="26"/>
        <w:ind w:right="212" w:firstLine="330"/>
        <w:jc w:val="both"/>
      </w:pPr>
      <w:r>
        <w:rPr>
          <w:color w:val="231F20"/>
        </w:rPr>
        <w:t>（ </w:t>
      </w:r>
      <w:r>
        <w:rPr>
          <w:color w:val="231F20"/>
          <w:spacing w:val="-19"/>
        </w:rPr>
        <w:t>3）</w:t>
      </w:r>
      <w:r>
        <w:rPr>
          <w:color w:val="231F20"/>
        </w:rPr>
        <w:t>工程师对承包人的试验和检验结果有异议的，或为查清承包人试验和检验成果的可靠性要求承包人重新试验和检验的，可由工程师与承包人共同进行。重新试验和检验的结果证明该项材料、工程设备或工程的质量不符合合同要求的，由此增加的费用和（或）延误的工期由</w:t>
      </w:r>
      <w:r>
        <w:rPr>
          <w:color w:val="231F20"/>
          <w:spacing w:val="-7"/>
        </w:rPr>
        <w:t>承包人承担；重新试验和检验结果证明该项材料、工程设备和工程符合合同要求的，由此增加的费用和（或）延误的工期由发包人承担。</w:t>
      </w:r>
    </w:p>
    <w:p>
      <w:pPr>
        <w:spacing w:after="0" w:line="319" w:lineRule="auto"/>
        <w:jc w:val="both"/>
        <w:sectPr>
          <w:pgSz w:w="11910" w:h="16840"/>
          <w:pgMar w:header="0" w:footer="832" w:top="1580" w:bottom="1020" w:left="1300" w:right="1200"/>
        </w:sectPr>
      </w:pPr>
    </w:p>
    <w:p>
      <w:pPr>
        <w:pStyle w:val="ListParagraph"/>
        <w:numPr>
          <w:ilvl w:val="2"/>
          <w:numId w:val="52"/>
        </w:numPr>
        <w:tabs>
          <w:tab w:pos="1048" w:val="left" w:leader="none"/>
        </w:tabs>
        <w:spacing w:line="240" w:lineRule="auto" w:before="24" w:after="0"/>
        <w:ind w:left="1047" w:right="0" w:hanging="490"/>
        <w:jc w:val="left"/>
        <w:rPr>
          <w:sz w:val="22"/>
        </w:rPr>
      </w:pPr>
      <w:r>
        <w:rPr>
          <w:color w:val="231F20"/>
          <w:sz w:val="22"/>
        </w:rPr>
        <w:t>现场工艺试验</w:t>
      </w:r>
    </w:p>
    <w:p>
      <w:pPr>
        <w:pStyle w:val="BodyText"/>
        <w:spacing w:line="319" w:lineRule="auto"/>
        <w:ind w:right="215" w:firstLine="440"/>
      </w:pPr>
      <w:r>
        <w:rPr>
          <w:color w:val="231F20"/>
        </w:rPr>
        <w:t>承包人应按合同约定进行现场工艺试验。对大型的现场工艺试验，发包人认为必要时，承包人应根据发包人提出的工艺试验要求，编制工艺试验措施计划，报送发包人审查。</w:t>
      </w:r>
    </w:p>
    <w:p>
      <w:pPr>
        <w:pStyle w:val="ListParagraph"/>
        <w:numPr>
          <w:ilvl w:val="1"/>
          <w:numId w:val="53"/>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缺陷和修补</w:t>
      </w:r>
    </w:p>
    <w:p>
      <w:pPr>
        <w:pStyle w:val="ListParagraph"/>
        <w:numPr>
          <w:ilvl w:val="2"/>
          <w:numId w:val="53"/>
        </w:numPr>
        <w:tabs>
          <w:tab w:pos="1048" w:val="left" w:leader="none"/>
        </w:tabs>
        <w:spacing w:line="240" w:lineRule="auto" w:before="121" w:after="0"/>
        <w:ind w:left="117" w:right="0" w:firstLine="440"/>
        <w:jc w:val="left"/>
        <w:rPr>
          <w:sz w:val="22"/>
        </w:rPr>
      </w:pPr>
      <w:r>
        <w:rPr>
          <w:color w:val="231F20"/>
          <w:sz w:val="22"/>
        </w:rPr>
        <w:t>发包人可在颁发接收证书前随时指示承包人：</w:t>
      </w:r>
    </w:p>
    <w:p>
      <w:pPr>
        <w:pStyle w:val="BodyText"/>
        <w:spacing w:before="108"/>
        <w:ind w:left="447"/>
      </w:pPr>
      <w:r>
        <w:rPr>
          <w:color w:val="231F20"/>
        </w:rPr>
        <w:t>（ 1）对不符合合同要求的任何工程设备或材料进行修补，或者将其移出现场并进行更换；</w:t>
      </w:r>
    </w:p>
    <w:p>
      <w:pPr>
        <w:pStyle w:val="BodyText"/>
        <w:spacing w:before="108"/>
        <w:ind w:left="447"/>
      </w:pPr>
      <w:r>
        <w:rPr>
          <w:color w:val="231F20"/>
        </w:rPr>
        <w:t>（ 2）对不符合合同的其他工作进行修补，或者将其去除并重新实施；</w:t>
      </w:r>
    </w:p>
    <w:p>
      <w:pPr>
        <w:pStyle w:val="BodyText"/>
        <w:spacing w:line="319" w:lineRule="auto" w:before="108"/>
        <w:ind w:right="199" w:firstLine="330"/>
      </w:pPr>
      <w:r>
        <w:rPr>
          <w:color w:val="231F20"/>
        </w:rPr>
        <w:t>（ 3）实施因意外、不可预见的事件或其他原因引起的、为工程的安全迫切需要的任何修补工作。</w:t>
      </w:r>
    </w:p>
    <w:p>
      <w:pPr>
        <w:pStyle w:val="ListParagraph"/>
        <w:numPr>
          <w:ilvl w:val="2"/>
          <w:numId w:val="53"/>
        </w:numPr>
        <w:tabs>
          <w:tab w:pos="1068" w:val="left" w:leader="none"/>
        </w:tabs>
        <w:spacing w:line="319" w:lineRule="auto" w:before="25" w:after="0"/>
        <w:ind w:left="117" w:right="212" w:firstLine="440"/>
        <w:jc w:val="both"/>
        <w:rPr>
          <w:sz w:val="22"/>
        </w:rPr>
      </w:pPr>
      <w:r>
        <w:rPr>
          <w:color w:val="231F20"/>
          <w:spacing w:val="5"/>
          <w:sz w:val="22"/>
        </w:rPr>
        <w:t>承包人应遵守第 </w:t>
      </w:r>
      <w:r>
        <w:rPr>
          <w:color w:val="231F20"/>
          <w:sz w:val="22"/>
        </w:rPr>
        <w:t>6.6.1 项下指示，并在合理可行的情况下，根据上述指示中规定的时间完成修补工作。除因下列原因引起的第 6.6.1 项第（</w:t>
      </w:r>
      <w:r>
        <w:rPr>
          <w:color w:val="231F20"/>
          <w:spacing w:val="-28"/>
          <w:sz w:val="22"/>
        </w:rPr>
        <w:t> </w:t>
      </w:r>
      <w:r>
        <w:rPr>
          <w:color w:val="231F20"/>
          <w:sz w:val="22"/>
        </w:rPr>
        <w:t>3）目下的情形外，承包人应承担所有修补工作的费用：</w:t>
      </w:r>
    </w:p>
    <w:p>
      <w:pPr>
        <w:pStyle w:val="BodyText"/>
        <w:spacing w:line="319" w:lineRule="auto" w:before="25"/>
        <w:ind w:right="199" w:firstLine="330"/>
      </w:pPr>
      <w:r>
        <w:rPr>
          <w:color w:val="231F20"/>
        </w:rPr>
        <w:t>（ 1）因发包人或其人员的任何行为导致的情形，且在此情况下发包人应承担因此引起的工期延误和承包人费用损失，并向承包人支付合理的利润。</w:t>
      </w:r>
    </w:p>
    <w:p>
      <w:pPr>
        <w:pStyle w:val="BodyText"/>
        <w:spacing w:before="25"/>
        <w:ind w:left="447"/>
      </w:pPr>
      <w:r>
        <w:rPr>
          <w:color w:val="231F20"/>
        </w:rPr>
        <w:t>（ 2）第 17.4 款 [ 不可抗力后果的承担 ] 中适用的不可抗力事件的情形。</w:t>
      </w:r>
    </w:p>
    <w:p>
      <w:pPr>
        <w:pStyle w:val="ListParagraph"/>
        <w:numPr>
          <w:ilvl w:val="2"/>
          <w:numId w:val="53"/>
        </w:numPr>
        <w:tabs>
          <w:tab w:pos="1071" w:val="left" w:leader="none"/>
        </w:tabs>
        <w:spacing w:line="319" w:lineRule="auto" w:before="109" w:after="0"/>
        <w:ind w:left="117" w:right="208" w:firstLine="440"/>
        <w:jc w:val="both"/>
        <w:rPr>
          <w:sz w:val="22"/>
        </w:rPr>
      </w:pPr>
      <w:r>
        <w:rPr>
          <w:color w:val="231F20"/>
          <w:spacing w:val="3"/>
          <w:sz w:val="22"/>
        </w:rPr>
        <w:t>如果承包人未能遵守发包人的指示，发包人可以自行决定请第三方完成上述修补工</w:t>
      </w:r>
      <w:r>
        <w:rPr>
          <w:color w:val="231F20"/>
          <w:sz w:val="22"/>
        </w:rPr>
        <w:t>作，并有权要求承包人支付因未履行指示而产生的所有费用，但承包人根据第 6.6.2</w:t>
      </w:r>
      <w:r>
        <w:rPr>
          <w:color w:val="231F20"/>
          <w:spacing w:val="3"/>
          <w:sz w:val="22"/>
        </w:rPr>
        <w:t> 项有权就</w:t>
      </w:r>
      <w:r>
        <w:rPr>
          <w:color w:val="231F20"/>
          <w:sz w:val="22"/>
        </w:rPr>
        <w:t>修补工作获得支付的情况除外。</w:t>
      </w:r>
    </w:p>
    <w:p>
      <w:pPr>
        <w:pStyle w:val="BodyText"/>
        <w:tabs>
          <w:tab w:pos="1009" w:val="left" w:leader="none"/>
        </w:tabs>
        <w:spacing w:before="19"/>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7</w:t>
      </w:r>
      <w:r>
        <w:rPr>
          <w:rFonts w:ascii="方正黑体_GBK" w:eastAsia="方正黑体_GBK" w:hint="eastAsia"/>
          <w:color w:val="231F20"/>
          <w:spacing w:val="-7"/>
        </w:rPr>
        <w:t> </w:t>
      </w:r>
      <w:r>
        <w:rPr>
          <w:rFonts w:ascii="方正黑体_GBK" w:eastAsia="方正黑体_GBK" w:hint="eastAsia"/>
          <w:color w:val="231F20"/>
        </w:rPr>
        <w:t>条</w:t>
        <w:tab/>
        <w:t>施工</w:t>
      </w:r>
    </w:p>
    <w:p>
      <w:pPr>
        <w:pStyle w:val="ListParagraph"/>
        <w:numPr>
          <w:ilvl w:val="1"/>
          <w:numId w:val="54"/>
        </w:numPr>
        <w:tabs>
          <w:tab w:pos="924" w:val="left" w:leader="none"/>
        </w:tabs>
        <w:spacing w:line="240" w:lineRule="auto" w:before="115" w:after="0"/>
        <w:ind w:left="923" w:right="0" w:hanging="366"/>
        <w:jc w:val="left"/>
        <w:rPr>
          <w:rFonts w:ascii="方正黑体_GBK" w:eastAsia="方正黑体_GBK" w:hint="eastAsia"/>
          <w:sz w:val="22"/>
        </w:rPr>
      </w:pPr>
      <w:r>
        <w:rPr>
          <w:rFonts w:ascii="方正黑体_GBK" w:eastAsia="方正黑体_GBK" w:hint="eastAsia"/>
          <w:color w:val="231F20"/>
          <w:sz w:val="22"/>
        </w:rPr>
        <w:t>交通运输</w:t>
      </w:r>
    </w:p>
    <w:p>
      <w:pPr>
        <w:pStyle w:val="ListParagraph"/>
        <w:numPr>
          <w:ilvl w:val="2"/>
          <w:numId w:val="54"/>
        </w:numPr>
        <w:tabs>
          <w:tab w:pos="1048" w:val="left" w:leader="none"/>
        </w:tabs>
        <w:spacing w:line="240" w:lineRule="auto" w:before="122" w:after="0"/>
        <w:ind w:left="1047" w:right="0" w:hanging="490"/>
        <w:jc w:val="left"/>
        <w:rPr>
          <w:sz w:val="22"/>
        </w:rPr>
      </w:pPr>
      <w:r>
        <w:rPr>
          <w:color w:val="231F20"/>
          <w:sz w:val="22"/>
        </w:rPr>
        <w:t>出入现场的权利</w:t>
      </w:r>
    </w:p>
    <w:p>
      <w:pPr>
        <w:pStyle w:val="BodyText"/>
        <w:spacing w:line="319" w:lineRule="auto"/>
        <w:ind w:right="214" w:firstLine="440"/>
        <w:jc w:val="both"/>
      </w:pPr>
      <w:r>
        <w:rPr>
          <w:color w:val="231F20"/>
        </w:rPr>
        <w:t>除专用合同条件另有约定外，发包人应根据工程实施需要，负责取得出入施工现场所需的批准手续和全部权利，以及取得因工程实施所需修建道路、桥梁以及其他基础设施的权利，并承担相关手续费用和建设费用。承包人应协助发包人办理修建场内外道路、桥梁以及其他基础设施的手续。</w:t>
      </w:r>
    </w:p>
    <w:p>
      <w:pPr>
        <w:pStyle w:val="ListParagraph"/>
        <w:numPr>
          <w:ilvl w:val="2"/>
          <w:numId w:val="54"/>
        </w:numPr>
        <w:tabs>
          <w:tab w:pos="1048" w:val="left" w:leader="none"/>
        </w:tabs>
        <w:spacing w:line="240" w:lineRule="auto" w:before="25" w:after="0"/>
        <w:ind w:left="1047" w:right="0" w:hanging="490"/>
        <w:jc w:val="left"/>
        <w:rPr>
          <w:sz w:val="22"/>
        </w:rPr>
      </w:pPr>
      <w:r>
        <w:rPr>
          <w:color w:val="231F20"/>
          <w:sz w:val="22"/>
        </w:rPr>
        <w:t>场外交通</w:t>
      </w:r>
    </w:p>
    <w:p>
      <w:pPr>
        <w:pStyle w:val="BodyText"/>
        <w:spacing w:line="319" w:lineRule="auto"/>
        <w:ind w:right="215" w:firstLine="440"/>
      </w:pPr>
      <w:r>
        <w:rPr>
          <w:color w:val="231F20"/>
        </w:rPr>
        <w:t>除专用合同条件另有约定外，发包人应提供场外交通设施的技术参数和具体条件，场外交通设施无法满足工程施工需要的，由发包人负责承担由此产生的相关费用。承包人应遵守有关交通法规，严格按照道路和桥梁的限制荷载行驶，执行有关道路限速、限行、禁止超载的规定，并配合交通管理部门的监督和检查。承包人车辆外出行驶所需的场外公共道路的通行费、养路费和税款等由承包人承担。</w:t>
      </w:r>
    </w:p>
    <w:p>
      <w:pPr>
        <w:spacing w:after="0" w:line="319" w:lineRule="auto"/>
        <w:sectPr>
          <w:pgSz w:w="11910" w:h="16840"/>
          <w:pgMar w:header="0" w:footer="832" w:top="1580" w:bottom="1020" w:left="1300" w:right="1200"/>
        </w:sectPr>
      </w:pPr>
    </w:p>
    <w:p>
      <w:pPr>
        <w:pStyle w:val="ListParagraph"/>
        <w:numPr>
          <w:ilvl w:val="2"/>
          <w:numId w:val="54"/>
        </w:numPr>
        <w:tabs>
          <w:tab w:pos="1148" w:val="left" w:leader="none"/>
        </w:tabs>
        <w:spacing w:line="240" w:lineRule="auto" w:before="24" w:after="0"/>
        <w:ind w:left="1147" w:right="0" w:hanging="490"/>
        <w:jc w:val="left"/>
        <w:rPr>
          <w:sz w:val="22"/>
        </w:rPr>
      </w:pPr>
      <w:r>
        <w:rPr>
          <w:color w:val="231F20"/>
          <w:sz w:val="22"/>
        </w:rPr>
        <w:t>场内交通</w:t>
      </w:r>
    </w:p>
    <w:p>
      <w:pPr>
        <w:pStyle w:val="BodyText"/>
        <w:spacing w:line="319" w:lineRule="auto"/>
        <w:ind w:left="217" w:right="210" w:firstLine="440"/>
        <w:jc w:val="both"/>
      </w:pPr>
      <w:r>
        <w:rPr>
          <w:color w:val="231F20"/>
        </w:rPr>
        <w:t>除专用合同条件另有约定外，承包人应负责修建、维修、养护和管理施工所需的临时道路和交通设施，包括维修、养护和管理发包人提供的道路和交通设施，并承担相应费用。承包人修建的临时道路和交通设施应免费提供发包人和工程师为实现合同目的使用。场内交通与场外交通的边界由合同当事人在专用合同条件中约定。</w:t>
      </w:r>
    </w:p>
    <w:p>
      <w:pPr>
        <w:pStyle w:val="ListParagraph"/>
        <w:numPr>
          <w:ilvl w:val="2"/>
          <w:numId w:val="54"/>
        </w:numPr>
        <w:tabs>
          <w:tab w:pos="1148" w:val="left" w:leader="none"/>
        </w:tabs>
        <w:spacing w:line="240" w:lineRule="auto" w:before="25" w:after="0"/>
        <w:ind w:left="1147" w:right="0" w:hanging="490"/>
        <w:jc w:val="left"/>
        <w:rPr>
          <w:sz w:val="22"/>
        </w:rPr>
      </w:pPr>
      <w:r>
        <w:rPr>
          <w:color w:val="231F20"/>
          <w:sz w:val="22"/>
        </w:rPr>
        <w:t>超大件和超重件的运输</w:t>
      </w:r>
    </w:p>
    <w:p>
      <w:pPr>
        <w:pStyle w:val="BodyText"/>
        <w:spacing w:line="319" w:lineRule="auto" w:before="108"/>
        <w:ind w:left="217" w:right="214" w:firstLine="440"/>
        <w:jc w:val="both"/>
      </w:pPr>
      <w:r>
        <w:rPr>
          <w:color w:val="231F20"/>
        </w:rPr>
        <w:t>由承包人负责运输的超大件或超重件，应由承包人负责向交通管理部门办理申请手续，发包人给予协助。运输超大件或超重件所需的道路和桥梁临时加固改造费用和其他有关费用，由承包人承担，但专用合同条件另有约定的除外。</w:t>
      </w:r>
    </w:p>
    <w:p>
      <w:pPr>
        <w:pStyle w:val="ListParagraph"/>
        <w:numPr>
          <w:ilvl w:val="2"/>
          <w:numId w:val="54"/>
        </w:numPr>
        <w:tabs>
          <w:tab w:pos="1148" w:val="left" w:leader="none"/>
        </w:tabs>
        <w:spacing w:line="240" w:lineRule="auto" w:before="25" w:after="0"/>
        <w:ind w:left="1147" w:right="0" w:hanging="490"/>
        <w:jc w:val="left"/>
        <w:rPr>
          <w:sz w:val="22"/>
        </w:rPr>
      </w:pPr>
      <w:r>
        <w:rPr>
          <w:color w:val="231F20"/>
          <w:sz w:val="22"/>
        </w:rPr>
        <w:t>道路和桥梁的损坏责任</w:t>
      </w:r>
    </w:p>
    <w:p>
      <w:pPr>
        <w:pStyle w:val="BodyText"/>
        <w:spacing w:line="319" w:lineRule="auto"/>
        <w:ind w:left="217" w:right="92" w:firstLine="440"/>
      </w:pPr>
      <w:r>
        <w:rPr>
          <w:color w:val="231F20"/>
        </w:rPr>
        <w:t>因承包人运输造成施工现场内外公共道路和桥梁损坏的，由承包人承担修复损坏的全部费用和可能引起的赔偿。</w:t>
      </w:r>
    </w:p>
    <w:p>
      <w:pPr>
        <w:pStyle w:val="ListParagraph"/>
        <w:numPr>
          <w:ilvl w:val="2"/>
          <w:numId w:val="54"/>
        </w:numPr>
        <w:tabs>
          <w:tab w:pos="1148" w:val="left" w:leader="none"/>
        </w:tabs>
        <w:spacing w:line="240" w:lineRule="auto" w:before="26" w:after="0"/>
        <w:ind w:left="1147" w:right="0" w:hanging="490"/>
        <w:jc w:val="left"/>
        <w:rPr>
          <w:sz w:val="22"/>
        </w:rPr>
      </w:pPr>
      <w:r>
        <w:rPr>
          <w:color w:val="231F20"/>
          <w:sz w:val="22"/>
        </w:rPr>
        <w:t>水路和航空运输</w:t>
      </w:r>
    </w:p>
    <w:p>
      <w:pPr>
        <w:pStyle w:val="BodyText"/>
        <w:spacing w:line="319" w:lineRule="auto"/>
        <w:ind w:left="217" w:right="210" w:firstLine="440"/>
        <w:jc w:val="both"/>
      </w:pPr>
      <w:r>
        <w:rPr>
          <w:color w:val="231F20"/>
        </w:rPr>
        <w:t>本条上述各款的内容适用于水路运输和航空运输，其中“道路”一词的涵义包括河道、航线、船闸、机场、码头、堤防以及水路或航空运输中其他相似结构物</w:t>
      </w:r>
      <w:r>
        <w:rPr>
          <w:color w:val="231F20"/>
          <w:spacing w:val="-17"/>
        </w:rPr>
        <w:t>；“车辆”一词的涵义包括船舶和飞机等。</w:t>
      </w:r>
    </w:p>
    <w:p>
      <w:pPr>
        <w:pStyle w:val="ListParagraph"/>
        <w:numPr>
          <w:ilvl w:val="1"/>
          <w:numId w:val="55"/>
        </w:numPr>
        <w:tabs>
          <w:tab w:pos="1024" w:val="left" w:leader="none"/>
        </w:tabs>
        <w:spacing w:line="240" w:lineRule="auto" w:before="19" w:after="0"/>
        <w:ind w:left="1023" w:right="0" w:hanging="366"/>
        <w:jc w:val="left"/>
        <w:rPr>
          <w:rFonts w:ascii="方正黑体_GBK" w:eastAsia="方正黑体_GBK" w:hint="eastAsia"/>
          <w:sz w:val="22"/>
        </w:rPr>
      </w:pPr>
      <w:r>
        <w:rPr>
          <w:rFonts w:ascii="方正黑体_GBK" w:eastAsia="方正黑体_GBK" w:hint="eastAsia"/>
          <w:color w:val="231F20"/>
          <w:sz w:val="22"/>
        </w:rPr>
        <w:t>施工设备和临时设施</w:t>
      </w:r>
    </w:p>
    <w:p>
      <w:pPr>
        <w:pStyle w:val="ListParagraph"/>
        <w:numPr>
          <w:ilvl w:val="2"/>
          <w:numId w:val="55"/>
        </w:numPr>
        <w:tabs>
          <w:tab w:pos="1148" w:val="left" w:leader="none"/>
        </w:tabs>
        <w:spacing w:line="240" w:lineRule="auto" w:before="121" w:after="0"/>
        <w:ind w:left="1147" w:right="0" w:hanging="490"/>
        <w:jc w:val="left"/>
        <w:rPr>
          <w:sz w:val="22"/>
        </w:rPr>
      </w:pPr>
      <w:r>
        <w:rPr>
          <w:color w:val="231F20"/>
          <w:sz w:val="22"/>
        </w:rPr>
        <w:t>承包人提供的施工设备和临时设施</w:t>
      </w:r>
    </w:p>
    <w:p>
      <w:pPr>
        <w:pStyle w:val="BodyText"/>
        <w:spacing w:line="319" w:lineRule="auto" w:before="108"/>
        <w:ind w:left="217" w:right="213" w:firstLine="440"/>
        <w:jc w:val="both"/>
      </w:pPr>
      <w:r>
        <w:rPr>
          <w:color w:val="231F20"/>
        </w:rPr>
        <w:t>承包人应按项目进度计划的要求，及时配置施工设备和修建临时设施。进入施工现场的承包人提供的施工设备需经工程师核查后才能投入使用。承包人更换合同约定由承包人提供的施工设备的，应报工程师批准。</w:t>
      </w:r>
    </w:p>
    <w:p>
      <w:pPr>
        <w:pStyle w:val="BodyText"/>
        <w:spacing w:line="319" w:lineRule="auto" w:before="25"/>
        <w:ind w:left="217" w:right="92" w:firstLine="440"/>
      </w:pPr>
      <w:r>
        <w:rPr>
          <w:color w:val="231F20"/>
        </w:rPr>
        <w:t>除专用合同条件另有约定外，承包人应自行承担修建临时设施的费用，需要临时占地的， 应由发包人办理申请手续并承担相应费用。承包人应在专用合同条件 7.2 款约定的时间内向发包人提交临时占地资料，因承包人未能按时提交资料，导致工期延误的，由此增加的费用和</w:t>
      </w:r>
    </w:p>
    <w:p>
      <w:pPr>
        <w:pStyle w:val="BodyText"/>
        <w:spacing w:before="25"/>
        <w:ind w:left="107"/>
      </w:pPr>
      <w:r>
        <w:rPr>
          <w:color w:val="231F20"/>
        </w:rPr>
        <w:t>（或）竣工日期延误，由承包人负责。</w:t>
      </w:r>
    </w:p>
    <w:p>
      <w:pPr>
        <w:pStyle w:val="ListParagraph"/>
        <w:numPr>
          <w:ilvl w:val="2"/>
          <w:numId w:val="55"/>
        </w:numPr>
        <w:tabs>
          <w:tab w:pos="1148" w:val="left" w:leader="none"/>
        </w:tabs>
        <w:spacing w:line="240" w:lineRule="auto" w:before="108" w:after="0"/>
        <w:ind w:left="1147" w:right="0" w:hanging="490"/>
        <w:jc w:val="left"/>
        <w:rPr>
          <w:sz w:val="22"/>
        </w:rPr>
      </w:pPr>
      <w:r>
        <w:rPr>
          <w:color w:val="231F20"/>
          <w:sz w:val="22"/>
        </w:rPr>
        <w:t>发包人提供的施工设备和临时设施</w:t>
      </w:r>
    </w:p>
    <w:p>
      <w:pPr>
        <w:pStyle w:val="BodyText"/>
        <w:spacing w:before="108"/>
        <w:ind w:left="657"/>
      </w:pPr>
      <w:r>
        <w:rPr>
          <w:color w:val="231F20"/>
        </w:rPr>
        <w:t>发包人提供的施工设备或临时设施在专用合同条件中约定。</w:t>
      </w:r>
    </w:p>
    <w:p>
      <w:pPr>
        <w:pStyle w:val="ListParagraph"/>
        <w:numPr>
          <w:ilvl w:val="2"/>
          <w:numId w:val="55"/>
        </w:numPr>
        <w:tabs>
          <w:tab w:pos="1148" w:val="left" w:leader="none"/>
        </w:tabs>
        <w:spacing w:line="240" w:lineRule="auto" w:before="108" w:after="0"/>
        <w:ind w:left="1147" w:right="0" w:hanging="490"/>
        <w:jc w:val="left"/>
        <w:rPr>
          <w:sz w:val="22"/>
        </w:rPr>
      </w:pPr>
      <w:r>
        <w:rPr>
          <w:color w:val="231F20"/>
          <w:sz w:val="22"/>
        </w:rPr>
        <w:t>要求承包人增加或更换施工设备</w:t>
      </w:r>
    </w:p>
    <w:p>
      <w:pPr>
        <w:pStyle w:val="BodyText"/>
        <w:spacing w:line="319" w:lineRule="auto" w:before="108"/>
        <w:ind w:left="217" w:right="216" w:firstLine="440"/>
        <w:jc w:val="both"/>
      </w:pPr>
      <w:r>
        <w:rPr>
          <w:color w:val="231F20"/>
        </w:rPr>
        <w:t>承包人使用的施工设备不能满足项目进度计划和（或）质量要求时，工程师有权要求承包人增加或更换施工设备，承包人应及时增加或更换，由此增加的费用和（或）延误的工期由承包人承担。</w:t>
      </w:r>
    </w:p>
    <w:p>
      <w:pPr>
        <w:spacing w:after="0" w:line="319" w:lineRule="auto"/>
        <w:jc w:val="both"/>
        <w:sectPr>
          <w:footerReference w:type="even" r:id="rId19"/>
          <w:footerReference w:type="default" r:id="rId20"/>
          <w:pgSz w:w="11910" w:h="16840"/>
          <w:pgMar w:footer="832" w:header="0" w:top="1580" w:bottom="1020" w:left="1200" w:right="1200"/>
        </w:sectPr>
      </w:pPr>
    </w:p>
    <w:p>
      <w:pPr>
        <w:pStyle w:val="ListParagraph"/>
        <w:numPr>
          <w:ilvl w:val="2"/>
          <w:numId w:val="55"/>
        </w:numPr>
        <w:tabs>
          <w:tab w:pos="1048" w:val="left" w:leader="none"/>
        </w:tabs>
        <w:spacing w:line="240" w:lineRule="auto" w:before="24" w:after="0"/>
        <w:ind w:left="1047" w:right="0" w:hanging="490"/>
        <w:jc w:val="left"/>
        <w:rPr>
          <w:sz w:val="22"/>
        </w:rPr>
      </w:pPr>
      <w:r>
        <w:rPr>
          <w:color w:val="231F20"/>
          <w:sz w:val="22"/>
        </w:rPr>
        <w:t>施工设备和临时设施专用于合同工程</w:t>
      </w:r>
    </w:p>
    <w:p>
      <w:pPr>
        <w:pStyle w:val="BodyText"/>
        <w:spacing w:line="319" w:lineRule="auto"/>
        <w:ind w:right="212" w:firstLine="440"/>
        <w:jc w:val="both"/>
      </w:pPr>
      <w:r>
        <w:rPr>
          <w:color w:val="231F20"/>
        </w:rPr>
        <w:t>承包人运入施工现场的施工设备以及在施工现场建设的临时设施必须专用于工程。未经发包人批准，承包人不得运出施工现场或挪作他用；经发包人批准，承包人可以根据施工进度计划撤走闲置的施工设备和其他物品。</w:t>
      </w:r>
    </w:p>
    <w:p>
      <w:pPr>
        <w:pStyle w:val="ListParagraph"/>
        <w:numPr>
          <w:ilvl w:val="1"/>
          <w:numId w:val="56"/>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现场合作</w:t>
      </w:r>
    </w:p>
    <w:p>
      <w:pPr>
        <w:pStyle w:val="BodyText"/>
        <w:spacing w:line="319" w:lineRule="auto" w:before="121"/>
        <w:ind w:right="214" w:firstLine="440"/>
        <w:jc w:val="both"/>
      </w:pPr>
      <w:r>
        <w:rPr>
          <w:color w:val="231F20"/>
        </w:rPr>
        <w:t>承包人应按合同约定或发包人的指示，与发包人人员、发包人的其他承包人等人员就在现场或附近实施与工程有关的各项工作进行合作并提供适当条件，包括使用承包人设备、临时工程或进入现场等。</w:t>
      </w:r>
    </w:p>
    <w:p>
      <w:pPr>
        <w:pStyle w:val="BodyText"/>
        <w:spacing w:line="319" w:lineRule="auto" w:before="25"/>
        <w:ind w:right="217" w:firstLine="440"/>
        <w:jc w:val="both"/>
      </w:pPr>
      <w:r>
        <w:rPr>
          <w:color w:val="231F20"/>
        </w:rPr>
        <w:t>承包人应对其在现场的施工活动负责，并应尽合理努力按合同约定或发包人的指示，协调自身与发包人人员、发包人的其他承包人等人员的活动。</w:t>
      </w:r>
    </w:p>
    <w:p>
      <w:pPr>
        <w:pStyle w:val="BodyText"/>
        <w:spacing w:line="319" w:lineRule="auto" w:before="25"/>
        <w:ind w:right="210" w:firstLine="440"/>
        <w:jc w:val="both"/>
      </w:pPr>
      <w:r>
        <w:rPr>
          <w:color w:val="231F20"/>
        </w:rPr>
        <w:t>除专用合同条件另有约定外，如果承包人提供上述合作、条件或协调在考虑到《发包人要求》所列内容的情况下是不可预见的，则承包人有权就额外费用和合理利润从发包人处获得支付，且因此延误的工期应相应顺延。</w:t>
      </w:r>
    </w:p>
    <w:p>
      <w:pPr>
        <w:pStyle w:val="ListParagraph"/>
        <w:numPr>
          <w:ilvl w:val="1"/>
          <w:numId w:val="56"/>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测量放线</w:t>
      </w:r>
    </w:p>
    <w:p>
      <w:pPr>
        <w:pStyle w:val="ListParagraph"/>
        <w:numPr>
          <w:ilvl w:val="2"/>
          <w:numId w:val="56"/>
        </w:numPr>
        <w:tabs>
          <w:tab w:pos="1049" w:val="left" w:leader="none"/>
        </w:tabs>
        <w:spacing w:line="319" w:lineRule="auto" w:before="122" w:after="0"/>
        <w:ind w:left="117" w:right="215" w:firstLine="440"/>
        <w:jc w:val="both"/>
        <w:rPr>
          <w:sz w:val="22"/>
        </w:rPr>
      </w:pPr>
      <w:r>
        <w:rPr>
          <w:color w:val="231F20"/>
          <w:sz w:val="22"/>
        </w:rPr>
        <w:t>除专用合同条件另有约定外，承包人应根据国家测绘基准、测绘系统和工程测量技术规范，按基准点（线）以及合同工程精度要求，测设施工控制网，并在专用合同条件约定的期限内，将施工控制网资料报送工程师。</w:t>
      </w:r>
    </w:p>
    <w:p>
      <w:pPr>
        <w:pStyle w:val="ListParagraph"/>
        <w:numPr>
          <w:ilvl w:val="2"/>
          <w:numId w:val="56"/>
        </w:numPr>
        <w:tabs>
          <w:tab w:pos="1068" w:val="left" w:leader="none"/>
        </w:tabs>
        <w:spacing w:line="319" w:lineRule="auto" w:before="26" w:after="0"/>
        <w:ind w:left="117" w:right="107" w:firstLine="440"/>
        <w:jc w:val="both"/>
        <w:rPr>
          <w:sz w:val="22"/>
        </w:rPr>
      </w:pPr>
      <w:r>
        <w:rPr>
          <w:color w:val="231F20"/>
          <w:sz w:val="22"/>
        </w:rPr>
        <w:t>承包人应负责管理施工控制网点。施工控制网点丢失或损坏的，承包人应及时修复。承包人应承担施工控制网点的管理与修复费用，并在工程竣工后将施工控制网点移交发包人。承包人负责对工程、单位 / 区段工程、施工部位放线，并对放线的准确性负责。</w:t>
      </w:r>
    </w:p>
    <w:p>
      <w:pPr>
        <w:pStyle w:val="ListParagraph"/>
        <w:numPr>
          <w:ilvl w:val="2"/>
          <w:numId w:val="56"/>
        </w:numPr>
        <w:tabs>
          <w:tab w:pos="1071" w:val="left" w:leader="none"/>
        </w:tabs>
        <w:spacing w:line="319" w:lineRule="auto" w:before="26" w:after="0"/>
        <w:ind w:left="117" w:right="210" w:firstLine="440"/>
        <w:jc w:val="both"/>
        <w:rPr>
          <w:sz w:val="22"/>
        </w:rPr>
      </w:pPr>
      <w:r>
        <w:rPr>
          <w:color w:val="231F20"/>
          <w:spacing w:val="2"/>
          <w:sz w:val="22"/>
        </w:rPr>
        <w:t>承包人负责施工过程中的全部施工测量放线工作，并配置具有相应资质的人员、合</w:t>
      </w:r>
      <w:r>
        <w:rPr>
          <w:color w:val="231F20"/>
          <w:sz w:val="22"/>
        </w:rPr>
        <w:t>格的仪器、设备和其他物品。承包人应矫正工程的位置、标高、尺寸或基准线中出现的任何差错，并对工程各部分的定位负责。施工过程中对施工现场内水准点等测量标志物的保护工作由承包人负责。</w:t>
      </w:r>
    </w:p>
    <w:p>
      <w:pPr>
        <w:pStyle w:val="ListParagraph"/>
        <w:numPr>
          <w:ilvl w:val="1"/>
          <w:numId w:val="57"/>
        </w:numPr>
        <w:tabs>
          <w:tab w:pos="924" w:val="left" w:leader="none"/>
        </w:tabs>
        <w:spacing w:line="240" w:lineRule="auto" w:before="20" w:after="0"/>
        <w:ind w:left="923" w:right="0" w:hanging="366"/>
        <w:jc w:val="left"/>
        <w:rPr>
          <w:rFonts w:ascii="方正黑体_GBK" w:eastAsia="方正黑体_GBK" w:hint="eastAsia"/>
          <w:sz w:val="22"/>
        </w:rPr>
      </w:pPr>
      <w:r>
        <w:rPr>
          <w:rFonts w:ascii="方正黑体_GBK" w:eastAsia="方正黑体_GBK" w:hint="eastAsia"/>
          <w:color w:val="231F20"/>
          <w:sz w:val="22"/>
        </w:rPr>
        <w:t>现场劳动用工</w:t>
      </w:r>
    </w:p>
    <w:p>
      <w:pPr>
        <w:pStyle w:val="ListParagraph"/>
        <w:numPr>
          <w:ilvl w:val="2"/>
          <w:numId w:val="57"/>
        </w:numPr>
        <w:tabs>
          <w:tab w:pos="1049" w:val="left" w:leader="none"/>
        </w:tabs>
        <w:spacing w:line="319" w:lineRule="auto" w:before="122" w:after="0"/>
        <w:ind w:left="117" w:right="214" w:firstLine="440"/>
        <w:jc w:val="both"/>
        <w:rPr>
          <w:sz w:val="22"/>
        </w:rPr>
      </w:pPr>
      <w:r>
        <w:rPr>
          <w:color w:val="231F20"/>
          <w:sz w:val="22"/>
        </w:rPr>
        <w:t>承包人及其分包人招用建筑工人的，应当依法与所招用的建筑工人订立劳动合同，实行建筑工人劳动用工实名制管理，承包人应当按照有关规定开设建筑工人工资专用账户、存储工资保证金，专项用于支付和保障该工程建设项目建筑工人工资。</w:t>
      </w:r>
    </w:p>
    <w:p>
      <w:pPr>
        <w:pStyle w:val="ListParagraph"/>
        <w:numPr>
          <w:ilvl w:val="2"/>
          <w:numId w:val="57"/>
        </w:numPr>
        <w:tabs>
          <w:tab w:pos="1049" w:val="left" w:leader="none"/>
        </w:tabs>
        <w:spacing w:line="319" w:lineRule="auto" w:before="25" w:after="0"/>
        <w:ind w:left="117" w:right="211" w:firstLine="440"/>
        <w:jc w:val="both"/>
        <w:rPr>
          <w:sz w:val="22"/>
        </w:rPr>
      </w:pPr>
      <w:r>
        <w:rPr>
          <w:color w:val="231F20"/>
          <w:sz w:val="22"/>
        </w:rPr>
        <w:t>承包人应当在工程项目部配备劳资专管员，对分包单位劳动用工及工资发放实施监督管理。承包人拖欠建筑工人工资的 , 应当依法予以清偿。分包人拖欠建筑工人工资的 , 由承包人先行清偿 , 再依法进行追偿。因发包人未按照合同约定及时拨付工程款导致建筑工人工资拖</w:t>
      </w:r>
    </w:p>
    <w:p>
      <w:pPr>
        <w:spacing w:after="0" w:line="319" w:lineRule="auto"/>
        <w:jc w:val="both"/>
        <w:rPr>
          <w:sz w:val="22"/>
        </w:rPr>
        <w:sectPr>
          <w:pgSz w:w="11910" w:h="16840"/>
          <w:pgMar w:header="0" w:footer="832" w:top="1580" w:bottom="1020" w:left="1300" w:right="1200"/>
        </w:sectPr>
      </w:pPr>
    </w:p>
    <w:p>
      <w:pPr>
        <w:pStyle w:val="BodyText"/>
        <w:spacing w:line="319" w:lineRule="auto" w:before="24"/>
        <w:ind w:right="215"/>
      </w:pPr>
      <w:r>
        <w:rPr>
          <w:color w:val="231F20"/>
        </w:rPr>
        <w:t>欠的，发包人应当以未结清的工程款为限先行垫付被拖欠的建筑工人工资。合同当事人可在专用合同条件中约定具体的清偿事宜和违约责任。</w:t>
      </w:r>
    </w:p>
    <w:p>
      <w:pPr>
        <w:pStyle w:val="ListParagraph"/>
        <w:numPr>
          <w:ilvl w:val="2"/>
          <w:numId w:val="57"/>
        </w:numPr>
        <w:tabs>
          <w:tab w:pos="1048" w:val="left" w:leader="none"/>
        </w:tabs>
        <w:spacing w:line="240" w:lineRule="auto" w:before="26" w:after="0"/>
        <w:ind w:left="1047" w:right="0" w:hanging="490"/>
        <w:jc w:val="left"/>
        <w:rPr>
          <w:sz w:val="22"/>
        </w:rPr>
      </w:pPr>
      <w:r>
        <w:rPr>
          <w:color w:val="231F20"/>
          <w:sz w:val="22"/>
        </w:rPr>
        <w:t>承包人应当按照相关法律法规的要求，进行劳动用工管理和建筑工人工资支付。</w:t>
      </w:r>
    </w:p>
    <w:p>
      <w:pPr>
        <w:pStyle w:val="ListParagraph"/>
        <w:numPr>
          <w:ilvl w:val="1"/>
          <w:numId w:val="58"/>
        </w:numPr>
        <w:tabs>
          <w:tab w:pos="924" w:val="left" w:leader="none"/>
        </w:tabs>
        <w:spacing w:line="240" w:lineRule="auto" w:before="103" w:after="0"/>
        <w:ind w:left="923" w:right="0" w:hanging="366"/>
        <w:jc w:val="left"/>
        <w:rPr>
          <w:rFonts w:ascii="方正黑体_GBK" w:eastAsia="方正黑体_GBK" w:hint="eastAsia"/>
          <w:sz w:val="22"/>
        </w:rPr>
      </w:pPr>
      <w:r>
        <w:rPr>
          <w:rFonts w:ascii="方正黑体_GBK" w:eastAsia="方正黑体_GBK" w:hint="eastAsia"/>
          <w:color w:val="231F20"/>
          <w:sz w:val="22"/>
        </w:rPr>
        <w:t>安全文明施工</w:t>
      </w:r>
    </w:p>
    <w:p>
      <w:pPr>
        <w:pStyle w:val="ListParagraph"/>
        <w:numPr>
          <w:ilvl w:val="2"/>
          <w:numId w:val="58"/>
        </w:numPr>
        <w:tabs>
          <w:tab w:pos="1048" w:val="left" w:leader="none"/>
        </w:tabs>
        <w:spacing w:line="240" w:lineRule="auto" w:before="122" w:after="0"/>
        <w:ind w:left="1047" w:right="0" w:hanging="490"/>
        <w:jc w:val="left"/>
        <w:rPr>
          <w:sz w:val="22"/>
        </w:rPr>
      </w:pPr>
      <w:r>
        <w:rPr>
          <w:color w:val="231F20"/>
          <w:sz w:val="22"/>
        </w:rPr>
        <w:t>安全生产要求</w:t>
      </w:r>
    </w:p>
    <w:p>
      <w:pPr>
        <w:pStyle w:val="BodyText"/>
        <w:spacing w:line="319" w:lineRule="auto"/>
        <w:ind w:right="214" w:firstLine="440"/>
        <w:jc w:val="both"/>
      </w:pPr>
      <w:r>
        <w:rPr>
          <w:color w:val="231F20"/>
        </w:rPr>
        <w:t>合同履行期间，合同当事人均应当遵守国家和工程所在地有关安全生产的要求，合同当事人有特别要求的，应在专用合同条件中明确安全生产标准化目标及相应事项。承包人有权拒绝发包人及工程师强令承包人违章作业、冒险施工的任何指示。</w:t>
      </w:r>
    </w:p>
    <w:p>
      <w:pPr>
        <w:pStyle w:val="BodyText"/>
        <w:spacing w:line="319" w:lineRule="auto" w:before="25"/>
        <w:ind w:right="216" w:firstLine="440"/>
        <w:jc w:val="both"/>
      </w:pPr>
      <w:r>
        <w:rPr>
          <w:color w:val="231F20"/>
        </w:rPr>
        <w:t>在工程实施过程中，如遇到突发的地质变动、事先未知的地下施工障碍等影响施工安全的紧急情况，承包人应及时报告工程师和发包人，发包人应当及时下令停工并采取应急措施，按照相关法律法规的要求需上报政府有关行政管理部门的，应依法上报。</w:t>
      </w:r>
    </w:p>
    <w:p>
      <w:pPr>
        <w:pStyle w:val="BodyText"/>
        <w:spacing w:before="25"/>
        <w:ind w:left="557"/>
      </w:pPr>
      <w:r>
        <w:rPr>
          <w:color w:val="231F20"/>
        </w:rPr>
        <w:t>因安全生产需要暂停施工的，按照第 8.9 款 [ 暂停工作 ] 的约定执行。</w:t>
      </w:r>
    </w:p>
    <w:p>
      <w:pPr>
        <w:pStyle w:val="ListParagraph"/>
        <w:numPr>
          <w:ilvl w:val="2"/>
          <w:numId w:val="58"/>
        </w:numPr>
        <w:tabs>
          <w:tab w:pos="1048" w:val="left" w:leader="none"/>
        </w:tabs>
        <w:spacing w:line="240" w:lineRule="auto" w:before="109" w:after="0"/>
        <w:ind w:left="1047" w:right="0" w:hanging="490"/>
        <w:jc w:val="left"/>
        <w:rPr>
          <w:sz w:val="22"/>
        </w:rPr>
      </w:pPr>
      <w:r>
        <w:rPr>
          <w:color w:val="231F20"/>
          <w:sz w:val="22"/>
        </w:rPr>
        <w:t>安全生产保证措施</w:t>
      </w:r>
    </w:p>
    <w:p>
      <w:pPr>
        <w:pStyle w:val="BodyText"/>
        <w:spacing w:line="319" w:lineRule="auto"/>
        <w:ind w:right="214" w:firstLine="440"/>
        <w:jc w:val="both"/>
      </w:pPr>
      <w:r>
        <w:rPr>
          <w:color w:val="231F20"/>
        </w:rPr>
        <w:t>承包人应当按照法律、法规和工程建设强制性标准进行设计、在设计文件中注明涉及施工安全的重点部位和环节，提出保障施工作业人员和预防安全事故的措施建议，防止因设计不合理导致生产安全事故的发生。</w:t>
      </w:r>
    </w:p>
    <w:p>
      <w:pPr>
        <w:pStyle w:val="BodyText"/>
        <w:spacing w:line="319" w:lineRule="auto" w:before="25"/>
        <w:ind w:right="215" w:firstLine="440"/>
      </w:pPr>
      <w:r>
        <w:rPr>
          <w:color w:val="231F20"/>
        </w:rPr>
        <w:t>承包人应当按照有关规定编制安全技术措施或者专项施工方案，建立安全生产责任制度、治安保卫制度及安全生产教育培训制度，并按安全生产法律规定及合同约定履行安全职责，如实编制工程安全生产的有关记录，接受发包人、工程师及政府安全监督部门的检查与监督。</w:t>
      </w:r>
    </w:p>
    <w:p>
      <w:pPr>
        <w:pStyle w:val="BodyText"/>
        <w:spacing w:line="319" w:lineRule="auto" w:before="25"/>
        <w:ind w:right="209" w:firstLine="440"/>
        <w:jc w:val="both"/>
      </w:pPr>
      <w:r>
        <w:rPr>
          <w:color w:val="231F20"/>
        </w:rPr>
        <w:t>承包人应按照法律规定进行施工，开工前做好安全技术交底工作，施工过程中做好各项安全防护措施。承包人为实施合同而雇用的特殊工种的人员应受过专门的培训并已取得政府有关管理机构颁发的上岗证书。承包人应加强施工作业安全管理，特别应加强对于易燃、易爆材料、火工器材、有毒与腐蚀性材料和其他危险品的管理，以及对爆破作业和地下工程施工等危险作业的管理。</w:t>
      </w:r>
    </w:p>
    <w:p>
      <w:pPr>
        <w:pStyle w:val="ListParagraph"/>
        <w:numPr>
          <w:ilvl w:val="2"/>
          <w:numId w:val="58"/>
        </w:numPr>
        <w:tabs>
          <w:tab w:pos="1048" w:val="left" w:leader="none"/>
        </w:tabs>
        <w:spacing w:line="240" w:lineRule="auto" w:before="25" w:after="0"/>
        <w:ind w:left="1047" w:right="0" w:hanging="490"/>
        <w:jc w:val="left"/>
        <w:rPr>
          <w:sz w:val="22"/>
        </w:rPr>
      </w:pPr>
      <w:r>
        <w:rPr>
          <w:color w:val="231F20"/>
          <w:sz w:val="22"/>
        </w:rPr>
        <w:t>文明施工</w:t>
      </w:r>
    </w:p>
    <w:p>
      <w:pPr>
        <w:pStyle w:val="BodyText"/>
        <w:spacing w:line="319" w:lineRule="auto"/>
        <w:ind w:right="215" w:firstLine="440"/>
      </w:pPr>
      <w:r>
        <w:rPr>
          <w:color w:val="231F20"/>
        </w:rPr>
        <w:t>承包人在工程施工期间，应当采取措施保持施工现场平整，物料堆放整齐。工程所在地有关政府行政管理部门有特殊要求的，按照其要求执行。合同当事人对文明施工有其他要求的， 可以在专用合同条件中明确。</w:t>
      </w:r>
    </w:p>
    <w:p>
      <w:pPr>
        <w:pStyle w:val="BodyText"/>
        <w:spacing w:line="319" w:lineRule="auto" w:before="26"/>
        <w:ind w:right="210" w:firstLine="440"/>
        <w:jc w:val="both"/>
      </w:pPr>
      <w:r>
        <w:rPr>
          <w:color w:val="231F20"/>
        </w:rPr>
        <w:t>在工程移交之前，承包人应当从施工现场清除承包人的全部工程设备、多余材料、垃圾和各种临时工程，并保持施工现场清洁整齐。经发包人书面同意，承包人可在发包人指定的地点保留承包人履行保修期内的各项义务所需要的材料、施工设备和临时工程。</w:t>
      </w:r>
    </w:p>
    <w:p>
      <w:pPr>
        <w:spacing w:after="0" w:line="319" w:lineRule="auto"/>
        <w:jc w:val="both"/>
        <w:sectPr>
          <w:footerReference w:type="even" r:id="rId21"/>
          <w:footerReference w:type="default" r:id="rId22"/>
          <w:pgSz w:w="11910" w:h="16840"/>
          <w:pgMar w:footer="832" w:header="0" w:top="1580" w:bottom="1020" w:left="1300" w:right="1200"/>
          <w:pgNumType w:start="42"/>
        </w:sectPr>
      </w:pPr>
    </w:p>
    <w:p>
      <w:pPr>
        <w:pStyle w:val="ListParagraph"/>
        <w:numPr>
          <w:ilvl w:val="2"/>
          <w:numId w:val="58"/>
        </w:numPr>
        <w:tabs>
          <w:tab w:pos="1048" w:val="left" w:leader="none"/>
        </w:tabs>
        <w:spacing w:line="240" w:lineRule="auto" w:before="24" w:after="0"/>
        <w:ind w:left="1047" w:right="0" w:hanging="490"/>
        <w:jc w:val="left"/>
        <w:rPr>
          <w:sz w:val="22"/>
        </w:rPr>
      </w:pPr>
      <w:r>
        <w:rPr>
          <w:color w:val="231F20"/>
          <w:sz w:val="22"/>
        </w:rPr>
        <w:t>事故处理</w:t>
      </w:r>
    </w:p>
    <w:p>
      <w:pPr>
        <w:pStyle w:val="BodyText"/>
        <w:spacing w:line="319" w:lineRule="auto"/>
        <w:ind w:right="216" w:firstLine="440"/>
        <w:jc w:val="both"/>
      </w:pPr>
      <w:r>
        <w:rPr>
          <w:color w:val="231F20"/>
        </w:rPr>
        <w:t>工程实施过程中发生事故的，承包人应立即通知工程师。发包人和承包人应立即组织人员和设备进行紧急抢救和抢修，减少人员伤亡和财产损失，防止事故扩大，并保护事故现场。需要移动现场物品时，应作出标记和书面记录，妥善保管有关证据。发包人和承包人应按国家有关规定，及时如实地向有关部门报告事故发生的情况，以及正在采取的紧急措施等。</w:t>
      </w:r>
    </w:p>
    <w:p>
      <w:pPr>
        <w:pStyle w:val="BodyText"/>
        <w:spacing w:line="319" w:lineRule="auto" w:before="25"/>
        <w:ind w:right="105" w:firstLine="440"/>
        <w:jc w:val="both"/>
      </w:pPr>
      <w:r>
        <w:rPr>
          <w:color w:val="231F20"/>
        </w:rPr>
        <w:t>在工程实施期间或缺陷责任期内发生危及工程安全的事件，工程师通知承包人进行抢救和抢修，承包人声明无能力或不愿立即执行的，发包人有权雇佣其他人员进行抢救和抢修。此类</w:t>
      </w:r>
      <w:r>
        <w:rPr>
          <w:color w:val="231F20"/>
          <w:spacing w:val="-2"/>
        </w:rPr>
        <w:t>抢救和抢修按合同约定属于承包人义务的，由此增加的费用和</w:t>
      </w:r>
      <w:r>
        <w:rPr>
          <w:color w:val="231F20"/>
        </w:rPr>
        <w:t>（或</w:t>
      </w:r>
      <w:r>
        <w:rPr>
          <w:color w:val="231F20"/>
          <w:spacing w:val="-30"/>
        </w:rPr>
        <w:t>）</w:t>
      </w:r>
      <w:r>
        <w:rPr>
          <w:color w:val="231F20"/>
        </w:rPr>
        <w:t>延误的工期由承包人承担。</w:t>
      </w:r>
    </w:p>
    <w:p>
      <w:pPr>
        <w:pStyle w:val="ListParagraph"/>
        <w:numPr>
          <w:ilvl w:val="2"/>
          <w:numId w:val="58"/>
        </w:numPr>
        <w:tabs>
          <w:tab w:pos="1048" w:val="left" w:leader="none"/>
        </w:tabs>
        <w:spacing w:line="240" w:lineRule="auto" w:before="25" w:after="0"/>
        <w:ind w:left="1047" w:right="0" w:hanging="490"/>
        <w:jc w:val="left"/>
        <w:rPr>
          <w:sz w:val="22"/>
        </w:rPr>
      </w:pPr>
      <w:r>
        <w:rPr>
          <w:color w:val="231F20"/>
          <w:sz w:val="22"/>
        </w:rPr>
        <w:t>安全生产责任</w:t>
      </w:r>
    </w:p>
    <w:p>
      <w:pPr>
        <w:pStyle w:val="BodyText"/>
        <w:ind w:left="557"/>
      </w:pPr>
      <w:r>
        <w:rPr>
          <w:color w:val="231F20"/>
        </w:rPr>
        <w:t>发包人应负责赔偿以下各种情况造成的损失：</w:t>
      </w:r>
    </w:p>
    <w:p>
      <w:pPr>
        <w:pStyle w:val="BodyText"/>
        <w:ind w:left="447"/>
      </w:pPr>
      <w:r>
        <w:rPr>
          <w:color w:val="231F20"/>
        </w:rPr>
        <w:t>（ 1）工程或工程的任何部分对土地的占用所造成的第三者财产损失；</w:t>
      </w:r>
    </w:p>
    <w:p>
      <w:pPr>
        <w:pStyle w:val="BodyText"/>
        <w:spacing w:line="319" w:lineRule="auto"/>
        <w:ind w:right="199" w:firstLine="330"/>
      </w:pPr>
      <w:r>
        <w:rPr>
          <w:color w:val="231F20"/>
        </w:rPr>
        <w:t>（ 2）由于发包人原因在施工现场及其毗邻地带、履行合同工作中造成的第三者人身伤亡和财产损失；</w:t>
      </w:r>
    </w:p>
    <w:p>
      <w:pPr>
        <w:pStyle w:val="BodyText"/>
        <w:spacing w:before="26"/>
        <w:ind w:left="447"/>
      </w:pPr>
      <w:r>
        <w:rPr>
          <w:color w:val="231F20"/>
        </w:rPr>
        <w:t>（ 3）由于发包人原因对发包人自身、承包人、工程师造成的人身伤害和财产损失。</w:t>
      </w:r>
    </w:p>
    <w:p>
      <w:pPr>
        <w:pStyle w:val="BodyText"/>
        <w:spacing w:line="319" w:lineRule="auto"/>
        <w:ind w:right="215" w:firstLine="440"/>
      </w:pPr>
      <w:r>
        <w:rPr>
          <w:color w:val="231F20"/>
        </w:rPr>
        <w:t>承包人应负责赔偿由于承包人原因在施工现场及其毗邻地带、履行合同工作中造成的第三者人身伤亡和财产损失。</w:t>
      </w:r>
    </w:p>
    <w:p>
      <w:pPr>
        <w:pStyle w:val="BodyText"/>
        <w:spacing w:before="25"/>
        <w:ind w:left="557"/>
      </w:pPr>
      <w:r>
        <w:rPr>
          <w:color w:val="231F20"/>
        </w:rPr>
        <w:t>如果上述损失是由于发包人和承包人共同原因导致的，则双方应根据过错情况按比例承担。</w:t>
      </w:r>
    </w:p>
    <w:p>
      <w:pPr>
        <w:pStyle w:val="ListParagraph"/>
        <w:numPr>
          <w:ilvl w:val="1"/>
          <w:numId w:val="59"/>
        </w:numPr>
        <w:tabs>
          <w:tab w:pos="924" w:val="left" w:leader="none"/>
        </w:tabs>
        <w:spacing w:line="240" w:lineRule="auto" w:before="102" w:after="0"/>
        <w:ind w:left="923" w:right="0" w:hanging="366"/>
        <w:jc w:val="left"/>
        <w:rPr>
          <w:rFonts w:ascii="方正黑体_GBK" w:eastAsia="方正黑体_GBK" w:hint="eastAsia"/>
          <w:sz w:val="22"/>
        </w:rPr>
      </w:pPr>
      <w:r>
        <w:rPr>
          <w:rFonts w:ascii="方正黑体_GBK" w:eastAsia="方正黑体_GBK" w:hint="eastAsia"/>
          <w:color w:val="231F20"/>
          <w:sz w:val="22"/>
        </w:rPr>
        <w:t>职业健康</w:t>
      </w:r>
    </w:p>
    <w:p>
      <w:pPr>
        <w:pStyle w:val="BodyText"/>
        <w:spacing w:line="319" w:lineRule="auto" w:before="121"/>
        <w:ind w:right="215" w:firstLine="440"/>
      </w:pPr>
      <w:r>
        <w:rPr>
          <w:color w:val="231F20"/>
        </w:rPr>
        <w:t>承包人应遵守适用的职业健康的法律和合同约定（包括对雇用、职业健康、安全、福利等方面的规定</w:t>
      </w:r>
      <w:r>
        <w:rPr>
          <w:color w:val="231F20"/>
          <w:spacing w:val="-110"/>
        </w:rPr>
        <w:t>）</w:t>
      </w:r>
      <w:r>
        <w:rPr>
          <w:color w:val="231F20"/>
        </w:rPr>
        <w:t>，负责现场实施过程中其人员的职业健康和保护，包括：</w:t>
      </w:r>
    </w:p>
    <w:p>
      <w:pPr>
        <w:pStyle w:val="BodyText"/>
        <w:spacing w:line="319" w:lineRule="auto" w:before="25"/>
        <w:ind w:right="210" w:firstLine="330"/>
        <w:jc w:val="both"/>
      </w:pPr>
      <w:r>
        <w:rPr>
          <w:color w:val="231F20"/>
        </w:rPr>
        <w:t>（ 1）承包人应遵守适用的劳动法规，保护承包人员工及承包人聘用的第三方人员的合法休假权等合法权益，按照法律规定安排现场施工人员的劳动和休息时间，保障劳动者的休息时间，并支付合理的报酬和费用。因工程施工的特殊需要占用休假日或延长工作时间的，应不超过法律规定的限度，并按法律规定给予补休或酬劳。</w:t>
      </w:r>
    </w:p>
    <w:p>
      <w:pPr>
        <w:pStyle w:val="BodyText"/>
        <w:spacing w:line="319" w:lineRule="auto" w:before="25"/>
        <w:ind w:right="105" w:firstLine="330"/>
      </w:pPr>
      <w:r>
        <w:rPr>
          <w:color w:val="231F20"/>
        </w:rPr>
        <w:t>（ 2）承包人应依法为承包人员工及承包人聘用的第三方人员办理必要的证件、许可、保险和注册等，承包人应督促其分包人为分包人员工及分包人聘用的第三方人员办理必要的证件、许可、保险和注册等。承包人应为其履行合同所雇用的人员提供必要的膳宿条件和生活环境， 必要的现场食宿条件。</w:t>
      </w:r>
    </w:p>
    <w:p>
      <w:pPr>
        <w:pStyle w:val="BodyText"/>
        <w:spacing w:line="319" w:lineRule="auto" w:before="25"/>
        <w:ind w:right="214" w:firstLine="330"/>
        <w:jc w:val="both"/>
      </w:pPr>
      <w:r>
        <w:rPr>
          <w:color w:val="231F20"/>
        </w:rPr>
        <w:t>（ 3）承包人应对其施工人员进行相关作业的职业健康知识培训、危险及危害因素交底、安全操作规程交底、采取有效措施，按有关规定为其现场人员提供劳动保护用品、防护器具、防暑降温用品和安全生产设施。采取有效的防止粉尘、降低噪声、控制有害气体和保障高温、高</w:t>
      </w:r>
    </w:p>
    <w:p>
      <w:pPr>
        <w:spacing w:after="0" w:line="319" w:lineRule="auto"/>
        <w:jc w:val="both"/>
        <w:sectPr>
          <w:pgSz w:w="11910" w:h="16840"/>
          <w:pgMar w:header="0" w:footer="832" w:top="1580" w:bottom="1020" w:left="1300" w:right="1200"/>
        </w:sectPr>
      </w:pPr>
    </w:p>
    <w:p>
      <w:pPr>
        <w:pStyle w:val="BodyText"/>
        <w:spacing w:before="24"/>
      </w:pPr>
      <w:r>
        <w:rPr>
          <w:color w:val="231F20"/>
        </w:rPr>
        <w:t>寒、高空作业安全等劳动保护措施。</w:t>
      </w:r>
    </w:p>
    <w:p>
      <w:pPr>
        <w:pStyle w:val="BodyText"/>
        <w:spacing w:line="319" w:lineRule="auto"/>
        <w:ind w:right="105" w:firstLine="330"/>
      </w:pPr>
      <w:r>
        <w:rPr>
          <w:color w:val="231F20"/>
        </w:rPr>
        <w:t>（ 4）承包人应在有毒有害作业区域设置警示标志和说明，对有毒有害岗位进行防治检查， 对不合格的防护设施、器具、搭设等及时整改，消除危害职业健康的隐患。发包人人员和工程师人员未经承包人允许、未配备相关保护器具，进入该作业区域所造成的伤害，由发包人承担责任和费用。</w:t>
      </w:r>
    </w:p>
    <w:p>
      <w:pPr>
        <w:pStyle w:val="BodyText"/>
        <w:spacing w:line="319" w:lineRule="auto" w:before="25"/>
        <w:ind w:right="212" w:firstLine="330"/>
        <w:jc w:val="both"/>
      </w:pPr>
      <w:r>
        <w:rPr>
          <w:color w:val="231F20"/>
        </w:rPr>
        <w:t>（ 5）承包人应采取有效措施预防传染病，保持食堂的饮食卫生，保证施工人员的健康，并定期对施工现场、施工人员生活基地和工程进行防疫和卫生的专业检查和处理 , 在远离城镇的施工现场，还应配备必要的伤病防治和急救的医务人员与医疗设施。承包人雇佣人员在施工中受到伤害的，承包人应立即采取有效措施进行抢救和治疗。</w:t>
      </w:r>
    </w:p>
    <w:p>
      <w:pPr>
        <w:pStyle w:val="ListParagraph"/>
        <w:numPr>
          <w:ilvl w:val="1"/>
          <w:numId w:val="59"/>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环境保护</w:t>
      </w:r>
    </w:p>
    <w:p>
      <w:pPr>
        <w:pStyle w:val="ListParagraph"/>
        <w:numPr>
          <w:ilvl w:val="2"/>
          <w:numId w:val="59"/>
        </w:numPr>
        <w:tabs>
          <w:tab w:pos="1072" w:val="left" w:leader="none"/>
        </w:tabs>
        <w:spacing w:line="319" w:lineRule="auto" w:before="122" w:after="0"/>
        <w:ind w:left="117" w:right="99" w:firstLine="440"/>
        <w:jc w:val="left"/>
        <w:rPr>
          <w:sz w:val="22"/>
        </w:rPr>
      </w:pPr>
      <w:r>
        <w:rPr>
          <w:color w:val="231F20"/>
          <w:spacing w:val="0"/>
          <w:sz w:val="22"/>
        </w:rPr>
        <w:t>承包人负责在现场施工过程中对现场周围的建筑物、构筑物、文物建筑、古树、名</w:t>
      </w:r>
      <w:r>
        <w:rPr>
          <w:color w:val="231F20"/>
          <w:sz w:val="22"/>
        </w:rPr>
        <w:t>木，及地下管线、线缆、构筑物、文物、化石和坟墓等进行保护。因承包人未能通知发包人， 并在未能得到发包人进一步指示的情况下，所造成的损害、损失、赔偿等费用增加，和</w:t>
      </w:r>
      <w:r>
        <w:rPr>
          <w:color w:val="231F20"/>
          <w:spacing w:val="2"/>
          <w:sz w:val="22"/>
        </w:rPr>
        <w:t>（或） </w:t>
      </w:r>
      <w:r>
        <w:rPr>
          <w:color w:val="231F20"/>
          <w:sz w:val="22"/>
        </w:rPr>
        <w:t>竣工日期延误，由承包人负责。如承包人已及时通知发包人，发包人未能及时作出指示的，所造成的损害、损失、赔偿等费用增加，和（或）竣工日期延误，由发包人负责。</w:t>
      </w:r>
    </w:p>
    <w:p>
      <w:pPr>
        <w:pStyle w:val="ListParagraph"/>
        <w:numPr>
          <w:ilvl w:val="2"/>
          <w:numId w:val="59"/>
        </w:numPr>
        <w:tabs>
          <w:tab w:pos="1049" w:val="left" w:leader="none"/>
        </w:tabs>
        <w:spacing w:line="319" w:lineRule="auto" w:before="26" w:after="0"/>
        <w:ind w:left="117" w:right="105" w:firstLine="440"/>
        <w:jc w:val="left"/>
        <w:rPr>
          <w:sz w:val="22"/>
        </w:rPr>
      </w:pPr>
      <w:r>
        <w:rPr>
          <w:color w:val="231F20"/>
          <w:sz w:val="22"/>
        </w:rPr>
        <w:t>承包人应采取措施，并负责控制和（或）处理现场的粉尘、废气、废水、固体废物和</w:t>
      </w:r>
      <w:r>
        <w:rPr>
          <w:color w:val="231F20"/>
          <w:spacing w:val="-1"/>
          <w:sz w:val="22"/>
        </w:rPr>
        <w:t>噪声对环境的污染和危害。因此发生的伤害、赔偿、罚款等费用增加，和</w:t>
      </w:r>
      <w:r>
        <w:rPr>
          <w:color w:val="231F20"/>
          <w:sz w:val="22"/>
        </w:rPr>
        <w:t>（或</w:t>
      </w:r>
      <w:r>
        <w:rPr>
          <w:color w:val="231F20"/>
          <w:spacing w:val="-30"/>
          <w:sz w:val="22"/>
        </w:rPr>
        <w:t>）</w:t>
      </w:r>
      <w:r>
        <w:rPr>
          <w:color w:val="231F20"/>
          <w:sz w:val="22"/>
        </w:rPr>
        <w:t>竣工日期延误， 由承包人负责。</w:t>
      </w:r>
    </w:p>
    <w:p>
      <w:pPr>
        <w:pStyle w:val="ListParagraph"/>
        <w:numPr>
          <w:ilvl w:val="2"/>
          <w:numId w:val="59"/>
        </w:numPr>
        <w:tabs>
          <w:tab w:pos="1049" w:val="left" w:leader="none"/>
        </w:tabs>
        <w:spacing w:line="319" w:lineRule="auto" w:before="26" w:after="0"/>
        <w:ind w:left="117" w:right="212" w:firstLine="440"/>
        <w:jc w:val="both"/>
        <w:rPr>
          <w:sz w:val="22"/>
        </w:rPr>
      </w:pPr>
      <w:r>
        <w:rPr>
          <w:color w:val="231F20"/>
          <w:sz w:val="22"/>
        </w:rPr>
        <w:t>承包人及时或定期将施工现场残留、废弃的垃圾分类后运到发包人或当地有关行政部门指定的地点，防止对周围环境的污染及对作业的影响。承包人应当承担因其原因引起的环境污染侵权损害赔偿责任，因违反上述约定导致当地行政部门的罚款、赔偿等增加的费用，由承</w:t>
      </w:r>
      <w:r>
        <w:rPr>
          <w:color w:val="231F20"/>
          <w:spacing w:val="-8"/>
          <w:sz w:val="22"/>
        </w:rPr>
        <w:t>包人承担；因上述环境污染引起纠纷而导致暂停施工的，由此增加的费用和</w:t>
      </w:r>
      <w:r>
        <w:rPr>
          <w:color w:val="231F20"/>
          <w:sz w:val="22"/>
        </w:rPr>
        <w:t>（或）延误的工期由承包人承担。</w:t>
      </w:r>
    </w:p>
    <w:p>
      <w:pPr>
        <w:pStyle w:val="ListParagraph"/>
        <w:numPr>
          <w:ilvl w:val="1"/>
          <w:numId w:val="60"/>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临时性公用设施</w:t>
      </w:r>
    </w:p>
    <w:p>
      <w:pPr>
        <w:pStyle w:val="ListParagraph"/>
        <w:numPr>
          <w:ilvl w:val="2"/>
          <w:numId w:val="60"/>
        </w:numPr>
        <w:tabs>
          <w:tab w:pos="1048" w:val="left" w:leader="none"/>
        </w:tabs>
        <w:spacing w:line="240" w:lineRule="auto" w:before="121" w:after="0"/>
        <w:ind w:left="1047" w:right="0" w:hanging="490"/>
        <w:jc w:val="left"/>
        <w:rPr>
          <w:sz w:val="22"/>
        </w:rPr>
      </w:pPr>
      <w:r>
        <w:rPr>
          <w:color w:val="231F20"/>
          <w:sz w:val="22"/>
        </w:rPr>
        <w:t>提供临时用水、用电等和节点铺设</w:t>
      </w:r>
    </w:p>
    <w:p>
      <w:pPr>
        <w:pStyle w:val="BodyText"/>
        <w:spacing w:line="319" w:lineRule="auto" w:before="108"/>
        <w:ind w:right="217" w:firstLine="440"/>
        <w:jc w:val="both"/>
      </w:pPr>
      <w:r>
        <w:rPr>
          <w:color w:val="231F20"/>
        </w:rPr>
        <w:t>除专用合同条件另有约定外，发包人应在承包人进场前将施工临时用水、用电等接至约定的节点位置，并保证其需要。上述临时使用的水、电等的类别、取费单价在专用合同条件中约定，发包人按实际计量结果收费。发包人无法提供的水、电等在专用合同条件中约定，相关费用由承包人纳入报价并承担相关责任。</w:t>
      </w:r>
    </w:p>
    <w:p>
      <w:pPr>
        <w:pStyle w:val="BodyText"/>
        <w:spacing w:line="319" w:lineRule="auto" w:before="25"/>
        <w:ind w:right="215" w:firstLine="440"/>
      </w:pPr>
      <w:r>
        <w:rPr>
          <w:color w:val="231F20"/>
        </w:rPr>
        <w:t>发包人未能按约定的类别和时间完成节点铺设，使开工时间延误，竣工日期相应顺延。未能按约定的品质、数量和时间提供水、电等，给承包人造成的损失由发包人承担，导致工程关</w:t>
      </w:r>
    </w:p>
    <w:p>
      <w:pPr>
        <w:spacing w:after="0" w:line="319" w:lineRule="auto"/>
        <w:sectPr>
          <w:pgSz w:w="11910" w:h="16840"/>
          <w:pgMar w:header="0" w:footer="832" w:top="1580" w:bottom="1020" w:left="1300" w:right="1200"/>
        </w:sectPr>
      </w:pPr>
    </w:p>
    <w:p>
      <w:pPr>
        <w:pStyle w:val="BodyText"/>
        <w:spacing w:before="24"/>
      </w:pPr>
      <w:r>
        <w:rPr>
          <w:color w:val="231F20"/>
        </w:rPr>
        <w:t>键路径延误的，竣工日期相应顺延。</w:t>
      </w:r>
    </w:p>
    <w:p>
      <w:pPr>
        <w:pStyle w:val="ListParagraph"/>
        <w:numPr>
          <w:ilvl w:val="2"/>
          <w:numId w:val="60"/>
        </w:numPr>
        <w:tabs>
          <w:tab w:pos="1048" w:val="left" w:leader="none"/>
        </w:tabs>
        <w:spacing w:line="240" w:lineRule="auto" w:before="109" w:after="0"/>
        <w:ind w:left="1047" w:right="0" w:hanging="490"/>
        <w:jc w:val="left"/>
        <w:rPr>
          <w:sz w:val="22"/>
        </w:rPr>
      </w:pPr>
      <w:r>
        <w:rPr>
          <w:color w:val="231F20"/>
          <w:sz w:val="22"/>
        </w:rPr>
        <w:t>临时用水、用电等</w:t>
      </w:r>
    </w:p>
    <w:p>
      <w:pPr>
        <w:pStyle w:val="BodyText"/>
        <w:spacing w:line="319" w:lineRule="auto"/>
        <w:ind w:right="110" w:firstLine="440"/>
        <w:jc w:val="both"/>
      </w:pPr>
      <w:r>
        <w:rPr>
          <w:color w:val="231F20"/>
        </w:rPr>
        <w:t>承包人应在计划开始现场施工日期 28 天前或双方约定的其它时间，按专用合同条件中约定的发包人能够提供的临时用水、用电等类别，向发包人提交施工（含工程物资保管）所需的临时用水、用电等的品质、正常用量、高峰用量、使用时间和节点位置等资料。承包人自费负责计量仪器的购买、安装和维护，并依据专用合同条件中约定的单价向发包人交费，合同当事人另有约定时除外。</w:t>
      </w:r>
    </w:p>
    <w:p>
      <w:pPr>
        <w:pStyle w:val="BodyText"/>
        <w:spacing w:line="319" w:lineRule="auto" w:before="26"/>
        <w:ind w:firstLine="440"/>
      </w:pPr>
      <w:r>
        <w:rPr>
          <w:color w:val="231F20"/>
        </w:rPr>
        <w:t>因承包人未能按合同约定提交上述资料，造成发包人费用增加和竣工日期延误时，由承包人负责。</w:t>
      </w:r>
    </w:p>
    <w:p>
      <w:pPr>
        <w:pStyle w:val="ListParagraph"/>
        <w:numPr>
          <w:ilvl w:val="1"/>
          <w:numId w:val="60"/>
        </w:numPr>
        <w:tabs>
          <w:tab w:pos="1046" w:val="left" w:leader="none"/>
        </w:tabs>
        <w:spacing w:line="240" w:lineRule="auto" w:before="20" w:after="0"/>
        <w:ind w:left="1045" w:right="0" w:hanging="488"/>
        <w:jc w:val="left"/>
        <w:rPr>
          <w:rFonts w:ascii="方正黑体_GBK" w:eastAsia="方正黑体_GBK" w:hint="eastAsia"/>
          <w:sz w:val="22"/>
        </w:rPr>
      </w:pPr>
      <w:r>
        <w:rPr>
          <w:rFonts w:ascii="方正黑体_GBK" w:eastAsia="方正黑体_GBK" w:hint="eastAsia"/>
          <w:color w:val="231F20"/>
          <w:sz w:val="22"/>
        </w:rPr>
        <w:t>现场安保</w:t>
      </w:r>
    </w:p>
    <w:p>
      <w:pPr>
        <w:pStyle w:val="BodyText"/>
        <w:spacing w:line="319" w:lineRule="auto" w:before="122"/>
        <w:ind w:right="111" w:firstLine="440"/>
        <w:jc w:val="both"/>
      </w:pPr>
      <w:r>
        <w:rPr>
          <w:color w:val="231F20"/>
        </w:rPr>
        <w:t>承包人承担自发包人向其移交施工现场、进入占有施工现场至发包人接收单位 / 区段工程或（和）工程之前的现场安保责任，并负责编制相关的安保制度、责任制度和报告制度，提交给发包人。除专用合同条件另有约定外，承包人的该等义务不因其与他人共同合法占有施工现场而减免。承包人有权要求发包人负责协调他人就共同合法占有现场的安保事宜接受承包人的管理。</w:t>
      </w:r>
    </w:p>
    <w:p>
      <w:pPr>
        <w:pStyle w:val="BodyText"/>
        <w:spacing w:line="319" w:lineRule="auto" w:before="25"/>
        <w:ind w:right="112" w:firstLine="440"/>
        <w:jc w:val="right"/>
      </w:pPr>
      <w:r>
        <w:rPr>
          <w:color w:val="231F20"/>
          <w:spacing w:val="-5"/>
        </w:rPr>
        <w:t>承包人应将其作业限制在现场区域、合同约定的区域或为履行合同所需的区域内。承包人应采取一切必要的预防措施，以保持承包人的设备和人员处于现场区域内，避免其进入邻近地区。</w:t>
      </w:r>
      <w:r>
        <w:rPr>
          <w:color w:val="231F20"/>
        </w:rPr>
        <w:t>承包人为履行合同义务而占用的其他场所（如预制加工场所、办公及生活营区</w:t>
      </w:r>
      <w:r>
        <w:rPr>
          <w:color w:val="231F20"/>
          <w:spacing w:val="-34"/>
        </w:rPr>
        <w:t>）</w:t>
      </w:r>
      <w:r>
        <w:rPr>
          <w:color w:val="231F20"/>
        </w:rPr>
        <w:t>的安保适</w:t>
      </w:r>
    </w:p>
    <w:p>
      <w:pPr>
        <w:pStyle w:val="BodyText"/>
        <w:spacing w:before="25"/>
      </w:pPr>
      <w:r>
        <w:rPr>
          <w:color w:val="231F20"/>
        </w:rPr>
        <w:t>用本款前述关于现场安保的规定。</w:t>
      </w:r>
    </w:p>
    <w:p>
      <w:pPr>
        <w:pStyle w:val="ListParagraph"/>
        <w:numPr>
          <w:ilvl w:val="1"/>
          <w:numId w:val="60"/>
        </w:numPr>
        <w:tabs>
          <w:tab w:pos="1046" w:val="left" w:leader="none"/>
        </w:tabs>
        <w:spacing w:line="240" w:lineRule="auto" w:before="103" w:after="0"/>
        <w:ind w:left="1045" w:right="0" w:hanging="488"/>
        <w:jc w:val="left"/>
        <w:rPr>
          <w:rFonts w:ascii="方正黑体_GBK" w:eastAsia="方正黑体_GBK" w:hint="eastAsia"/>
          <w:sz w:val="22"/>
        </w:rPr>
      </w:pPr>
      <w:r>
        <w:rPr>
          <w:rFonts w:ascii="方正黑体_GBK" w:eastAsia="方正黑体_GBK" w:hint="eastAsia"/>
          <w:color w:val="231F20"/>
          <w:sz w:val="22"/>
        </w:rPr>
        <w:t>工程照管</w:t>
      </w:r>
    </w:p>
    <w:p>
      <w:pPr>
        <w:pStyle w:val="BodyText"/>
        <w:spacing w:line="319" w:lineRule="auto" w:before="122"/>
        <w:ind w:firstLine="440"/>
      </w:pPr>
      <w:r>
        <w:rPr>
          <w:color w:val="231F20"/>
        </w:rPr>
        <w:t>自开始现场施工日期起至发包人应当接收工程之日止，承包人应承担工程现场、材料、设备及承包人文件的照管和维护工作。</w:t>
      </w:r>
    </w:p>
    <w:p>
      <w:pPr>
        <w:pStyle w:val="BodyText"/>
        <w:spacing w:line="319" w:lineRule="auto" w:before="25"/>
        <w:ind w:firstLine="440"/>
      </w:pPr>
      <w:r>
        <w:rPr>
          <w:color w:val="231F20"/>
        </w:rPr>
        <w:t>如部分工程于竣工验收前提前交付发包人的，则自交付之日起，该部分工程照管及维护职责由发包人承担。</w:t>
      </w:r>
    </w:p>
    <w:p>
      <w:pPr>
        <w:pStyle w:val="BodyText"/>
        <w:spacing w:line="319" w:lineRule="auto" w:before="25"/>
        <w:ind w:firstLine="440"/>
      </w:pPr>
      <w:r>
        <w:rPr>
          <w:color w:val="231F20"/>
        </w:rPr>
        <w:t>如发包人及承包人进行竣工验收时尚有部分未竣工工程的，承包人应负责该未竣工工程的照管和维护工作，直至竣工后移交给发包人。</w:t>
      </w:r>
    </w:p>
    <w:p>
      <w:pPr>
        <w:pStyle w:val="BodyText"/>
        <w:spacing w:before="25"/>
        <w:ind w:left="557"/>
      </w:pPr>
      <w:r>
        <w:rPr>
          <w:color w:val="231F20"/>
        </w:rPr>
        <w:t>如合同解除或终止的，承包人自合同解除或终止之日起不再对工程承担照管和维护义务。</w:t>
      </w:r>
    </w:p>
    <w:p>
      <w:pPr>
        <w:pStyle w:val="BodyText"/>
        <w:tabs>
          <w:tab w:pos="1009" w:val="left" w:leader="none"/>
        </w:tabs>
        <w:spacing w:before="102"/>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8</w:t>
      </w:r>
      <w:r>
        <w:rPr>
          <w:rFonts w:ascii="方正黑体_GBK" w:eastAsia="方正黑体_GBK" w:hint="eastAsia"/>
          <w:color w:val="231F20"/>
          <w:spacing w:val="-7"/>
        </w:rPr>
        <w:t> </w:t>
      </w:r>
      <w:r>
        <w:rPr>
          <w:rFonts w:ascii="方正黑体_GBK" w:eastAsia="方正黑体_GBK" w:hint="eastAsia"/>
          <w:color w:val="231F20"/>
        </w:rPr>
        <w:t>条</w:t>
        <w:tab/>
        <w:t>工期和进度</w:t>
      </w:r>
    </w:p>
    <w:p>
      <w:pPr>
        <w:pStyle w:val="ListParagraph"/>
        <w:numPr>
          <w:ilvl w:val="1"/>
          <w:numId w:val="61"/>
        </w:numPr>
        <w:tabs>
          <w:tab w:pos="924" w:val="left" w:leader="none"/>
        </w:tabs>
        <w:spacing w:line="240" w:lineRule="auto" w:before="115" w:after="0"/>
        <w:ind w:left="923" w:right="0" w:hanging="366"/>
        <w:jc w:val="left"/>
        <w:rPr>
          <w:rFonts w:ascii="方正黑体_GBK" w:eastAsia="方正黑体_GBK" w:hint="eastAsia"/>
          <w:sz w:val="22"/>
        </w:rPr>
      </w:pPr>
      <w:r>
        <w:rPr>
          <w:rFonts w:ascii="方正黑体_GBK" w:eastAsia="方正黑体_GBK" w:hint="eastAsia"/>
          <w:color w:val="231F20"/>
          <w:sz w:val="22"/>
        </w:rPr>
        <w:t>开始工作</w:t>
      </w:r>
    </w:p>
    <w:p>
      <w:pPr>
        <w:pStyle w:val="ListParagraph"/>
        <w:numPr>
          <w:ilvl w:val="2"/>
          <w:numId w:val="61"/>
        </w:numPr>
        <w:tabs>
          <w:tab w:pos="1048" w:val="left" w:leader="none"/>
        </w:tabs>
        <w:spacing w:line="240" w:lineRule="auto" w:before="121" w:after="0"/>
        <w:ind w:left="1047" w:right="0" w:hanging="490"/>
        <w:jc w:val="left"/>
        <w:rPr>
          <w:sz w:val="22"/>
        </w:rPr>
      </w:pPr>
      <w:r>
        <w:rPr>
          <w:color w:val="231F20"/>
          <w:sz w:val="22"/>
        </w:rPr>
        <w:t>开始工作准备</w:t>
      </w:r>
    </w:p>
    <w:p>
      <w:pPr>
        <w:pStyle w:val="BodyText"/>
        <w:spacing w:before="108"/>
        <w:ind w:left="557"/>
      </w:pPr>
      <w:r>
        <w:rPr>
          <w:color w:val="231F20"/>
        </w:rPr>
        <w:t>合同当事人应按专用合同条件约定完成开始工作准备工作。</w:t>
      </w:r>
    </w:p>
    <w:p>
      <w:pPr>
        <w:spacing w:after="0"/>
        <w:sectPr>
          <w:pgSz w:w="11910" w:h="16840"/>
          <w:pgMar w:header="0" w:footer="832" w:top="1580" w:bottom="1020" w:left="1300" w:right="1300"/>
        </w:sectPr>
      </w:pPr>
    </w:p>
    <w:p>
      <w:pPr>
        <w:pStyle w:val="ListParagraph"/>
        <w:numPr>
          <w:ilvl w:val="2"/>
          <w:numId w:val="61"/>
        </w:numPr>
        <w:tabs>
          <w:tab w:pos="1048" w:val="left" w:leader="none"/>
        </w:tabs>
        <w:spacing w:line="240" w:lineRule="auto" w:before="24" w:after="0"/>
        <w:ind w:left="1047" w:right="0" w:hanging="490"/>
        <w:jc w:val="left"/>
        <w:rPr>
          <w:sz w:val="22"/>
        </w:rPr>
      </w:pPr>
      <w:r>
        <w:rPr>
          <w:color w:val="231F20"/>
          <w:sz w:val="22"/>
        </w:rPr>
        <w:t>开始工作通知</w:t>
      </w:r>
    </w:p>
    <w:p>
      <w:pPr>
        <w:pStyle w:val="BodyText"/>
        <w:spacing w:line="319" w:lineRule="auto"/>
        <w:ind w:firstLine="440"/>
      </w:pPr>
      <w:r>
        <w:rPr>
          <w:color w:val="231F20"/>
        </w:rPr>
        <w:t>经发包人同意后，工程师应提前 7 天向承包人发出经发包人签认的开始工作通知，工期自开始工作通知中载明的开始工作日期起算。</w:t>
      </w:r>
    </w:p>
    <w:p>
      <w:pPr>
        <w:pStyle w:val="BodyText"/>
        <w:spacing w:line="319" w:lineRule="auto" w:before="25"/>
        <w:ind w:right="113" w:firstLine="440"/>
        <w:jc w:val="both"/>
      </w:pPr>
      <w:r>
        <w:rPr>
          <w:color w:val="231F20"/>
        </w:rPr>
        <w:t>除专用合同条件另有约定外，因发包人原因造成实际开始现场施工日期迟于计划开始现场施工日期后第 84 天的，承包人有权提出价格调整要求，或者解除合同。发包人应当承担由此增加的费用和（或）延误的工期，并向承包人支付合理利润。</w:t>
      </w:r>
    </w:p>
    <w:p>
      <w:pPr>
        <w:pStyle w:val="ListParagraph"/>
        <w:numPr>
          <w:ilvl w:val="1"/>
          <w:numId w:val="62"/>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竣工日期</w:t>
      </w:r>
    </w:p>
    <w:p>
      <w:pPr>
        <w:pStyle w:val="BodyText"/>
        <w:spacing w:line="319" w:lineRule="auto" w:before="122"/>
        <w:ind w:firstLine="440"/>
      </w:pPr>
      <w:r>
        <w:rPr>
          <w:color w:val="231F20"/>
        </w:rPr>
        <w:t>承包人应在合同协议书约定的工期内完成合同工作。除专用合同条件另有约定外，工程的竣工日期以第 10.1 条 [ 竣工验收 ] 的约定为准，并在工程接收证书中写明。</w:t>
      </w:r>
    </w:p>
    <w:p>
      <w:pPr>
        <w:pStyle w:val="BodyText"/>
        <w:spacing w:line="319" w:lineRule="auto" w:before="26"/>
        <w:ind w:right="110" w:firstLine="440"/>
        <w:jc w:val="both"/>
      </w:pPr>
      <w:r>
        <w:rPr>
          <w:color w:val="231F20"/>
        </w:rPr>
        <w:t>因发包人原因，在工程师收到承包人竣工验收申请报告 42 天后未进行验收的，视为验收合格，实际竣工日期以提交竣工验收申请报告的日期为准，但发包人由于不可抗力不能进行验收的除外。</w:t>
      </w:r>
    </w:p>
    <w:p>
      <w:pPr>
        <w:pStyle w:val="ListParagraph"/>
        <w:numPr>
          <w:ilvl w:val="1"/>
          <w:numId w:val="62"/>
        </w:numPr>
        <w:tabs>
          <w:tab w:pos="924" w:val="left" w:leader="none"/>
        </w:tabs>
        <w:spacing w:line="240" w:lineRule="auto" w:before="20" w:after="0"/>
        <w:ind w:left="923" w:right="0" w:hanging="366"/>
        <w:jc w:val="left"/>
        <w:rPr>
          <w:rFonts w:ascii="方正黑体_GBK" w:eastAsia="方正黑体_GBK" w:hint="eastAsia"/>
          <w:sz w:val="22"/>
        </w:rPr>
      </w:pPr>
      <w:r>
        <w:rPr>
          <w:rFonts w:ascii="方正黑体_GBK" w:eastAsia="方正黑体_GBK" w:hint="eastAsia"/>
          <w:color w:val="231F20"/>
          <w:sz w:val="22"/>
        </w:rPr>
        <w:t>项目实施计划</w:t>
      </w:r>
    </w:p>
    <w:p>
      <w:pPr>
        <w:pStyle w:val="ListParagraph"/>
        <w:numPr>
          <w:ilvl w:val="2"/>
          <w:numId w:val="62"/>
        </w:numPr>
        <w:tabs>
          <w:tab w:pos="1048" w:val="left" w:leader="none"/>
        </w:tabs>
        <w:spacing w:line="240" w:lineRule="auto" w:before="122" w:after="0"/>
        <w:ind w:left="1047" w:right="0" w:hanging="490"/>
        <w:jc w:val="left"/>
        <w:rPr>
          <w:sz w:val="22"/>
        </w:rPr>
      </w:pPr>
      <w:r>
        <w:rPr>
          <w:color w:val="231F20"/>
          <w:sz w:val="22"/>
        </w:rPr>
        <w:t>项目实施计划的内容</w:t>
      </w:r>
    </w:p>
    <w:p>
      <w:pPr>
        <w:pStyle w:val="BodyText"/>
        <w:spacing w:line="319" w:lineRule="auto"/>
        <w:ind w:right="114" w:firstLine="440"/>
        <w:jc w:val="both"/>
      </w:pPr>
      <w:r>
        <w:rPr>
          <w:color w:val="231F20"/>
        </w:rPr>
        <w:t>项目实施计划是依据合同和经批准的项目管理计划进行编制并用于对项目实施进行管理和控制的文件，应包含概述、总体实施方案、项目实施要点、项目初步进度计划以及合同当事人在专用合同条件中约定的其他内容。</w:t>
      </w:r>
    </w:p>
    <w:p>
      <w:pPr>
        <w:pStyle w:val="ListParagraph"/>
        <w:numPr>
          <w:ilvl w:val="2"/>
          <w:numId w:val="62"/>
        </w:numPr>
        <w:tabs>
          <w:tab w:pos="1048" w:val="left" w:leader="none"/>
        </w:tabs>
        <w:spacing w:line="240" w:lineRule="auto" w:before="26" w:after="0"/>
        <w:ind w:left="1047" w:right="0" w:hanging="490"/>
        <w:jc w:val="left"/>
        <w:rPr>
          <w:sz w:val="22"/>
        </w:rPr>
      </w:pPr>
      <w:r>
        <w:rPr>
          <w:color w:val="231F20"/>
          <w:sz w:val="22"/>
        </w:rPr>
        <w:t>项目实施计划的提交和修改</w:t>
      </w:r>
    </w:p>
    <w:p>
      <w:pPr>
        <w:pStyle w:val="BodyText"/>
        <w:ind w:left="557"/>
      </w:pPr>
      <w:r>
        <w:rPr>
          <w:color w:val="231F20"/>
        </w:rPr>
        <w:t>除专用合同条件另有约定外，承包人应在合同订立后 14 天内，向工程师提交项目实施计</w:t>
      </w:r>
    </w:p>
    <w:p>
      <w:pPr>
        <w:pStyle w:val="BodyText"/>
        <w:spacing w:line="319" w:lineRule="auto"/>
        <w:ind w:right="109"/>
        <w:jc w:val="both"/>
      </w:pPr>
      <w:r>
        <w:rPr>
          <w:color w:val="231F20"/>
        </w:rPr>
        <w:t>划，工程师应在收到项目实施计划后 21 天内确认或提出修改意见。对工程师提出的合理意见和要求，承包人应自费修改完善。根据工程实施的实际情况需要修改项目实施计划的，承包人应向工程师提交修改后的项目实施计划。</w:t>
      </w:r>
    </w:p>
    <w:p>
      <w:pPr>
        <w:pStyle w:val="BodyText"/>
        <w:spacing w:before="26"/>
        <w:ind w:left="557"/>
      </w:pPr>
      <w:r>
        <w:rPr>
          <w:color w:val="231F20"/>
        </w:rPr>
        <w:t>项目进度计划的编制和修改按照第 8.4 款 [ 项目进度计划 ] 执行。</w:t>
      </w:r>
    </w:p>
    <w:p>
      <w:pPr>
        <w:pStyle w:val="ListParagraph"/>
        <w:numPr>
          <w:ilvl w:val="1"/>
          <w:numId w:val="63"/>
        </w:numPr>
        <w:tabs>
          <w:tab w:pos="924" w:val="left" w:leader="none"/>
        </w:tabs>
        <w:spacing w:line="240" w:lineRule="auto" w:before="103" w:after="0"/>
        <w:ind w:left="923" w:right="0" w:hanging="366"/>
        <w:jc w:val="left"/>
        <w:rPr>
          <w:rFonts w:ascii="方正黑体_GBK" w:eastAsia="方正黑体_GBK" w:hint="eastAsia"/>
          <w:sz w:val="22"/>
        </w:rPr>
      </w:pPr>
      <w:r>
        <w:rPr>
          <w:rFonts w:ascii="方正黑体_GBK" w:eastAsia="方正黑体_GBK" w:hint="eastAsia"/>
          <w:color w:val="231F20"/>
          <w:sz w:val="22"/>
        </w:rPr>
        <w:t>项目进度计划</w:t>
      </w:r>
    </w:p>
    <w:p>
      <w:pPr>
        <w:pStyle w:val="ListParagraph"/>
        <w:numPr>
          <w:ilvl w:val="2"/>
          <w:numId w:val="63"/>
        </w:numPr>
        <w:tabs>
          <w:tab w:pos="1048" w:val="left" w:leader="none"/>
        </w:tabs>
        <w:spacing w:line="240" w:lineRule="auto" w:before="122" w:after="0"/>
        <w:ind w:left="1047" w:right="0" w:hanging="490"/>
        <w:jc w:val="left"/>
        <w:rPr>
          <w:sz w:val="22"/>
        </w:rPr>
      </w:pPr>
      <w:r>
        <w:rPr>
          <w:color w:val="231F20"/>
          <w:sz w:val="22"/>
        </w:rPr>
        <w:t>项目进度计划的提交和修改</w:t>
      </w:r>
    </w:p>
    <w:p>
      <w:pPr>
        <w:pStyle w:val="BodyText"/>
        <w:spacing w:line="319" w:lineRule="auto"/>
        <w:ind w:right="113" w:firstLine="440"/>
        <w:jc w:val="both"/>
      </w:pPr>
      <w:r>
        <w:rPr>
          <w:color w:val="231F20"/>
        </w:rPr>
        <w:t>承包人应按照第 8.3 款[ 项目实施计划] 约定编制并向工程师提交项目初步进度计划，经工程师批准后实施。除专用合同条件另有约定外，工程师应在 21 天内批复或提出修改意见，否则该项目初步进度计划视为已得到批准。对工程师提出的合理意见和要求，承包人应自费修改完善。</w:t>
      </w:r>
    </w:p>
    <w:p>
      <w:pPr>
        <w:pStyle w:val="BodyText"/>
        <w:spacing w:line="319" w:lineRule="auto" w:before="26"/>
        <w:ind w:firstLine="440"/>
      </w:pPr>
      <w:r>
        <w:rPr>
          <w:color w:val="231F20"/>
        </w:rPr>
        <w:t>经工程师批准的项目初步进度计划称为项目进度计划，是控制合同工程进度的依据，工程师有权按照进度计划检查工程进度情况。承包人还应根据项目进度计划，编制更为详细的分阶</w:t>
      </w:r>
    </w:p>
    <w:p>
      <w:pPr>
        <w:spacing w:after="0" w:line="319" w:lineRule="auto"/>
        <w:sectPr>
          <w:pgSz w:w="11910" w:h="16840"/>
          <w:pgMar w:header="0" w:footer="832" w:top="1580" w:bottom="1020" w:left="1300" w:right="1300"/>
        </w:sectPr>
      </w:pPr>
    </w:p>
    <w:p>
      <w:pPr>
        <w:pStyle w:val="BodyText"/>
        <w:spacing w:before="24"/>
      </w:pPr>
      <w:r>
        <w:rPr>
          <w:color w:val="231F20"/>
        </w:rPr>
        <w:t>段或分项的进度计划，由工程师批准。</w:t>
      </w:r>
    </w:p>
    <w:p>
      <w:pPr>
        <w:pStyle w:val="ListParagraph"/>
        <w:numPr>
          <w:ilvl w:val="2"/>
          <w:numId w:val="63"/>
        </w:numPr>
        <w:tabs>
          <w:tab w:pos="1048" w:val="left" w:leader="none"/>
        </w:tabs>
        <w:spacing w:line="240" w:lineRule="auto" w:before="109" w:after="0"/>
        <w:ind w:left="1047" w:right="0" w:hanging="490"/>
        <w:jc w:val="left"/>
        <w:rPr>
          <w:sz w:val="22"/>
        </w:rPr>
      </w:pPr>
      <w:r>
        <w:rPr>
          <w:color w:val="231F20"/>
          <w:sz w:val="22"/>
        </w:rPr>
        <w:t>项目进度计划的内容</w:t>
      </w:r>
    </w:p>
    <w:p>
      <w:pPr>
        <w:pStyle w:val="BodyText"/>
        <w:spacing w:line="319" w:lineRule="auto"/>
        <w:ind w:right="114" w:firstLine="440"/>
        <w:jc w:val="both"/>
      </w:pPr>
      <w:r>
        <w:rPr>
          <w:color w:val="231F20"/>
        </w:rPr>
        <w:t>项目进度计划应当包括设计、承包人文件提交、采购、制造、检验、运达现场、施工、安装、试验的各个阶段的预期时间以及设计和施工组织方案说明等，其编制应当符合国家法律规定和一般工程实践惯例。项目进度计划的具体要求、关键路径及关键路径变化的确定原则、承包人提交的份数和时间等，在专用合同条件约定。</w:t>
      </w:r>
    </w:p>
    <w:p>
      <w:pPr>
        <w:pStyle w:val="ListParagraph"/>
        <w:numPr>
          <w:ilvl w:val="2"/>
          <w:numId w:val="63"/>
        </w:numPr>
        <w:tabs>
          <w:tab w:pos="1048" w:val="left" w:leader="none"/>
        </w:tabs>
        <w:spacing w:line="240" w:lineRule="auto" w:before="26" w:after="0"/>
        <w:ind w:left="1047" w:right="0" w:hanging="490"/>
        <w:jc w:val="left"/>
        <w:rPr>
          <w:sz w:val="22"/>
        </w:rPr>
      </w:pPr>
      <w:r>
        <w:rPr>
          <w:color w:val="231F20"/>
          <w:sz w:val="22"/>
        </w:rPr>
        <w:t>项目进度计划的修订</w:t>
      </w:r>
    </w:p>
    <w:p>
      <w:pPr>
        <w:pStyle w:val="BodyText"/>
        <w:spacing w:line="319" w:lineRule="auto"/>
        <w:ind w:right="108" w:firstLine="440"/>
        <w:jc w:val="both"/>
      </w:pPr>
      <w:r>
        <w:rPr>
          <w:color w:val="231F20"/>
        </w:rPr>
        <w:t>项目进度计划不符合合同要求或与工程的实际进度不一致的，承包人应向工程师提交修订的项目进度计划，并附具有关措施和相关资料。工程师也可以直接向承包人发出修订项目进度计划的通知，承包人如接受，应按该通知修订项目进度计划，报工程师批准。承包人如不接受，应当在 14 天内答复，如未按时答复视作已接受修订项目进度计划通知中的内容。</w:t>
      </w:r>
    </w:p>
    <w:p>
      <w:pPr>
        <w:pStyle w:val="BodyText"/>
        <w:spacing w:line="319" w:lineRule="auto" w:before="25"/>
        <w:ind w:right="113" w:firstLine="440"/>
        <w:jc w:val="both"/>
      </w:pPr>
      <w:r>
        <w:rPr>
          <w:color w:val="231F20"/>
        </w:rPr>
        <w:t>除专用合同条件另有约定外，工程师应在收到修订的项目进度计划后 14 天内完成审批或提出修改意见，如未按时答复视作已批准承包人修订后的项目进度计划。工程师对承包人提交的项目进度计划的确认，不能减轻或免除承包人根据法律规定和合同约定应承担的任何责任或义务。</w:t>
      </w:r>
    </w:p>
    <w:p>
      <w:pPr>
        <w:pStyle w:val="BodyText"/>
        <w:spacing w:line="319" w:lineRule="auto" w:before="25"/>
        <w:ind w:right="95" w:firstLine="440"/>
      </w:pPr>
      <w:r>
        <w:rPr>
          <w:color w:val="231F20"/>
        </w:rPr>
        <w:t>除合同当事人另有约定外，项目进度计划的修订并不能减轻或者免除双方按第 8.7 款 [ 工期延误 ]、第 8.8 款 [ 工期提前 ]、第 8.9 款 [ 暂停工作 ] 应承担的合同责任。</w:t>
      </w:r>
    </w:p>
    <w:p>
      <w:pPr>
        <w:pStyle w:val="ListParagraph"/>
        <w:numPr>
          <w:ilvl w:val="1"/>
          <w:numId w:val="64"/>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进度报告</w:t>
      </w:r>
    </w:p>
    <w:p>
      <w:pPr>
        <w:pStyle w:val="BodyText"/>
        <w:spacing w:line="319" w:lineRule="auto" w:before="122"/>
        <w:ind w:firstLine="440"/>
      </w:pPr>
      <w:r>
        <w:rPr>
          <w:color w:val="231F20"/>
        </w:rPr>
        <w:t>项目实施过程中，承包人应进行实际进度记录，并根据工程师的要求编制月进度报告，并提交给工程师。进度报告应包含以下主要内容：</w:t>
      </w:r>
    </w:p>
    <w:p>
      <w:pPr>
        <w:pStyle w:val="BodyText"/>
        <w:spacing w:before="26"/>
        <w:ind w:left="447"/>
      </w:pPr>
      <w:r>
        <w:rPr>
          <w:color w:val="231F20"/>
        </w:rPr>
        <w:t>（ 1）工程设计、采购、施工等各个工作内容的进展报告；</w:t>
      </w:r>
    </w:p>
    <w:p>
      <w:pPr>
        <w:pStyle w:val="BodyText"/>
        <w:ind w:left="447"/>
      </w:pPr>
      <w:r>
        <w:rPr>
          <w:color w:val="231F20"/>
        </w:rPr>
        <w:t>（ 2）工程施工方法的一般说明；</w:t>
      </w:r>
    </w:p>
    <w:p>
      <w:pPr>
        <w:pStyle w:val="BodyText"/>
        <w:ind w:left="447"/>
      </w:pPr>
      <w:r>
        <w:rPr>
          <w:color w:val="231F20"/>
        </w:rPr>
        <w:t>（ 3）当月工程实施介入的项目人员、设备和材料的预估明细报告；</w:t>
      </w:r>
    </w:p>
    <w:p>
      <w:pPr>
        <w:pStyle w:val="BodyText"/>
        <w:spacing w:line="319" w:lineRule="auto"/>
        <w:ind w:right="99" w:firstLine="330"/>
      </w:pPr>
      <w:r>
        <w:rPr>
          <w:color w:val="231F20"/>
        </w:rPr>
        <w:t>（ 4）当月实际进度与进度计划对比分析，以及提出未来可能引起工期延误的情形，同时提出应对措施；需要修订项目进度计划的，应对项目进度计划的修订部分进行说明；</w:t>
      </w:r>
    </w:p>
    <w:p>
      <w:pPr>
        <w:pStyle w:val="BodyText"/>
        <w:spacing w:before="25"/>
        <w:ind w:left="447"/>
      </w:pPr>
      <w:r>
        <w:rPr>
          <w:color w:val="231F20"/>
        </w:rPr>
        <w:t>（ 5）承包人对于解决工期延误所提出的建议；</w:t>
      </w:r>
    </w:p>
    <w:p>
      <w:pPr>
        <w:pStyle w:val="BodyText"/>
        <w:spacing w:before="108"/>
        <w:ind w:left="447"/>
      </w:pPr>
      <w:r>
        <w:rPr>
          <w:color w:val="231F20"/>
        </w:rPr>
        <w:t>（ 6）其他与工程有关的重大事项。</w:t>
      </w:r>
    </w:p>
    <w:p>
      <w:pPr>
        <w:pStyle w:val="BodyText"/>
        <w:spacing w:before="108"/>
        <w:ind w:left="557"/>
      </w:pPr>
      <w:r>
        <w:rPr>
          <w:color w:val="231F20"/>
        </w:rPr>
        <w:t>进度报告的具体要求等，在专用合同条件约定。</w:t>
      </w:r>
    </w:p>
    <w:p>
      <w:pPr>
        <w:pStyle w:val="ListParagraph"/>
        <w:numPr>
          <w:ilvl w:val="1"/>
          <w:numId w:val="64"/>
        </w:numPr>
        <w:tabs>
          <w:tab w:pos="924" w:val="left" w:leader="none"/>
        </w:tabs>
        <w:spacing w:line="240" w:lineRule="auto" w:before="102" w:after="0"/>
        <w:ind w:left="923" w:right="0" w:hanging="366"/>
        <w:jc w:val="left"/>
        <w:rPr>
          <w:rFonts w:ascii="方正黑体_GBK" w:eastAsia="方正黑体_GBK" w:hint="eastAsia"/>
          <w:sz w:val="22"/>
        </w:rPr>
      </w:pPr>
      <w:r>
        <w:rPr>
          <w:rFonts w:ascii="方正黑体_GBK" w:eastAsia="方正黑体_GBK" w:hint="eastAsia"/>
          <w:color w:val="231F20"/>
          <w:sz w:val="22"/>
        </w:rPr>
        <w:t>提前预警</w:t>
      </w:r>
    </w:p>
    <w:p>
      <w:pPr>
        <w:pStyle w:val="BodyText"/>
        <w:spacing w:before="121"/>
        <w:ind w:left="557"/>
      </w:pPr>
      <w:r>
        <w:rPr>
          <w:color w:val="231F20"/>
        </w:rPr>
        <w:t>任何一方应当在下列情形发生时尽快书面通知另一方：</w:t>
      </w:r>
    </w:p>
    <w:p>
      <w:pPr>
        <w:pStyle w:val="BodyText"/>
        <w:spacing w:before="108"/>
        <w:ind w:left="447"/>
      </w:pPr>
      <w:r>
        <w:rPr>
          <w:color w:val="231F20"/>
        </w:rPr>
        <w:t>（ 1）该情形可能对合同的履行或实现合同目的产生不利影响；</w:t>
      </w:r>
    </w:p>
    <w:p>
      <w:pPr>
        <w:spacing w:after="0"/>
        <w:sectPr>
          <w:pgSz w:w="11910" w:h="16840"/>
          <w:pgMar w:header="0" w:footer="832" w:top="1580" w:bottom="1020" w:left="1300" w:right="1300"/>
        </w:sectPr>
      </w:pPr>
    </w:p>
    <w:p>
      <w:pPr>
        <w:pStyle w:val="BodyText"/>
        <w:spacing w:before="24"/>
        <w:ind w:left="447"/>
      </w:pPr>
      <w:r>
        <w:rPr>
          <w:color w:val="231F20"/>
        </w:rPr>
        <w:t>（ 2）该情形可能对工程完成后的使用产生不利影响；</w:t>
      </w:r>
    </w:p>
    <w:p>
      <w:pPr>
        <w:pStyle w:val="BodyText"/>
        <w:ind w:left="447"/>
      </w:pPr>
      <w:r>
        <w:rPr>
          <w:color w:val="231F20"/>
        </w:rPr>
        <w:t>（ 3）该情形可能导致合同价款增加；</w:t>
      </w:r>
    </w:p>
    <w:p>
      <w:pPr>
        <w:pStyle w:val="BodyText"/>
        <w:ind w:left="447"/>
      </w:pPr>
      <w:r>
        <w:rPr>
          <w:color w:val="231F20"/>
        </w:rPr>
        <w:t>（ 4）该情形可能导致整个工程或单位 / 区段工程的工期延长。</w:t>
      </w:r>
    </w:p>
    <w:p>
      <w:pPr>
        <w:pStyle w:val="BodyText"/>
        <w:spacing w:line="319" w:lineRule="auto"/>
        <w:ind w:right="95" w:firstLine="440"/>
      </w:pPr>
      <w:r>
        <w:rPr>
          <w:color w:val="231F20"/>
        </w:rPr>
        <w:t>发包人有权要求承包人根据第 13.2 款 [ 承包人的合理化建议 ] 的约定提交变更建议，采取措施尽量避免或最小化上述情形的发生或影响。</w:t>
      </w:r>
    </w:p>
    <w:p>
      <w:pPr>
        <w:pStyle w:val="ListParagraph"/>
        <w:numPr>
          <w:ilvl w:val="1"/>
          <w:numId w:val="64"/>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工期延误</w:t>
      </w:r>
    </w:p>
    <w:p>
      <w:pPr>
        <w:pStyle w:val="ListParagraph"/>
        <w:numPr>
          <w:ilvl w:val="2"/>
          <w:numId w:val="64"/>
        </w:numPr>
        <w:tabs>
          <w:tab w:pos="1048" w:val="left" w:leader="none"/>
        </w:tabs>
        <w:spacing w:line="240" w:lineRule="auto" w:before="121" w:after="0"/>
        <w:ind w:left="1047" w:right="0" w:hanging="490"/>
        <w:jc w:val="left"/>
        <w:rPr>
          <w:sz w:val="22"/>
        </w:rPr>
      </w:pPr>
      <w:r>
        <w:rPr>
          <w:color w:val="231F20"/>
          <w:sz w:val="22"/>
        </w:rPr>
        <w:t>因发包人原因导致工期延误</w:t>
      </w:r>
    </w:p>
    <w:p>
      <w:pPr>
        <w:pStyle w:val="BodyText"/>
        <w:spacing w:line="319" w:lineRule="auto" w:before="108"/>
        <w:ind w:firstLine="440"/>
      </w:pPr>
      <w:r>
        <w:rPr>
          <w:color w:val="231F20"/>
        </w:rPr>
        <w:t>在合同履行过程中，因下列情况导致工期延误和（或）费用增加的，由发包人承担由此延误的工期和（或）增加的费用，且发包人应支付承包人合理的利润：</w:t>
      </w:r>
    </w:p>
    <w:p>
      <w:pPr>
        <w:pStyle w:val="BodyText"/>
        <w:spacing w:before="25"/>
        <w:ind w:left="447"/>
      </w:pPr>
      <w:r>
        <w:rPr>
          <w:color w:val="231F20"/>
        </w:rPr>
        <w:t>（ 1）根据第 13 条 [ 变更与调整 ] 的约定构成一项变更的；</w:t>
      </w:r>
    </w:p>
    <w:p>
      <w:pPr>
        <w:pStyle w:val="BodyText"/>
        <w:ind w:left="447"/>
      </w:pPr>
      <w:r>
        <w:rPr>
          <w:color w:val="231F20"/>
        </w:rPr>
        <w:t>（ 2）发包人违反本合同约定，导致工期延误和（或）费用增加的；</w:t>
      </w:r>
    </w:p>
    <w:p>
      <w:pPr>
        <w:pStyle w:val="BodyText"/>
        <w:spacing w:line="319" w:lineRule="auto"/>
        <w:ind w:right="99" w:firstLine="330"/>
      </w:pPr>
      <w:r>
        <w:rPr>
          <w:color w:val="231F20"/>
        </w:rPr>
        <w:t>（ 3）发包人、发包人代表、工程师或发包人聘请的任意第三方造成或引起的任何延误、妨碍和阻碍；</w:t>
      </w:r>
    </w:p>
    <w:p>
      <w:pPr>
        <w:pStyle w:val="BodyText"/>
        <w:spacing w:line="319" w:lineRule="auto" w:before="25"/>
        <w:ind w:right="98" w:firstLine="330"/>
      </w:pPr>
      <w:r>
        <w:rPr>
          <w:color w:val="231F20"/>
        </w:rPr>
        <w:t>（ 4）发包人未能依据第 6.2.1 项 [ 发包人提供的材料和工程设备 ] 的约定提供材料和工程设备导致工期延误和（或）费用增加的；</w:t>
      </w:r>
    </w:p>
    <w:p>
      <w:pPr>
        <w:pStyle w:val="BodyText"/>
        <w:spacing w:before="25"/>
        <w:ind w:left="447"/>
      </w:pPr>
      <w:r>
        <w:rPr>
          <w:color w:val="231F20"/>
        </w:rPr>
        <w:t>（ 5）因发包人原因导致的暂停施工；</w:t>
      </w:r>
    </w:p>
    <w:p>
      <w:pPr>
        <w:pStyle w:val="BodyText"/>
        <w:ind w:left="447"/>
      </w:pPr>
      <w:r>
        <w:rPr>
          <w:color w:val="231F20"/>
        </w:rPr>
        <w:t>（ 6）发包人未及时履行相关合同义务，造成工期延误的其他原因。</w:t>
      </w:r>
    </w:p>
    <w:p>
      <w:pPr>
        <w:pStyle w:val="ListParagraph"/>
        <w:numPr>
          <w:ilvl w:val="2"/>
          <w:numId w:val="64"/>
        </w:numPr>
        <w:tabs>
          <w:tab w:pos="1048" w:val="left" w:leader="none"/>
        </w:tabs>
        <w:spacing w:line="240" w:lineRule="auto" w:before="109" w:after="0"/>
        <w:ind w:left="1047" w:right="0" w:hanging="490"/>
        <w:jc w:val="left"/>
        <w:rPr>
          <w:sz w:val="22"/>
        </w:rPr>
      </w:pPr>
      <w:r>
        <w:rPr>
          <w:color w:val="231F20"/>
          <w:sz w:val="22"/>
        </w:rPr>
        <w:t>因承包人原因导致工期延误</w:t>
      </w:r>
    </w:p>
    <w:p>
      <w:pPr>
        <w:pStyle w:val="BodyText"/>
        <w:spacing w:line="319" w:lineRule="auto"/>
        <w:ind w:firstLine="440"/>
      </w:pPr>
      <w:r>
        <w:rPr>
          <w:color w:val="231F20"/>
        </w:rPr>
        <w:t>由于承包人的原因，未能按项目进度计划完成工作，承包人应采取措施加快进度，并承担加快进度所增加的费用。</w:t>
      </w:r>
    </w:p>
    <w:p>
      <w:pPr>
        <w:pStyle w:val="BodyText"/>
        <w:spacing w:line="319" w:lineRule="auto" w:before="26"/>
        <w:ind w:right="114" w:firstLine="440"/>
        <w:jc w:val="both"/>
      </w:pPr>
      <w:r>
        <w:rPr>
          <w:color w:val="231F20"/>
        </w:rPr>
        <w:t>由于承包人原因造成工期延误并导致逾期竣工的，承包人应支付逾期竣工违约金。逾期竣工违约金的计算方法和最高限额在专用合同条件中约定。承包人支付逾期竣工违约金，不免除承包人完成工作及修补缺陷的义务，且发包人有权从工程进度款、竣工结算款或约定提交的履约担保中扣除相当于逾期竣工违约金的金额。</w:t>
      </w:r>
    </w:p>
    <w:p>
      <w:pPr>
        <w:pStyle w:val="ListParagraph"/>
        <w:numPr>
          <w:ilvl w:val="2"/>
          <w:numId w:val="64"/>
        </w:numPr>
        <w:tabs>
          <w:tab w:pos="1048" w:val="left" w:leader="none"/>
        </w:tabs>
        <w:spacing w:line="240" w:lineRule="auto" w:before="26" w:after="0"/>
        <w:ind w:left="1047" w:right="0" w:hanging="490"/>
        <w:jc w:val="left"/>
        <w:rPr>
          <w:sz w:val="22"/>
        </w:rPr>
      </w:pPr>
      <w:r>
        <w:rPr>
          <w:color w:val="231F20"/>
          <w:sz w:val="22"/>
        </w:rPr>
        <w:t>行政审批迟延</w:t>
      </w:r>
    </w:p>
    <w:p>
      <w:pPr>
        <w:pStyle w:val="BodyText"/>
        <w:spacing w:line="319" w:lineRule="auto"/>
        <w:ind w:right="114" w:firstLine="440"/>
        <w:jc w:val="both"/>
      </w:pPr>
      <w:r>
        <w:rPr>
          <w:color w:val="231F20"/>
        </w:rPr>
        <w:t>合同约定范围内的工作需国家有关部门审批的，发包人和（或）承包人应按照专用合同条件约定的职责分工完成行政审批报送。因国家有关部门审批迟延造成工期延误的，竣工日期相应顺延。造成费用增加的，由双方在负责的范围内各自承担。</w:t>
      </w:r>
    </w:p>
    <w:p>
      <w:pPr>
        <w:pStyle w:val="ListParagraph"/>
        <w:numPr>
          <w:ilvl w:val="2"/>
          <w:numId w:val="64"/>
        </w:numPr>
        <w:tabs>
          <w:tab w:pos="1048" w:val="left" w:leader="none"/>
        </w:tabs>
        <w:spacing w:line="240" w:lineRule="auto" w:before="25" w:after="0"/>
        <w:ind w:left="1047" w:right="0" w:hanging="490"/>
        <w:jc w:val="left"/>
        <w:rPr>
          <w:sz w:val="22"/>
        </w:rPr>
      </w:pPr>
      <w:r>
        <w:rPr>
          <w:color w:val="231F20"/>
          <w:sz w:val="22"/>
        </w:rPr>
        <w:t>异常恶劣的气候条件</w:t>
      </w:r>
    </w:p>
    <w:p>
      <w:pPr>
        <w:pStyle w:val="BodyText"/>
        <w:spacing w:line="319" w:lineRule="auto" w:before="108"/>
        <w:ind w:firstLine="440"/>
      </w:pPr>
      <w:r>
        <w:rPr>
          <w:color w:val="231F20"/>
        </w:rPr>
        <w:t>异常恶劣的气候条件是指在施工过程中遇到的，有经验的承包人在订立合同时不可预见的，对合同履行造成实质性影响的，但尚未构成不可抗力事件的恶劣气候条件。合同当事人可</w:t>
      </w:r>
    </w:p>
    <w:p>
      <w:pPr>
        <w:spacing w:after="0" w:line="319" w:lineRule="auto"/>
        <w:sectPr>
          <w:pgSz w:w="11910" w:h="16840"/>
          <w:pgMar w:header="0" w:footer="832" w:top="1580" w:bottom="1020" w:left="1300" w:right="1300"/>
        </w:sectPr>
      </w:pPr>
    </w:p>
    <w:p>
      <w:pPr>
        <w:pStyle w:val="BodyText"/>
        <w:spacing w:before="24"/>
      </w:pPr>
      <w:r>
        <w:rPr>
          <w:color w:val="231F20"/>
        </w:rPr>
        <w:t>以在专用合同条件中约定异常恶劣的气候条件的具体情形。</w:t>
      </w:r>
    </w:p>
    <w:p>
      <w:pPr>
        <w:pStyle w:val="BodyText"/>
        <w:spacing w:line="319" w:lineRule="auto"/>
        <w:ind w:right="113" w:firstLine="440"/>
        <w:jc w:val="both"/>
      </w:pPr>
      <w:r>
        <w:rPr>
          <w:color w:val="231F20"/>
        </w:rPr>
        <w:t>承包人应采取克服异常恶劣的气候条件的合理措施继续施工，并及时通知工程师。工程师应当及时发出指示，指示构成变更的，按第 13 条 [ 变更与调整 ] 约定办理。承包人因采取合理措施而延误的工期由发包人承担。</w:t>
      </w:r>
    </w:p>
    <w:p>
      <w:pPr>
        <w:pStyle w:val="ListParagraph"/>
        <w:numPr>
          <w:ilvl w:val="1"/>
          <w:numId w:val="65"/>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工期提前</w:t>
      </w:r>
    </w:p>
    <w:p>
      <w:pPr>
        <w:pStyle w:val="ListParagraph"/>
        <w:numPr>
          <w:ilvl w:val="2"/>
          <w:numId w:val="65"/>
        </w:numPr>
        <w:tabs>
          <w:tab w:pos="1049" w:val="left" w:leader="none"/>
        </w:tabs>
        <w:spacing w:line="319" w:lineRule="auto" w:before="121" w:after="0"/>
        <w:ind w:left="117" w:right="113" w:firstLine="440"/>
        <w:jc w:val="both"/>
        <w:rPr>
          <w:sz w:val="22"/>
        </w:rPr>
      </w:pPr>
      <w:r>
        <w:rPr>
          <w:color w:val="231F20"/>
          <w:sz w:val="22"/>
        </w:rPr>
        <w:t>发包人指示承包人提前竣工且被承包人接受的，应与承包人共同协商采取加快工程进度的措施和修订项目进度计划。发包人应承担承包人由此增加的费用，增加的费用按第 13</w:t>
      </w:r>
      <w:r>
        <w:rPr>
          <w:color w:val="231F20"/>
          <w:spacing w:val="8"/>
          <w:sz w:val="22"/>
        </w:rPr>
        <w:t> 条</w:t>
      </w:r>
    </w:p>
    <w:p>
      <w:pPr>
        <w:pStyle w:val="BodyText"/>
        <w:spacing w:line="319" w:lineRule="auto" w:before="25"/>
        <w:ind w:right="90"/>
      </w:pPr>
      <w:r>
        <w:rPr>
          <w:color w:val="231F20"/>
        </w:rPr>
        <w:t>[ 变更与调整 ] 的约定执行；发包人不得以任何理由要求承包人超过合理限度压缩工期。承包人有权不接受提前竣工的指示，工期按照合同约定执行。</w:t>
      </w:r>
    </w:p>
    <w:p>
      <w:pPr>
        <w:pStyle w:val="ListParagraph"/>
        <w:numPr>
          <w:ilvl w:val="2"/>
          <w:numId w:val="65"/>
        </w:numPr>
        <w:tabs>
          <w:tab w:pos="1049" w:val="left" w:leader="none"/>
        </w:tabs>
        <w:spacing w:line="319" w:lineRule="auto" w:before="25" w:after="0"/>
        <w:ind w:left="117" w:right="115" w:firstLine="440"/>
        <w:jc w:val="both"/>
        <w:rPr>
          <w:sz w:val="22"/>
        </w:rPr>
      </w:pPr>
      <w:r>
        <w:rPr>
          <w:color w:val="231F20"/>
          <w:sz w:val="22"/>
        </w:rPr>
        <w:t>承包人提出提前竣工的建议且发包人接受的，应与发包人共同协商采取加快工程进度</w:t>
      </w:r>
      <w:r>
        <w:rPr>
          <w:color w:val="231F20"/>
          <w:spacing w:val="-1"/>
          <w:sz w:val="22"/>
        </w:rPr>
        <w:t>的措施和修订项目进度计划。发包人应承担承包人由此增加的费用，增加的费用按第 </w:t>
      </w:r>
      <w:r>
        <w:rPr>
          <w:color w:val="231F20"/>
          <w:sz w:val="22"/>
        </w:rPr>
        <w:t>13</w:t>
      </w:r>
      <w:r>
        <w:rPr>
          <w:color w:val="231F20"/>
          <w:spacing w:val="7"/>
          <w:sz w:val="22"/>
        </w:rPr>
        <w:t> 条[ 变更与调整 ] 的约定执行，并向承包人支付专用合同条件约定的相应奖励金。</w:t>
      </w:r>
    </w:p>
    <w:p>
      <w:pPr>
        <w:pStyle w:val="ListParagraph"/>
        <w:numPr>
          <w:ilvl w:val="1"/>
          <w:numId w:val="66"/>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暂停工作</w:t>
      </w:r>
    </w:p>
    <w:p>
      <w:pPr>
        <w:pStyle w:val="ListParagraph"/>
        <w:numPr>
          <w:ilvl w:val="2"/>
          <w:numId w:val="66"/>
        </w:numPr>
        <w:tabs>
          <w:tab w:pos="1048" w:val="left" w:leader="none"/>
        </w:tabs>
        <w:spacing w:line="240" w:lineRule="auto" w:before="122" w:after="0"/>
        <w:ind w:left="1047" w:right="0" w:hanging="490"/>
        <w:jc w:val="left"/>
        <w:rPr>
          <w:sz w:val="22"/>
        </w:rPr>
      </w:pPr>
      <w:r>
        <w:rPr>
          <w:color w:val="231F20"/>
          <w:sz w:val="22"/>
        </w:rPr>
        <w:t>由发包人暂停工作</w:t>
      </w:r>
    </w:p>
    <w:p>
      <w:pPr>
        <w:pStyle w:val="BodyText"/>
        <w:spacing w:line="319" w:lineRule="auto"/>
        <w:ind w:right="117" w:firstLine="440"/>
        <w:jc w:val="both"/>
      </w:pPr>
      <w:r>
        <w:rPr>
          <w:color w:val="231F20"/>
        </w:rPr>
        <w:t>发包人认为必要时，可通过工程师向承包人发出经发包人签认的暂停工作通知，应列明暂停原因、暂停的日期及预计暂停的期限。承包人应按该通知暂停工作。</w:t>
      </w:r>
    </w:p>
    <w:p>
      <w:pPr>
        <w:pStyle w:val="BodyText"/>
        <w:spacing w:line="319" w:lineRule="auto" w:before="25"/>
        <w:ind w:right="117" w:firstLine="440"/>
        <w:jc w:val="both"/>
      </w:pPr>
      <w:r>
        <w:rPr>
          <w:color w:val="231F20"/>
        </w:rPr>
        <w:t>承包人因执行暂停工作通知而造成费用的增加和（或）工期延误由发包人承担，并有权要求发包人支付合理利润，但由于承包人原因造成发包人暂停工作的除外。</w:t>
      </w:r>
    </w:p>
    <w:p>
      <w:pPr>
        <w:pStyle w:val="ListParagraph"/>
        <w:numPr>
          <w:ilvl w:val="2"/>
          <w:numId w:val="66"/>
        </w:numPr>
        <w:tabs>
          <w:tab w:pos="1048" w:val="left" w:leader="none"/>
        </w:tabs>
        <w:spacing w:line="240" w:lineRule="auto" w:before="25" w:after="0"/>
        <w:ind w:left="1047" w:right="0" w:hanging="490"/>
        <w:jc w:val="left"/>
        <w:rPr>
          <w:sz w:val="22"/>
        </w:rPr>
      </w:pPr>
      <w:r>
        <w:rPr>
          <w:color w:val="231F20"/>
          <w:sz w:val="22"/>
        </w:rPr>
        <w:t>由承包人暂停工作</w:t>
      </w:r>
    </w:p>
    <w:p>
      <w:pPr>
        <w:pStyle w:val="BodyText"/>
        <w:spacing w:line="319" w:lineRule="auto"/>
        <w:ind w:right="115" w:firstLine="440"/>
        <w:jc w:val="both"/>
      </w:pPr>
      <w:r>
        <w:rPr>
          <w:color w:val="231F20"/>
        </w:rPr>
        <w:t>因承包人原因所造成部分或全部工程的暂停，承包人应采取措施尽快复工并赶上进度，由此造成费用的增加或工期延误由承包人承担。因此造成逾期竣工的，承包人应按第 8.7.2 项[ 因承包人原因导致工期延误 ] 承担逾期竣工违约责任。</w:t>
      </w:r>
    </w:p>
    <w:p>
      <w:pPr>
        <w:pStyle w:val="BodyText"/>
        <w:spacing w:line="319" w:lineRule="auto" w:before="26"/>
        <w:ind w:right="113" w:firstLine="440"/>
        <w:jc w:val="both"/>
      </w:pPr>
      <w:r>
        <w:rPr>
          <w:color w:val="231F20"/>
        </w:rPr>
        <w:t>合同履行过程中发生下列情形之一的，承包人可向发包人发出通知，要求发包人采取有效措施予以纠正。发包人收到承包人通知后的 28 天内仍不予以纠正，承包人有权暂停施工，并通知工程师。承包人有权要求发包人延长工期和（或）增加费用，并支付合理利润：</w:t>
      </w:r>
    </w:p>
    <w:p>
      <w:pPr>
        <w:pStyle w:val="BodyText"/>
        <w:spacing w:line="319" w:lineRule="auto" w:before="26"/>
        <w:ind w:right="99" w:firstLine="330"/>
      </w:pPr>
      <w:r>
        <w:rPr>
          <w:color w:val="231F20"/>
        </w:rPr>
        <w:t>（ 1）发包人拖延、拒绝批准付款申请和支付证书，或未能按合同约定支付价款，导致付款延误的；</w:t>
      </w:r>
    </w:p>
    <w:p>
      <w:pPr>
        <w:pStyle w:val="BodyText"/>
        <w:spacing w:line="319" w:lineRule="auto" w:before="26"/>
        <w:ind w:right="99" w:firstLine="330"/>
      </w:pPr>
      <w:r>
        <w:rPr>
          <w:color w:val="231F20"/>
        </w:rPr>
        <w:t>（ 2）发包人未按约定履行合同其他义务导致承包人无法继续履行合同的，或者发包人明确表示暂停或实质上已暂停履行合同的。</w:t>
      </w:r>
    </w:p>
    <w:p>
      <w:pPr>
        <w:pStyle w:val="ListParagraph"/>
        <w:numPr>
          <w:ilvl w:val="2"/>
          <w:numId w:val="66"/>
        </w:numPr>
        <w:tabs>
          <w:tab w:pos="1048" w:val="left" w:leader="none"/>
        </w:tabs>
        <w:spacing w:line="240" w:lineRule="auto" w:before="26" w:after="0"/>
        <w:ind w:left="1047" w:right="0" w:hanging="490"/>
        <w:jc w:val="left"/>
        <w:rPr>
          <w:sz w:val="22"/>
        </w:rPr>
      </w:pPr>
      <w:r>
        <w:rPr>
          <w:color w:val="231F20"/>
          <w:spacing w:val="-1"/>
          <w:sz w:val="22"/>
        </w:rPr>
        <w:t>除上述原因以外的暂停工作，双方应遵守第 </w:t>
      </w:r>
      <w:r>
        <w:rPr>
          <w:color w:val="231F20"/>
          <w:sz w:val="22"/>
        </w:rPr>
        <w:t>17</w:t>
      </w:r>
      <w:r>
        <w:rPr>
          <w:color w:val="231F20"/>
          <w:spacing w:val="-1"/>
          <w:sz w:val="22"/>
        </w:rPr>
        <w:t> 条 [ 不可抗力 ] 的相关约定。</w:t>
      </w:r>
    </w:p>
    <w:p>
      <w:pPr>
        <w:pStyle w:val="ListParagraph"/>
        <w:numPr>
          <w:ilvl w:val="2"/>
          <w:numId w:val="66"/>
        </w:numPr>
        <w:tabs>
          <w:tab w:pos="1048" w:val="left" w:leader="none"/>
        </w:tabs>
        <w:spacing w:line="240" w:lineRule="auto" w:before="109" w:after="0"/>
        <w:ind w:left="1047" w:right="0" w:hanging="490"/>
        <w:jc w:val="left"/>
        <w:rPr>
          <w:sz w:val="22"/>
        </w:rPr>
      </w:pPr>
      <w:r>
        <w:rPr>
          <w:color w:val="231F20"/>
          <w:sz w:val="22"/>
        </w:rPr>
        <w:t>暂停工作期间的工程照管</w:t>
      </w:r>
    </w:p>
    <w:p>
      <w:pPr>
        <w:spacing w:after="0" w:line="240" w:lineRule="auto"/>
        <w:jc w:val="left"/>
        <w:rPr>
          <w:sz w:val="22"/>
        </w:rPr>
        <w:sectPr>
          <w:pgSz w:w="11910" w:h="16840"/>
          <w:pgMar w:header="0" w:footer="832" w:top="1580" w:bottom="1020" w:left="1300" w:right="1300"/>
        </w:sectPr>
      </w:pPr>
    </w:p>
    <w:p>
      <w:pPr>
        <w:pStyle w:val="BodyText"/>
        <w:spacing w:line="319" w:lineRule="auto" w:before="24"/>
        <w:ind w:right="210" w:firstLine="440"/>
        <w:jc w:val="both"/>
      </w:pPr>
      <w:r>
        <w:rPr>
          <w:color w:val="231F20"/>
        </w:rPr>
        <w:t>不论由于何种原因引起暂停工作的，暂停工作期间，承包人应负责对工程、工程物资及文件等进行照管和保护，并提供安全保障，由此增加的费用按第 8.9.1 项 [ 由发包人暂停工作 ] 和第 8.9.2 项 [ 由承包人暂停工作 ] 的约定承担。</w:t>
      </w:r>
    </w:p>
    <w:p>
      <w:pPr>
        <w:pStyle w:val="BodyText"/>
        <w:spacing w:line="319" w:lineRule="auto" w:before="26"/>
        <w:ind w:right="215" w:firstLine="440"/>
      </w:pPr>
      <w:r>
        <w:rPr>
          <w:color w:val="231F20"/>
        </w:rPr>
        <w:t>因承包人未能尽到照管、保护的责任造成损失的，使发包人的费用增加，（或）竣工日期延误的，由承包人按本合同约定承担责任。</w:t>
      </w:r>
    </w:p>
    <w:p>
      <w:pPr>
        <w:pStyle w:val="ListParagraph"/>
        <w:numPr>
          <w:ilvl w:val="2"/>
          <w:numId w:val="66"/>
        </w:numPr>
        <w:tabs>
          <w:tab w:pos="1048" w:val="left" w:leader="none"/>
        </w:tabs>
        <w:spacing w:line="240" w:lineRule="auto" w:before="26" w:after="0"/>
        <w:ind w:left="1047" w:right="0" w:hanging="490"/>
        <w:jc w:val="left"/>
        <w:rPr>
          <w:sz w:val="22"/>
        </w:rPr>
      </w:pPr>
      <w:r>
        <w:rPr>
          <w:color w:val="231F20"/>
          <w:sz w:val="22"/>
        </w:rPr>
        <w:t>拖长的暂停</w:t>
      </w:r>
    </w:p>
    <w:p>
      <w:pPr>
        <w:pStyle w:val="BodyText"/>
        <w:spacing w:line="319" w:lineRule="auto"/>
        <w:ind w:right="211" w:firstLine="440"/>
        <w:jc w:val="both"/>
      </w:pPr>
      <w:r>
        <w:rPr>
          <w:color w:val="231F20"/>
        </w:rPr>
        <w:t>根据第 8.9.1 项 [ 由发包人暂停工作 ] 暂停工作持续超过 56 天的，承包人可向发包人发出要求复工的通知。如果发包人没有在收到书面通知后 28 天内准许已暂停工作的全部或部分继续工作，承包人有权根据第 13 条 [ 变更与调整 ] 的约定，要求以变更方式调减受暂停影响的部分工程。发包人的暂停超过 56 天且暂停影响到整个工程的，承包人有权根据第 16.2 款 [ 由承包人解除合同 ] 的约定，发出解除合同的通知。</w:t>
      </w:r>
    </w:p>
    <w:p>
      <w:pPr>
        <w:pStyle w:val="ListParagraph"/>
        <w:numPr>
          <w:ilvl w:val="1"/>
          <w:numId w:val="66"/>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复工</w:t>
      </w:r>
    </w:p>
    <w:p>
      <w:pPr>
        <w:pStyle w:val="ListParagraph"/>
        <w:numPr>
          <w:ilvl w:val="2"/>
          <w:numId w:val="66"/>
        </w:numPr>
        <w:tabs>
          <w:tab w:pos="1179" w:val="left" w:leader="none"/>
        </w:tabs>
        <w:spacing w:line="319" w:lineRule="auto" w:before="121" w:after="0"/>
        <w:ind w:left="117" w:right="210" w:firstLine="440"/>
        <w:jc w:val="left"/>
        <w:rPr>
          <w:sz w:val="22"/>
        </w:rPr>
      </w:pPr>
      <w:r>
        <w:rPr>
          <w:color w:val="231F20"/>
          <w:spacing w:val="-2"/>
          <w:sz w:val="22"/>
        </w:rPr>
        <w:t>收到发包人的复工通知后，承包人应按通知时间复工；发包人通知的复工时间应当</w:t>
      </w:r>
      <w:r>
        <w:rPr>
          <w:color w:val="231F20"/>
          <w:sz w:val="22"/>
        </w:rPr>
        <w:t>给予承包人必要的准备复工时间。</w:t>
      </w:r>
    </w:p>
    <w:p>
      <w:pPr>
        <w:pStyle w:val="ListParagraph"/>
        <w:numPr>
          <w:ilvl w:val="2"/>
          <w:numId w:val="66"/>
        </w:numPr>
        <w:tabs>
          <w:tab w:pos="1146" w:val="left" w:leader="none"/>
        </w:tabs>
        <w:spacing w:line="319" w:lineRule="auto" w:before="25" w:after="0"/>
        <w:ind w:left="117" w:right="219" w:firstLine="440"/>
        <w:jc w:val="left"/>
        <w:rPr>
          <w:sz w:val="22"/>
        </w:rPr>
      </w:pPr>
      <w:r>
        <w:rPr>
          <w:color w:val="231F20"/>
          <w:spacing w:val="-5"/>
          <w:sz w:val="22"/>
        </w:rPr>
        <w:t>不论由于何种原因引起暂停工作，双方均可要求对方一同对受暂停影响的工程、工程设备和工程物资进行检查，承包人应将检查结果及需要恢复、修复的内容和估算通知发包人。</w:t>
      </w:r>
    </w:p>
    <w:p>
      <w:pPr>
        <w:pStyle w:val="ListParagraph"/>
        <w:numPr>
          <w:ilvl w:val="2"/>
          <w:numId w:val="66"/>
        </w:numPr>
        <w:tabs>
          <w:tab w:pos="1178" w:val="left" w:leader="none"/>
        </w:tabs>
        <w:spacing w:line="319" w:lineRule="auto" w:before="25" w:after="0"/>
        <w:ind w:left="117" w:right="213" w:firstLine="440"/>
        <w:jc w:val="left"/>
        <w:rPr>
          <w:sz w:val="22"/>
        </w:rPr>
      </w:pPr>
      <w:r>
        <w:rPr>
          <w:color w:val="231F20"/>
          <w:spacing w:val="1"/>
          <w:sz w:val="22"/>
        </w:rPr>
        <w:t>除第 </w:t>
      </w:r>
      <w:r>
        <w:rPr>
          <w:color w:val="231F20"/>
          <w:sz w:val="22"/>
        </w:rPr>
        <w:t>17 条 [ 不可抗力 ] 另有约定外，发生的恢复、修复价款及工期延误的后果由责任方承担。</w:t>
      </w:r>
    </w:p>
    <w:p>
      <w:pPr>
        <w:pStyle w:val="BodyText"/>
        <w:tabs>
          <w:tab w:pos="1009" w:val="left" w:leader="none"/>
        </w:tabs>
        <w:spacing w:before="19"/>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9</w:t>
      </w:r>
      <w:r>
        <w:rPr>
          <w:rFonts w:ascii="方正黑体_GBK" w:eastAsia="方正黑体_GBK" w:hint="eastAsia"/>
          <w:color w:val="231F20"/>
          <w:spacing w:val="-7"/>
        </w:rPr>
        <w:t> </w:t>
      </w:r>
      <w:r>
        <w:rPr>
          <w:rFonts w:ascii="方正黑体_GBK" w:eastAsia="方正黑体_GBK" w:hint="eastAsia"/>
          <w:color w:val="231F20"/>
        </w:rPr>
        <w:t>条</w:t>
        <w:tab/>
        <w:t>竣工试验</w:t>
      </w:r>
    </w:p>
    <w:p>
      <w:pPr>
        <w:pStyle w:val="ListParagraph"/>
        <w:numPr>
          <w:ilvl w:val="1"/>
          <w:numId w:val="67"/>
        </w:numPr>
        <w:tabs>
          <w:tab w:pos="924" w:val="left" w:leader="none"/>
        </w:tabs>
        <w:spacing w:line="240" w:lineRule="auto" w:before="116" w:after="0"/>
        <w:ind w:left="923" w:right="0" w:hanging="366"/>
        <w:jc w:val="left"/>
        <w:rPr>
          <w:rFonts w:ascii="方正黑体_GBK" w:eastAsia="方正黑体_GBK" w:hint="eastAsia"/>
          <w:sz w:val="22"/>
        </w:rPr>
      </w:pPr>
      <w:r>
        <w:rPr>
          <w:rFonts w:ascii="方正黑体_GBK" w:eastAsia="方正黑体_GBK" w:hint="eastAsia"/>
          <w:color w:val="231F20"/>
          <w:sz w:val="22"/>
        </w:rPr>
        <w:t>竣工试验的义务</w:t>
      </w:r>
    </w:p>
    <w:p>
      <w:pPr>
        <w:pStyle w:val="ListParagraph"/>
        <w:numPr>
          <w:ilvl w:val="2"/>
          <w:numId w:val="67"/>
        </w:numPr>
        <w:tabs>
          <w:tab w:pos="1072" w:val="left" w:leader="none"/>
        </w:tabs>
        <w:spacing w:line="319" w:lineRule="auto" w:before="122" w:after="0"/>
        <w:ind w:left="117" w:right="218" w:firstLine="440"/>
        <w:jc w:val="left"/>
        <w:rPr>
          <w:sz w:val="22"/>
        </w:rPr>
      </w:pPr>
      <w:r>
        <w:rPr>
          <w:color w:val="231F20"/>
          <w:spacing w:val="2"/>
          <w:sz w:val="22"/>
        </w:rPr>
        <w:t>承包人完成工程或区段工程进行竣工试验所需的作业，并根据第 </w:t>
      </w:r>
      <w:r>
        <w:rPr>
          <w:color w:val="231F20"/>
          <w:sz w:val="22"/>
        </w:rPr>
        <w:t>5.4 款 [ 竣工文件 ] </w:t>
      </w:r>
      <w:r>
        <w:rPr>
          <w:color w:val="231F20"/>
          <w:spacing w:val="-1"/>
          <w:sz w:val="22"/>
        </w:rPr>
        <w:t>和第 </w:t>
      </w:r>
      <w:r>
        <w:rPr>
          <w:color w:val="231F20"/>
          <w:sz w:val="22"/>
        </w:rPr>
        <w:t>5.5</w:t>
      </w:r>
      <w:r>
        <w:rPr>
          <w:color w:val="231F20"/>
          <w:spacing w:val="-1"/>
          <w:sz w:val="22"/>
        </w:rPr>
        <w:t> 款 [ 操作和维修手册 ] 提交文件后，进行竣工试验。</w:t>
      </w:r>
    </w:p>
    <w:p>
      <w:pPr>
        <w:pStyle w:val="ListParagraph"/>
        <w:numPr>
          <w:ilvl w:val="2"/>
          <w:numId w:val="67"/>
        </w:numPr>
        <w:tabs>
          <w:tab w:pos="1072" w:val="left" w:leader="none"/>
        </w:tabs>
        <w:spacing w:line="319" w:lineRule="auto" w:before="25" w:after="0"/>
        <w:ind w:left="117" w:right="103" w:firstLine="440"/>
        <w:jc w:val="left"/>
        <w:rPr>
          <w:sz w:val="22"/>
        </w:rPr>
      </w:pPr>
      <w:r>
        <w:rPr>
          <w:color w:val="231F20"/>
          <w:spacing w:val="2"/>
          <w:sz w:val="22"/>
        </w:rPr>
        <w:t>承包人应在进行竣工试验之前，至少提前 </w:t>
      </w:r>
      <w:r>
        <w:rPr>
          <w:color w:val="231F20"/>
          <w:sz w:val="22"/>
        </w:rPr>
        <w:t>42</w:t>
      </w:r>
      <w:r>
        <w:rPr>
          <w:color w:val="231F20"/>
          <w:spacing w:val="2"/>
          <w:sz w:val="22"/>
        </w:rPr>
        <w:t> 天向工程师提交详细的竣工试验计划， 该计划应载明竣工试验的内容、地点、拟开展时间和需要发包人提供的资源条件。工程师应在收到计划后的 </w:t>
      </w:r>
      <w:r>
        <w:rPr>
          <w:color w:val="231F20"/>
          <w:sz w:val="22"/>
        </w:rPr>
        <w:t>14</w:t>
      </w:r>
      <w:r>
        <w:rPr>
          <w:color w:val="231F20"/>
          <w:spacing w:val="0"/>
          <w:sz w:val="22"/>
        </w:rPr>
        <w:t> 天内进行审查，并就该计划不符合合同的部分提出意见，承包人应在收到意</w:t>
      </w:r>
      <w:r>
        <w:rPr>
          <w:color w:val="231F20"/>
          <w:spacing w:val="1"/>
          <w:sz w:val="22"/>
        </w:rPr>
        <w:t>见后的 </w:t>
      </w:r>
      <w:r>
        <w:rPr>
          <w:color w:val="231F20"/>
          <w:sz w:val="22"/>
        </w:rPr>
        <w:t>14</w:t>
      </w:r>
      <w:r>
        <w:rPr>
          <w:color w:val="231F20"/>
          <w:spacing w:val="0"/>
          <w:sz w:val="22"/>
        </w:rPr>
        <w:t> 天内自费对计划进行修正。工程师逾期未提出意见的，视为竣工试验计划已得到确</w:t>
      </w:r>
      <w:r>
        <w:rPr>
          <w:color w:val="231F20"/>
          <w:sz w:val="22"/>
        </w:rPr>
        <w:t>认。除提交竣工试验计划外，承包人还应提前 21</w:t>
      </w:r>
      <w:r>
        <w:rPr>
          <w:color w:val="231F20"/>
          <w:spacing w:val="2"/>
          <w:sz w:val="22"/>
        </w:rPr>
        <w:t> 天将可以开始进行各项竣工试验的日期通知</w:t>
      </w:r>
      <w:r>
        <w:rPr>
          <w:color w:val="231F20"/>
          <w:spacing w:val="-1"/>
          <w:sz w:val="22"/>
        </w:rPr>
        <w:t>工程师，并在该日期后的 </w:t>
      </w:r>
      <w:r>
        <w:rPr>
          <w:color w:val="231F20"/>
          <w:sz w:val="22"/>
        </w:rPr>
        <w:t>14</w:t>
      </w:r>
      <w:r>
        <w:rPr>
          <w:color w:val="231F20"/>
          <w:spacing w:val="-1"/>
          <w:sz w:val="22"/>
        </w:rPr>
        <w:t> 天内或工程师指示的日期进行竣工试验。</w:t>
      </w:r>
    </w:p>
    <w:p>
      <w:pPr>
        <w:pStyle w:val="ListParagraph"/>
        <w:numPr>
          <w:ilvl w:val="2"/>
          <w:numId w:val="67"/>
        </w:numPr>
        <w:tabs>
          <w:tab w:pos="1070" w:val="left" w:leader="none"/>
        </w:tabs>
        <w:spacing w:line="319" w:lineRule="auto" w:before="25" w:after="0"/>
        <w:ind w:left="117" w:right="212" w:firstLine="440"/>
        <w:jc w:val="both"/>
        <w:rPr>
          <w:sz w:val="22"/>
        </w:rPr>
      </w:pPr>
      <w:r>
        <w:rPr>
          <w:color w:val="231F20"/>
          <w:spacing w:val="1"/>
          <w:sz w:val="22"/>
        </w:rPr>
        <w:t>承包人应根据经确认的竣工试验计划以及第 </w:t>
      </w:r>
      <w:r>
        <w:rPr>
          <w:color w:val="231F20"/>
          <w:sz w:val="22"/>
        </w:rPr>
        <w:t>6.5 款 [ 由承包人试验和检验 ] 进行竣工试验。除《发包人要求》中另有说明外，竣工试验应按以下顺序分阶段进行，即只有在工程或区段工程已通过上一阶段试验的情况下，才可进行下一阶段试验：</w:t>
      </w:r>
    </w:p>
    <w:p>
      <w:pPr>
        <w:spacing w:after="0" w:line="319" w:lineRule="auto"/>
        <w:jc w:val="both"/>
        <w:rPr>
          <w:sz w:val="22"/>
        </w:rPr>
        <w:sectPr>
          <w:footerReference w:type="even" r:id="rId23"/>
          <w:footerReference w:type="default" r:id="rId24"/>
          <w:pgSz w:w="11910" w:h="16840"/>
          <w:pgMar w:footer="832" w:header="0" w:top="1580" w:bottom="1020" w:left="1300" w:right="1200"/>
        </w:sectPr>
      </w:pPr>
    </w:p>
    <w:p>
      <w:pPr>
        <w:pStyle w:val="BodyText"/>
        <w:spacing w:line="319" w:lineRule="auto" w:before="24"/>
        <w:ind w:right="199" w:firstLine="330"/>
      </w:pPr>
      <w:r>
        <w:rPr>
          <w:color w:val="231F20"/>
        </w:rPr>
        <w:t>（ 1）承包人进行启动前试验，包括适当的检查和功能性试验，以证明工程或区段工程的每一部分均能够安全地承受下一阶段试验；</w:t>
      </w:r>
    </w:p>
    <w:p>
      <w:pPr>
        <w:pStyle w:val="BodyText"/>
        <w:spacing w:line="319" w:lineRule="auto" w:before="26"/>
        <w:ind w:right="199" w:firstLine="330"/>
      </w:pPr>
      <w:r>
        <w:rPr>
          <w:color w:val="231F20"/>
        </w:rPr>
        <w:t>（ 2）承包人进行启动试验，以证明工程或区段工程能够在所有可利用的操作条件下安全运行，并按照专用合同条件和《发包人要求》中的规定操作；</w:t>
      </w:r>
    </w:p>
    <w:p>
      <w:pPr>
        <w:pStyle w:val="BodyText"/>
        <w:spacing w:line="319" w:lineRule="auto" w:before="26"/>
        <w:ind w:right="105" w:firstLine="330"/>
      </w:pPr>
      <w:r>
        <w:rPr>
          <w:color w:val="231F20"/>
        </w:rPr>
        <w:t>（ 3）承包人进行试运行试验。当工程或区段工程能稳定安全运行时，承包人应通知工程师，可以进行其他竣工试验，包括各种性能测试，以证明工程或区段工程符合《发包人要求》中列明的性能保证指标。</w:t>
      </w:r>
    </w:p>
    <w:p>
      <w:pPr>
        <w:pStyle w:val="BodyText"/>
        <w:spacing w:line="319" w:lineRule="auto" w:before="26"/>
        <w:ind w:right="215" w:firstLine="440"/>
      </w:pPr>
      <w:r>
        <w:rPr>
          <w:color w:val="231F20"/>
        </w:rPr>
        <w:t>进行上述试验不应构成第 10 条 [ 验收和工程接收 ] 规定的接收，但试验所产生的任何产品或其他收益均应归属于发包人。</w:t>
      </w:r>
    </w:p>
    <w:p>
      <w:pPr>
        <w:pStyle w:val="ListParagraph"/>
        <w:numPr>
          <w:ilvl w:val="2"/>
          <w:numId w:val="67"/>
        </w:numPr>
        <w:tabs>
          <w:tab w:pos="1049" w:val="left" w:leader="none"/>
        </w:tabs>
        <w:spacing w:line="319" w:lineRule="auto" w:before="26" w:after="0"/>
        <w:ind w:left="117" w:right="210" w:firstLine="440"/>
        <w:jc w:val="both"/>
        <w:rPr>
          <w:sz w:val="22"/>
        </w:rPr>
      </w:pPr>
      <w:r>
        <w:rPr>
          <w:color w:val="231F20"/>
          <w:sz w:val="22"/>
        </w:rPr>
        <w:t>完成上述各阶段竣工试验后，承包人应向工程师提交试验结果报告，试验结果须符合约定的标准、规范和数据。工程师应在收到报告后 14</w:t>
      </w:r>
      <w:r>
        <w:rPr>
          <w:color w:val="231F20"/>
          <w:spacing w:val="0"/>
          <w:sz w:val="22"/>
        </w:rPr>
        <w:t> 天内予以回复，逾期未回复的，视为认</w:t>
      </w:r>
      <w:r>
        <w:rPr>
          <w:color w:val="231F20"/>
          <w:sz w:val="22"/>
        </w:rPr>
        <w:t>可竣工试验结果。但在考虑工程或区段工程是否通过竣工试验时，应适当考虑发包人对工程或其任何部分的使用，对工程或区段工程的性能、特性和试验结果产生的影响。</w:t>
      </w:r>
    </w:p>
    <w:p>
      <w:pPr>
        <w:pStyle w:val="ListParagraph"/>
        <w:numPr>
          <w:ilvl w:val="1"/>
          <w:numId w:val="68"/>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延误的试验</w:t>
      </w:r>
    </w:p>
    <w:p>
      <w:pPr>
        <w:pStyle w:val="ListParagraph"/>
        <w:numPr>
          <w:ilvl w:val="2"/>
          <w:numId w:val="68"/>
        </w:numPr>
        <w:tabs>
          <w:tab w:pos="1070" w:val="left" w:leader="none"/>
        </w:tabs>
        <w:spacing w:line="319" w:lineRule="auto" w:before="121" w:after="0"/>
        <w:ind w:left="117" w:right="209" w:firstLine="440"/>
        <w:jc w:val="both"/>
        <w:rPr>
          <w:sz w:val="22"/>
        </w:rPr>
      </w:pPr>
      <w:r>
        <w:rPr>
          <w:color w:val="231F20"/>
          <w:spacing w:val="1"/>
          <w:sz w:val="22"/>
        </w:rPr>
        <w:t>如果承包人已根据第 </w:t>
      </w:r>
      <w:r>
        <w:rPr>
          <w:color w:val="231F20"/>
          <w:sz w:val="22"/>
        </w:rPr>
        <w:t>9.1 款 [ 竣工试验的义务 ] 就可以开始进行各项竣工试验的日期通知工程师，但该等试验因发包人原因被延误 14</w:t>
      </w:r>
      <w:r>
        <w:rPr>
          <w:color w:val="231F20"/>
          <w:spacing w:val="2"/>
          <w:sz w:val="22"/>
        </w:rPr>
        <w:t> 天以上的，发包人应承担由此增加的费用和</w:t>
      </w:r>
      <w:r>
        <w:rPr>
          <w:color w:val="231F20"/>
          <w:sz w:val="22"/>
        </w:rPr>
        <w:t>工期延误，并支付承包人合理利润。同时，承包人应在合理可行的情况下尽快进行竣工试验。</w:t>
      </w:r>
    </w:p>
    <w:p>
      <w:pPr>
        <w:pStyle w:val="ListParagraph"/>
        <w:numPr>
          <w:ilvl w:val="2"/>
          <w:numId w:val="68"/>
        </w:numPr>
        <w:tabs>
          <w:tab w:pos="1049" w:val="left" w:leader="none"/>
        </w:tabs>
        <w:spacing w:line="319" w:lineRule="auto" w:before="25" w:after="0"/>
        <w:ind w:left="117" w:right="215" w:firstLine="440"/>
        <w:jc w:val="both"/>
        <w:rPr>
          <w:sz w:val="22"/>
        </w:rPr>
      </w:pPr>
      <w:r>
        <w:rPr>
          <w:color w:val="231F20"/>
          <w:sz w:val="22"/>
        </w:rPr>
        <w:t>承包人无正当理由延误进行竣工试验的，工程师可向其发出通知，要求其在收到通知</w:t>
      </w:r>
      <w:r>
        <w:rPr>
          <w:color w:val="231F20"/>
          <w:spacing w:val="1"/>
          <w:sz w:val="22"/>
        </w:rPr>
        <w:t>后的 </w:t>
      </w:r>
      <w:r>
        <w:rPr>
          <w:color w:val="231F20"/>
          <w:sz w:val="22"/>
        </w:rPr>
        <w:t>21 天内进行该项竣工试验。承包人应在该 21 天的期限内确定进行试验的日期，并至少提前 7 天通知工程师。</w:t>
      </w:r>
    </w:p>
    <w:p>
      <w:pPr>
        <w:pStyle w:val="ListParagraph"/>
        <w:numPr>
          <w:ilvl w:val="2"/>
          <w:numId w:val="68"/>
        </w:numPr>
        <w:tabs>
          <w:tab w:pos="1049" w:val="left" w:leader="none"/>
        </w:tabs>
        <w:spacing w:line="319" w:lineRule="auto" w:before="25" w:after="0"/>
        <w:ind w:left="117" w:right="215" w:firstLine="440"/>
        <w:jc w:val="left"/>
        <w:rPr>
          <w:sz w:val="22"/>
        </w:rPr>
      </w:pPr>
      <w:r>
        <w:rPr>
          <w:color w:val="231F20"/>
          <w:sz w:val="22"/>
        </w:rPr>
        <w:t>如果承包人未在该期限内进行竣工试验，则发包人有权自行组织该项竣工试验，由此</w:t>
      </w:r>
      <w:r>
        <w:rPr>
          <w:color w:val="231F20"/>
          <w:spacing w:val="-1"/>
          <w:sz w:val="22"/>
        </w:rPr>
        <w:t>产生的合理费用由承包人承担。发包人应在试验完成后 </w:t>
      </w:r>
      <w:r>
        <w:rPr>
          <w:color w:val="231F20"/>
          <w:sz w:val="22"/>
        </w:rPr>
        <w:t>28</w:t>
      </w:r>
      <w:r>
        <w:rPr>
          <w:color w:val="231F20"/>
          <w:spacing w:val="-1"/>
          <w:sz w:val="22"/>
        </w:rPr>
        <w:t> 天内向承包人发送试验结果。</w:t>
      </w:r>
    </w:p>
    <w:p>
      <w:pPr>
        <w:pStyle w:val="ListParagraph"/>
        <w:numPr>
          <w:ilvl w:val="1"/>
          <w:numId w:val="69"/>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重新试验</w:t>
      </w:r>
    </w:p>
    <w:p>
      <w:pPr>
        <w:pStyle w:val="BodyText"/>
        <w:spacing w:line="319" w:lineRule="auto" w:before="122"/>
        <w:ind w:right="33" w:firstLine="440"/>
      </w:pPr>
      <w:r>
        <w:rPr>
          <w:color w:val="231F20"/>
        </w:rPr>
        <w:t>如果工程或区段工程未能通过竣工试验，则承包人应根据第6.6 款[ 缺陷和修补] 修补缺陷。发包人或承包人可要求按相同的条件，重新进行未通过的试验以及相关工程或区段工程的竣工试验。该等重新进行的试验仍应适用本条对于竣工试验的规定。</w:t>
      </w:r>
    </w:p>
    <w:p>
      <w:pPr>
        <w:pStyle w:val="ListParagraph"/>
        <w:numPr>
          <w:ilvl w:val="1"/>
          <w:numId w:val="69"/>
        </w:numPr>
        <w:tabs>
          <w:tab w:pos="924" w:val="left" w:leader="none"/>
        </w:tabs>
        <w:spacing w:line="240" w:lineRule="auto" w:before="20" w:after="0"/>
        <w:ind w:left="923" w:right="0" w:hanging="366"/>
        <w:jc w:val="left"/>
        <w:rPr>
          <w:rFonts w:ascii="方正黑体_GBK" w:eastAsia="方正黑体_GBK" w:hint="eastAsia"/>
          <w:sz w:val="22"/>
        </w:rPr>
      </w:pPr>
      <w:r>
        <w:rPr>
          <w:rFonts w:ascii="方正黑体_GBK" w:eastAsia="方正黑体_GBK" w:hint="eastAsia"/>
          <w:color w:val="231F20"/>
          <w:sz w:val="22"/>
        </w:rPr>
        <w:t>未能通过竣工试验</w:t>
      </w:r>
    </w:p>
    <w:p>
      <w:pPr>
        <w:pStyle w:val="ListParagraph"/>
        <w:numPr>
          <w:ilvl w:val="2"/>
          <w:numId w:val="69"/>
        </w:numPr>
        <w:tabs>
          <w:tab w:pos="1068" w:val="left" w:leader="none"/>
        </w:tabs>
        <w:spacing w:line="319" w:lineRule="auto" w:before="122" w:after="0"/>
        <w:ind w:left="117" w:right="106" w:firstLine="440"/>
        <w:jc w:val="left"/>
        <w:rPr>
          <w:sz w:val="22"/>
        </w:rPr>
      </w:pPr>
      <w:r>
        <w:rPr>
          <w:color w:val="231F20"/>
          <w:sz w:val="22"/>
        </w:rPr>
        <w:t>因发包人原因导致竣工试验未能通过的，承包人进行竣工试验的费用由发包人承担， 竣工日期相应顺延。</w:t>
      </w:r>
    </w:p>
    <w:p>
      <w:pPr>
        <w:pStyle w:val="ListParagraph"/>
        <w:numPr>
          <w:ilvl w:val="2"/>
          <w:numId w:val="69"/>
        </w:numPr>
        <w:tabs>
          <w:tab w:pos="1048" w:val="left" w:leader="none"/>
        </w:tabs>
        <w:spacing w:line="240" w:lineRule="auto" w:before="25" w:after="0"/>
        <w:ind w:left="1047" w:right="0" w:hanging="490"/>
        <w:jc w:val="left"/>
        <w:rPr>
          <w:sz w:val="22"/>
        </w:rPr>
      </w:pPr>
      <w:r>
        <w:rPr>
          <w:color w:val="231F20"/>
          <w:spacing w:val="-1"/>
          <w:sz w:val="22"/>
        </w:rPr>
        <w:t>如果工程或区段工程未能通过根据第 </w:t>
      </w:r>
      <w:r>
        <w:rPr>
          <w:color w:val="231F20"/>
          <w:sz w:val="22"/>
        </w:rPr>
        <w:t>9.3</w:t>
      </w:r>
      <w:r>
        <w:rPr>
          <w:color w:val="231F20"/>
          <w:spacing w:val="-1"/>
          <w:sz w:val="22"/>
        </w:rPr>
        <w:t> 款 [ 重新试验 ] 重新进行的竣工试验的，则：</w:t>
      </w:r>
    </w:p>
    <w:p>
      <w:pPr>
        <w:pStyle w:val="BodyText"/>
        <w:spacing w:before="108"/>
        <w:ind w:left="447"/>
      </w:pPr>
      <w:r>
        <w:rPr>
          <w:color w:val="231F20"/>
        </w:rPr>
        <w:t>（ 1）发包人有权要求承包人根据第 6.6 款[ 缺陷和修补] 继续进行修补和改正，并根据第 9.3</w:t>
      </w:r>
    </w:p>
    <w:p>
      <w:pPr>
        <w:spacing w:after="0"/>
        <w:sectPr>
          <w:pgSz w:w="11910" w:h="16840"/>
          <w:pgMar w:header="0" w:footer="832" w:top="1580" w:bottom="1020" w:left="1300" w:right="1200"/>
        </w:sectPr>
      </w:pPr>
    </w:p>
    <w:p>
      <w:pPr>
        <w:pStyle w:val="BodyText"/>
        <w:spacing w:before="24"/>
      </w:pPr>
      <w:r>
        <w:rPr>
          <w:color w:val="231F20"/>
        </w:rPr>
        <w:t>款 [ 重新试验 ] 再次进行竣工试验；</w:t>
      </w:r>
    </w:p>
    <w:p>
      <w:pPr>
        <w:pStyle w:val="BodyText"/>
        <w:spacing w:line="319" w:lineRule="auto"/>
        <w:ind w:right="110" w:firstLine="330"/>
        <w:jc w:val="both"/>
      </w:pPr>
      <w:r>
        <w:rPr>
          <w:color w:val="231F20"/>
        </w:rPr>
        <w:t>（ 2）未能通过竣工试验，对工程或区段工程的操作或使用未产生实质性影响的，发包人有权要求承包人自费修复，承担因此增加的费用和误期损害赔偿责任，并赔偿发包人的相应损失；无法修复时，发包人有权扣减该部分的相应付款，同时视为通过竣工验收；</w:t>
      </w:r>
    </w:p>
    <w:p>
      <w:pPr>
        <w:pStyle w:val="BodyText"/>
        <w:spacing w:line="319" w:lineRule="auto" w:before="25"/>
        <w:ind w:right="114" w:firstLine="330"/>
        <w:jc w:val="both"/>
      </w:pPr>
      <w:r>
        <w:rPr>
          <w:color w:val="231F20"/>
        </w:rPr>
        <w:t>（ 3）未能通过竣工试验，使工程或区段工程的任何主要部分丧失了生产、使用功能时，发包人有权指令承包人更换相关部分，承包人应承担因此增加的费用和误期损害赔偿责任，并赔偿发包人的相应损失；</w:t>
      </w:r>
    </w:p>
    <w:p>
      <w:pPr>
        <w:pStyle w:val="BodyText"/>
        <w:spacing w:line="319" w:lineRule="auto" w:before="25"/>
        <w:ind w:right="113" w:firstLine="330"/>
        <w:jc w:val="both"/>
      </w:pPr>
      <w:r>
        <w:rPr>
          <w:color w:val="231F20"/>
        </w:rPr>
        <w:t>（ 4）未能通过竣工试验，使整个工程或区段工程丧失了生产、使用功能时，发包人可拒收工程或区段工程，或指令承包人重新设计、重置相关部分，承包人应承担因此增加的费用和误期损害赔偿责任，并赔偿发包人的相应损失。同时发包人有权根据第 16.1 款 [ 由发包人解除合同 ] 的约定解除合同。</w:t>
      </w:r>
    </w:p>
    <w:p>
      <w:pPr>
        <w:pStyle w:val="BodyText"/>
        <w:tabs>
          <w:tab w:pos="1131" w:val="left" w:leader="none"/>
        </w:tabs>
        <w:spacing w:before="19"/>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10</w:t>
      </w:r>
      <w:r>
        <w:rPr>
          <w:rFonts w:ascii="方正黑体_GBK" w:eastAsia="方正黑体_GBK" w:hint="eastAsia"/>
          <w:color w:val="231F20"/>
          <w:spacing w:val="-7"/>
        </w:rPr>
        <w:t> </w:t>
      </w:r>
      <w:r>
        <w:rPr>
          <w:rFonts w:ascii="方正黑体_GBK" w:eastAsia="方正黑体_GBK" w:hint="eastAsia"/>
          <w:color w:val="231F20"/>
        </w:rPr>
        <w:t>条</w:t>
        <w:tab/>
        <w:t>验收和工程接收</w:t>
      </w:r>
    </w:p>
    <w:p>
      <w:pPr>
        <w:pStyle w:val="ListParagraph"/>
        <w:numPr>
          <w:ilvl w:val="1"/>
          <w:numId w:val="70"/>
        </w:numPr>
        <w:tabs>
          <w:tab w:pos="1046" w:val="left" w:leader="none"/>
        </w:tabs>
        <w:spacing w:line="240" w:lineRule="auto" w:before="115" w:after="0"/>
        <w:ind w:left="1045" w:right="0" w:hanging="488"/>
        <w:jc w:val="left"/>
        <w:rPr>
          <w:rFonts w:ascii="方正黑体_GBK" w:eastAsia="方正黑体_GBK" w:hint="eastAsia"/>
          <w:sz w:val="22"/>
        </w:rPr>
      </w:pPr>
      <w:r>
        <w:rPr>
          <w:rFonts w:ascii="方正黑体_GBK" w:eastAsia="方正黑体_GBK" w:hint="eastAsia"/>
          <w:color w:val="231F20"/>
          <w:sz w:val="22"/>
        </w:rPr>
        <w:t>竣工验收</w:t>
      </w:r>
    </w:p>
    <w:p>
      <w:pPr>
        <w:pStyle w:val="ListParagraph"/>
        <w:numPr>
          <w:ilvl w:val="2"/>
          <w:numId w:val="70"/>
        </w:numPr>
        <w:tabs>
          <w:tab w:pos="1157" w:val="left" w:leader="none"/>
        </w:tabs>
        <w:spacing w:line="240" w:lineRule="auto" w:before="121" w:after="0"/>
        <w:ind w:left="1156" w:right="0" w:hanging="599"/>
        <w:jc w:val="left"/>
        <w:rPr>
          <w:sz w:val="22"/>
        </w:rPr>
      </w:pPr>
      <w:r>
        <w:rPr>
          <w:color w:val="231F20"/>
          <w:sz w:val="22"/>
        </w:rPr>
        <w:t>竣工验收条件</w:t>
      </w:r>
    </w:p>
    <w:p>
      <w:pPr>
        <w:pStyle w:val="BodyText"/>
        <w:spacing w:before="108"/>
        <w:ind w:left="557"/>
      </w:pPr>
      <w:r>
        <w:rPr>
          <w:color w:val="231F20"/>
        </w:rPr>
        <w:t>工程具备以下条件的，承包人可以申请竣工验收：</w:t>
      </w:r>
    </w:p>
    <w:p>
      <w:pPr>
        <w:pStyle w:val="BodyText"/>
        <w:spacing w:line="319" w:lineRule="auto" w:before="108"/>
        <w:ind w:right="107" w:firstLine="330"/>
        <w:jc w:val="both"/>
      </w:pPr>
      <w:r>
        <w:rPr>
          <w:color w:val="231F20"/>
        </w:rPr>
        <w:t>（ 1）除因第 13 条 [ 变更与调整 ] 导致的工程量删减和第 14.5.3 项 [ 扫尾工作清单 ] 列入缺陷责任期内完成的扫尾工程和缺陷修补工作外，合同范围内的全部单位 / 区段工程以及有关工作，包括合同要求的试验和竣工试验均已完成，并符合合同要求；</w:t>
      </w:r>
    </w:p>
    <w:p>
      <w:pPr>
        <w:pStyle w:val="BodyText"/>
        <w:spacing w:before="25"/>
        <w:ind w:left="447"/>
      </w:pPr>
      <w:r>
        <w:rPr>
          <w:color w:val="231F20"/>
        </w:rPr>
        <w:t>（ 2）已按合同约定编制了扫尾工作和缺陷修补工作清单以及相应实施计划；</w:t>
      </w:r>
    </w:p>
    <w:p>
      <w:pPr>
        <w:pStyle w:val="BodyText"/>
        <w:ind w:left="447"/>
      </w:pPr>
      <w:r>
        <w:rPr>
          <w:color w:val="231F20"/>
        </w:rPr>
        <w:t>（ 3）已按合同约定的内容和份数备齐竣工资料；</w:t>
      </w:r>
    </w:p>
    <w:p>
      <w:pPr>
        <w:pStyle w:val="BodyText"/>
        <w:ind w:left="447"/>
      </w:pPr>
      <w:r>
        <w:rPr>
          <w:color w:val="231F20"/>
        </w:rPr>
        <w:t>（ 4）合同约定要求在竣工验收前应完成的其他工作。</w:t>
      </w:r>
    </w:p>
    <w:p>
      <w:pPr>
        <w:pStyle w:val="ListParagraph"/>
        <w:numPr>
          <w:ilvl w:val="2"/>
          <w:numId w:val="70"/>
        </w:numPr>
        <w:tabs>
          <w:tab w:pos="1157" w:val="left" w:leader="none"/>
        </w:tabs>
        <w:spacing w:line="240" w:lineRule="auto" w:before="109" w:after="0"/>
        <w:ind w:left="1156" w:right="0" w:hanging="599"/>
        <w:jc w:val="left"/>
        <w:rPr>
          <w:sz w:val="22"/>
        </w:rPr>
      </w:pPr>
      <w:r>
        <w:rPr>
          <w:color w:val="231F20"/>
          <w:sz w:val="22"/>
        </w:rPr>
        <w:t>竣工验收程序</w:t>
      </w:r>
    </w:p>
    <w:p>
      <w:pPr>
        <w:pStyle w:val="BodyText"/>
        <w:ind w:left="557"/>
      </w:pPr>
      <w:r>
        <w:rPr>
          <w:color w:val="231F20"/>
        </w:rPr>
        <w:t>除专用合同条件另有约定外，承包人申请竣工验收的，应当按照以下程序进行：</w:t>
      </w:r>
    </w:p>
    <w:p>
      <w:pPr>
        <w:pStyle w:val="BodyText"/>
        <w:spacing w:line="319" w:lineRule="auto"/>
        <w:ind w:right="109" w:firstLine="330"/>
        <w:jc w:val="both"/>
      </w:pPr>
      <w:r>
        <w:rPr>
          <w:color w:val="231F20"/>
        </w:rPr>
        <w:t>（ 1）承包人向工程师报送竣工验收申请报告，工程师应在收到竣工验收申请报告后 14 天内完成审查并报送发包人。工程师审查后认为尚不具备竣工验收条件的，应在收到竣工验收申请报告后的 14 天内通知承包人，指出在颁发接收证书前承包人还需进行的工作内容。承包人完成工程师通知的全部工作内容后，应再次提交竣工验收申请报告，直至工程师同意为止。</w:t>
      </w:r>
    </w:p>
    <w:p>
      <w:pPr>
        <w:pStyle w:val="BodyText"/>
        <w:spacing w:line="319" w:lineRule="auto" w:before="26"/>
        <w:ind w:right="109" w:firstLine="330"/>
        <w:jc w:val="both"/>
      </w:pPr>
      <w:r>
        <w:rPr>
          <w:color w:val="231F20"/>
        </w:rPr>
        <w:t>（</w:t>
      </w:r>
      <w:r>
        <w:rPr>
          <w:color w:val="231F20"/>
          <w:spacing w:val="-27"/>
        </w:rPr>
        <w:t> </w:t>
      </w:r>
      <w:r>
        <w:rPr>
          <w:color w:val="231F20"/>
          <w:spacing w:val="-19"/>
        </w:rPr>
        <w:t>2）</w:t>
      </w:r>
      <w:r>
        <w:rPr>
          <w:color w:val="231F20"/>
        </w:rPr>
        <w:t>工程师同意承包人提交的竣工验收申请报告的，或工程师收到竣工验收申请报告后 14 天内不予答复的，视为发包人收到并同意承包人的竣工验收申请，发包人应在收到该竣工验收</w:t>
      </w:r>
      <w:r>
        <w:rPr>
          <w:color w:val="231F20"/>
          <w:spacing w:val="2"/>
        </w:rPr>
        <w:t>申请报告后的 </w:t>
      </w:r>
      <w:r>
        <w:rPr>
          <w:color w:val="231F20"/>
        </w:rPr>
        <w:t>28</w:t>
      </w:r>
      <w:r>
        <w:rPr>
          <w:color w:val="231F20"/>
          <w:spacing w:val="0"/>
        </w:rPr>
        <w:t> 天内进行竣工验收。工程经竣工验收合格的，以竣工验收合格之日为实际竣</w:t>
      </w:r>
      <w:r>
        <w:rPr>
          <w:color w:val="231F20"/>
          <w:spacing w:val="-4"/>
        </w:rPr>
        <w:t>工日期，并在工程接收证书中载明；完成竣工验收但发包人不予签发工程接收证书的，视为竣</w:t>
      </w:r>
    </w:p>
    <w:p>
      <w:pPr>
        <w:spacing w:after="0" w:line="319" w:lineRule="auto"/>
        <w:jc w:val="both"/>
        <w:sectPr>
          <w:footerReference w:type="even" r:id="rId25"/>
          <w:footerReference w:type="default" r:id="rId26"/>
          <w:pgSz w:w="11910" w:h="16840"/>
          <w:pgMar w:footer="832" w:header="0" w:top="1580" w:bottom="1020" w:left="1300" w:right="1300"/>
          <w:pgNumType w:start="52"/>
        </w:sectPr>
      </w:pPr>
    </w:p>
    <w:p>
      <w:pPr>
        <w:pStyle w:val="BodyText"/>
        <w:spacing w:before="24"/>
        <w:ind w:left="217"/>
      </w:pPr>
      <w:r>
        <w:rPr>
          <w:color w:val="231F20"/>
        </w:rPr>
        <w:t>工验收合格，以完成竣工验收之日为实际竣工日期。</w:t>
      </w:r>
    </w:p>
    <w:p>
      <w:pPr>
        <w:pStyle w:val="BodyText"/>
        <w:spacing w:line="319" w:lineRule="auto"/>
        <w:ind w:left="217" w:right="205" w:firstLine="330"/>
        <w:jc w:val="both"/>
      </w:pPr>
      <w:r>
        <w:rPr>
          <w:color w:val="231F20"/>
        </w:rPr>
        <w:t>（ 3）竣工验收不合格的，工程师应按照验收意见发出指示，要求承包人对不合格工程返工、修复或采取其他补救措施，由此增加的费用和（或）延误的工期由承包人承担。承包人在完成不合格工程的返工、修复或采取其他补救措施后，应重新提交竣工验收申请报告，并按本项约定的程序重新进行验收。</w:t>
      </w:r>
    </w:p>
    <w:p>
      <w:pPr>
        <w:pStyle w:val="BodyText"/>
        <w:spacing w:line="319" w:lineRule="auto" w:before="25"/>
        <w:ind w:left="217" w:right="207" w:firstLine="330"/>
        <w:jc w:val="both"/>
      </w:pPr>
      <w:r>
        <w:rPr>
          <w:color w:val="231F20"/>
        </w:rPr>
        <w:t>（ 4）因发包人原因，未在工程师收到承包人竣工验收申请报告之日起 42 天内完成竣工验收的，以承包人提交竣工验收申请报告之日作为工程实际竣工日期。</w:t>
      </w:r>
    </w:p>
    <w:p>
      <w:pPr>
        <w:pStyle w:val="BodyText"/>
        <w:spacing w:before="25"/>
        <w:ind w:left="547"/>
      </w:pPr>
      <w:r>
        <w:rPr>
          <w:color w:val="231F20"/>
        </w:rPr>
        <w:t>（ 5）工程未经竣工验收，发包人擅自使用的，以转移占有工程之日为实际竣工日期。</w:t>
      </w:r>
    </w:p>
    <w:p>
      <w:pPr>
        <w:pStyle w:val="BodyText"/>
        <w:spacing w:line="319" w:lineRule="auto"/>
        <w:ind w:left="217" w:right="204" w:firstLine="440"/>
      </w:pPr>
      <w:r>
        <w:rPr>
          <w:color w:val="231F20"/>
        </w:rPr>
        <w:t>除专用合同条件另有约定外，发包人不按照本项和第 10.4 款 [ 接收证书 ] 约定组织竣工验收、颁发工程接收证书的，每逾期一天，应以签约合同价为基数，按照贷款市场报价利率</w:t>
      </w:r>
    </w:p>
    <w:p>
      <w:pPr>
        <w:pStyle w:val="BodyText"/>
        <w:spacing w:before="26"/>
        <w:ind w:left="107"/>
      </w:pPr>
      <w:r>
        <w:rPr>
          <w:color w:val="231F20"/>
        </w:rPr>
        <w:t>（ LPR）支付违约金。</w:t>
      </w:r>
    </w:p>
    <w:p>
      <w:pPr>
        <w:pStyle w:val="ListParagraph"/>
        <w:numPr>
          <w:ilvl w:val="1"/>
          <w:numId w:val="70"/>
        </w:numPr>
        <w:tabs>
          <w:tab w:pos="1146" w:val="left" w:leader="none"/>
        </w:tabs>
        <w:spacing w:line="240" w:lineRule="auto" w:before="103" w:after="0"/>
        <w:ind w:left="1145" w:right="0" w:hanging="488"/>
        <w:jc w:val="left"/>
        <w:rPr>
          <w:rFonts w:ascii="方正黑体_GBK" w:eastAsia="方正黑体_GBK" w:hint="eastAsia"/>
          <w:sz w:val="22"/>
        </w:rPr>
      </w:pPr>
      <w:r>
        <w:rPr>
          <w:rFonts w:ascii="方正黑体_GBK" w:eastAsia="方正黑体_GBK" w:hint="eastAsia"/>
          <w:color w:val="231F20"/>
          <w:spacing w:val="-3"/>
          <w:sz w:val="22"/>
        </w:rPr>
        <w:t>单位 </w:t>
      </w:r>
      <w:r>
        <w:rPr>
          <w:rFonts w:ascii="方正黑体_GBK" w:eastAsia="方正黑体_GBK" w:hint="eastAsia"/>
          <w:color w:val="231F20"/>
          <w:sz w:val="22"/>
        </w:rPr>
        <w:t>/</w:t>
      </w:r>
      <w:r>
        <w:rPr>
          <w:rFonts w:ascii="方正黑体_GBK" w:eastAsia="方正黑体_GBK" w:hint="eastAsia"/>
          <w:color w:val="231F20"/>
          <w:spacing w:val="-3"/>
          <w:sz w:val="22"/>
        </w:rPr>
        <w:t> 区段工程的验收</w:t>
      </w:r>
    </w:p>
    <w:p>
      <w:pPr>
        <w:pStyle w:val="ListParagraph"/>
        <w:numPr>
          <w:ilvl w:val="2"/>
          <w:numId w:val="70"/>
        </w:numPr>
        <w:tabs>
          <w:tab w:pos="1279" w:val="left" w:leader="none"/>
        </w:tabs>
        <w:spacing w:line="319" w:lineRule="auto" w:before="122" w:after="0"/>
        <w:ind w:left="217" w:right="207" w:firstLine="440"/>
        <w:jc w:val="left"/>
        <w:rPr>
          <w:sz w:val="22"/>
        </w:rPr>
      </w:pPr>
      <w:r>
        <w:rPr>
          <w:color w:val="231F20"/>
          <w:spacing w:val="0"/>
          <w:sz w:val="22"/>
        </w:rPr>
        <w:t>发包人根据项目进度计划安排，在全部工程竣工前需要使用已经竣工的单位 </w:t>
      </w:r>
      <w:r>
        <w:rPr>
          <w:color w:val="231F20"/>
          <w:sz w:val="22"/>
        </w:rPr>
        <w:t>/</w:t>
      </w:r>
      <w:r>
        <w:rPr>
          <w:color w:val="231F20"/>
          <w:spacing w:val="3"/>
          <w:sz w:val="22"/>
        </w:rPr>
        <w:t> 区段</w:t>
      </w:r>
      <w:r>
        <w:rPr>
          <w:color w:val="231F20"/>
          <w:spacing w:val="2"/>
          <w:sz w:val="22"/>
        </w:rPr>
        <w:t>工程时，或承包人提出经发包人同意时，可进行单位 </w:t>
      </w:r>
      <w:r>
        <w:rPr>
          <w:color w:val="231F20"/>
          <w:sz w:val="22"/>
        </w:rPr>
        <w:t>/</w:t>
      </w:r>
      <w:r>
        <w:rPr>
          <w:color w:val="231F20"/>
          <w:spacing w:val="5"/>
          <w:sz w:val="22"/>
        </w:rPr>
        <w:t> 区段工程验收。验收的程序可参照第</w:t>
      </w:r>
    </w:p>
    <w:p>
      <w:pPr>
        <w:pStyle w:val="BodyText"/>
        <w:spacing w:line="319" w:lineRule="auto" w:before="26"/>
        <w:ind w:left="217" w:right="92"/>
      </w:pPr>
      <w:r>
        <w:rPr>
          <w:color w:val="231F20"/>
        </w:rPr>
        <w:t>10.1 款 [ 竣工验收 ] 的约定进行。验收合格后，由工程师向承包人出具经发包人签认的单位 / 区段工程验收证书。单位/ 区段工程的验收成果和结论作为全部工程竣工验收申请报告的附件。</w:t>
      </w:r>
    </w:p>
    <w:p>
      <w:pPr>
        <w:pStyle w:val="BodyText"/>
        <w:spacing w:line="319" w:lineRule="auto" w:before="26"/>
        <w:ind w:left="217" w:right="91" w:firstLine="440"/>
      </w:pPr>
      <w:r>
        <w:rPr>
          <w:color w:val="231F20"/>
        </w:rPr>
        <w:t>10.2.2 发包人在全部工程竣工前，使用已接收的单位 / 区段工程导致承包人费用增加的， 发包人应承担由此增加的费用和（或）工期延误，并支付承包人合理利润。</w:t>
      </w:r>
    </w:p>
    <w:p>
      <w:pPr>
        <w:pStyle w:val="ListParagraph"/>
        <w:numPr>
          <w:ilvl w:val="1"/>
          <w:numId w:val="71"/>
        </w:numPr>
        <w:tabs>
          <w:tab w:pos="1146" w:val="left" w:leader="none"/>
        </w:tabs>
        <w:spacing w:line="240" w:lineRule="auto" w:before="20" w:after="0"/>
        <w:ind w:left="1145" w:right="0" w:hanging="488"/>
        <w:jc w:val="left"/>
        <w:rPr>
          <w:rFonts w:ascii="方正黑体_GBK" w:eastAsia="方正黑体_GBK" w:hint="eastAsia"/>
          <w:sz w:val="22"/>
        </w:rPr>
      </w:pPr>
      <w:r>
        <w:rPr>
          <w:rFonts w:ascii="方正黑体_GBK" w:eastAsia="方正黑体_GBK" w:hint="eastAsia"/>
          <w:color w:val="231F20"/>
          <w:sz w:val="22"/>
        </w:rPr>
        <w:t>工程的接收</w:t>
      </w:r>
    </w:p>
    <w:p>
      <w:pPr>
        <w:pStyle w:val="ListParagraph"/>
        <w:numPr>
          <w:ilvl w:val="2"/>
          <w:numId w:val="71"/>
        </w:numPr>
        <w:tabs>
          <w:tab w:pos="1279" w:val="left" w:leader="none"/>
        </w:tabs>
        <w:spacing w:line="319" w:lineRule="auto" w:before="122" w:after="0"/>
        <w:ind w:left="217" w:right="211" w:firstLine="440"/>
        <w:jc w:val="left"/>
        <w:rPr>
          <w:sz w:val="22"/>
        </w:rPr>
      </w:pPr>
      <w:r>
        <w:rPr>
          <w:color w:val="231F20"/>
          <w:spacing w:val="0"/>
          <w:sz w:val="22"/>
        </w:rPr>
        <w:t>根据工程项目的具体情况和特点，可按工程或单位 </w:t>
      </w:r>
      <w:r>
        <w:rPr>
          <w:color w:val="231F20"/>
          <w:sz w:val="22"/>
        </w:rPr>
        <w:t>/</w:t>
      </w:r>
      <w:r>
        <w:rPr>
          <w:color w:val="231F20"/>
          <w:spacing w:val="1"/>
          <w:sz w:val="22"/>
        </w:rPr>
        <w:t> 区段工程进行接收，并在专用</w:t>
      </w:r>
      <w:r>
        <w:rPr>
          <w:color w:val="231F20"/>
          <w:sz w:val="22"/>
        </w:rPr>
        <w:t>合同条件约定接收的先后顺序、时间安排和其他要求。</w:t>
      </w:r>
    </w:p>
    <w:p>
      <w:pPr>
        <w:pStyle w:val="ListParagraph"/>
        <w:numPr>
          <w:ilvl w:val="2"/>
          <w:numId w:val="71"/>
        </w:numPr>
        <w:tabs>
          <w:tab w:pos="1281" w:val="left" w:leader="none"/>
        </w:tabs>
        <w:spacing w:line="319" w:lineRule="auto" w:before="25" w:after="0"/>
        <w:ind w:left="217" w:right="107" w:firstLine="440"/>
        <w:jc w:val="left"/>
        <w:rPr>
          <w:sz w:val="22"/>
        </w:rPr>
      </w:pPr>
      <w:r>
        <w:rPr>
          <w:color w:val="231F20"/>
          <w:spacing w:val="1"/>
          <w:sz w:val="22"/>
        </w:rPr>
        <w:t>除按本条约定已经提交的资料外，接收工程时承包人需提交竣工验收资料的类别、内容、份数和提交时间，在专用合同条件中约定。</w:t>
      </w:r>
    </w:p>
    <w:p>
      <w:pPr>
        <w:pStyle w:val="ListParagraph"/>
        <w:numPr>
          <w:ilvl w:val="2"/>
          <w:numId w:val="71"/>
        </w:numPr>
        <w:tabs>
          <w:tab w:pos="1281" w:val="left" w:leader="none"/>
        </w:tabs>
        <w:spacing w:line="319" w:lineRule="auto" w:before="25" w:after="0"/>
        <w:ind w:left="217" w:right="106" w:firstLine="440"/>
        <w:jc w:val="left"/>
        <w:rPr>
          <w:sz w:val="22"/>
        </w:rPr>
      </w:pPr>
      <w:r>
        <w:rPr>
          <w:color w:val="231F20"/>
          <w:spacing w:val="0"/>
          <w:sz w:val="22"/>
        </w:rPr>
        <w:t>发包人无正当理由不接收工程的，发包人自应当接收工程之日起，承担工程照管、成品保护、保管等与工程有关的各项费用，合同当事人可以在专用合同条件中另行约定发包人逾期接收工程的违约责任。</w:t>
      </w:r>
    </w:p>
    <w:p>
      <w:pPr>
        <w:pStyle w:val="ListParagraph"/>
        <w:numPr>
          <w:ilvl w:val="2"/>
          <w:numId w:val="71"/>
        </w:numPr>
        <w:tabs>
          <w:tab w:pos="1278" w:val="left" w:leader="none"/>
        </w:tabs>
        <w:spacing w:line="319" w:lineRule="auto" w:before="25" w:after="0"/>
        <w:ind w:left="217" w:right="212" w:firstLine="440"/>
        <w:jc w:val="both"/>
        <w:rPr>
          <w:sz w:val="22"/>
        </w:rPr>
      </w:pPr>
      <w:r>
        <w:rPr>
          <w:color w:val="231F20"/>
          <w:sz w:val="22"/>
        </w:rPr>
        <w:t>承包人无正当理由不移交工程的，承包人应承担工程照管、成品保护、保管等与工程有关的各项费用，合同当事人可以在专用合同条件中另行约定承包人无正当理由不移交工程的违约责任。</w:t>
      </w:r>
    </w:p>
    <w:p>
      <w:pPr>
        <w:pStyle w:val="ListParagraph"/>
        <w:numPr>
          <w:ilvl w:val="1"/>
          <w:numId w:val="72"/>
        </w:numPr>
        <w:tabs>
          <w:tab w:pos="1146" w:val="left" w:leader="none"/>
        </w:tabs>
        <w:spacing w:line="240" w:lineRule="auto" w:before="19" w:after="0"/>
        <w:ind w:left="1145" w:right="0" w:hanging="488"/>
        <w:jc w:val="left"/>
        <w:rPr>
          <w:rFonts w:ascii="方正黑体_GBK" w:eastAsia="方正黑体_GBK" w:hint="eastAsia"/>
          <w:sz w:val="22"/>
        </w:rPr>
      </w:pPr>
      <w:r>
        <w:rPr>
          <w:rFonts w:ascii="方正黑体_GBK" w:eastAsia="方正黑体_GBK" w:hint="eastAsia"/>
          <w:color w:val="231F20"/>
          <w:sz w:val="22"/>
        </w:rPr>
        <w:t>接收证书</w:t>
      </w:r>
    </w:p>
    <w:p>
      <w:pPr>
        <w:pStyle w:val="ListParagraph"/>
        <w:numPr>
          <w:ilvl w:val="2"/>
          <w:numId w:val="72"/>
        </w:numPr>
        <w:tabs>
          <w:tab w:pos="1257" w:val="left" w:leader="none"/>
        </w:tabs>
        <w:spacing w:line="240" w:lineRule="auto" w:before="122" w:after="0"/>
        <w:ind w:left="117" w:right="0" w:firstLine="540"/>
        <w:jc w:val="left"/>
        <w:rPr>
          <w:sz w:val="22"/>
        </w:rPr>
      </w:pPr>
      <w:r>
        <w:rPr>
          <w:color w:val="231F20"/>
          <w:sz w:val="22"/>
        </w:rPr>
        <w:t>除专用合同条件另有约定外，承包人应在竣工验收合格后向发包人提交第14.6</w:t>
      </w:r>
      <w:r>
        <w:rPr>
          <w:color w:val="231F20"/>
          <w:spacing w:val="-7"/>
          <w:sz w:val="22"/>
        </w:rPr>
        <w:t> 款[ 质</w:t>
      </w:r>
    </w:p>
    <w:p>
      <w:pPr>
        <w:spacing w:after="0" w:line="240" w:lineRule="auto"/>
        <w:jc w:val="left"/>
        <w:rPr>
          <w:sz w:val="22"/>
        </w:rPr>
        <w:sectPr>
          <w:pgSz w:w="11910" w:h="16840"/>
          <w:pgMar w:header="0" w:footer="832" w:top="1580" w:bottom="1020" w:left="1200" w:right="1200"/>
        </w:sectPr>
      </w:pPr>
    </w:p>
    <w:p>
      <w:pPr>
        <w:pStyle w:val="BodyText"/>
        <w:spacing w:line="319" w:lineRule="auto" w:before="24"/>
        <w:ind w:right="114"/>
        <w:jc w:val="both"/>
      </w:pPr>
      <w:r>
        <w:rPr>
          <w:color w:val="231F20"/>
        </w:rPr>
        <w:t>量保证金] 约定的质量保证金，发包人应在竣工验收合格且工程具备接收条件后的 14 天内向承包人颁发工程接收证书，但承包人未提交质量保证金的，发包人有权拒绝颁发。发包人拒绝颁发工程接收证书的，应向承包人发出通知，说明理由并指出在颁发接收证书前承包人需要做的工作，需要修补的缺陷和承包人需要提供的文件。</w:t>
      </w:r>
    </w:p>
    <w:p>
      <w:pPr>
        <w:pStyle w:val="ListParagraph"/>
        <w:numPr>
          <w:ilvl w:val="2"/>
          <w:numId w:val="72"/>
        </w:numPr>
        <w:tabs>
          <w:tab w:pos="1179" w:val="left" w:leader="none"/>
        </w:tabs>
        <w:spacing w:line="319" w:lineRule="auto" w:before="26" w:after="0"/>
        <w:ind w:left="117" w:right="110" w:firstLine="440"/>
        <w:jc w:val="both"/>
        <w:rPr>
          <w:sz w:val="22"/>
        </w:rPr>
      </w:pPr>
      <w:r>
        <w:rPr>
          <w:color w:val="231F20"/>
          <w:spacing w:val="0"/>
          <w:sz w:val="22"/>
        </w:rPr>
        <w:t>发包人向承包人颁发的接收证书，应注明工程或单位 </w:t>
      </w:r>
      <w:r>
        <w:rPr>
          <w:color w:val="231F20"/>
          <w:sz w:val="22"/>
        </w:rPr>
        <w:t>/</w:t>
      </w:r>
      <w:r>
        <w:rPr>
          <w:color w:val="231F20"/>
          <w:spacing w:val="2"/>
          <w:sz w:val="22"/>
        </w:rPr>
        <w:t> 区段工程经验收合格的实际</w:t>
      </w:r>
      <w:r>
        <w:rPr>
          <w:color w:val="231F20"/>
          <w:sz w:val="22"/>
        </w:rPr>
        <w:t>竣工日期，并列明不在接收范围内的，在收尾工作和缺陷修补完成之前对工程或单位 /</w:t>
      </w:r>
      <w:r>
        <w:rPr>
          <w:color w:val="231F20"/>
          <w:spacing w:val="5"/>
          <w:sz w:val="22"/>
        </w:rPr>
        <w:t> 区段工程预期使用目的没有实质影响的少量收尾工作和缺陷。</w:t>
      </w:r>
    </w:p>
    <w:p>
      <w:pPr>
        <w:pStyle w:val="ListParagraph"/>
        <w:numPr>
          <w:ilvl w:val="2"/>
          <w:numId w:val="72"/>
        </w:numPr>
        <w:tabs>
          <w:tab w:pos="1176" w:val="left" w:leader="none"/>
        </w:tabs>
        <w:spacing w:line="319" w:lineRule="auto" w:before="26" w:after="0"/>
        <w:ind w:left="117" w:right="118" w:firstLine="440"/>
        <w:jc w:val="both"/>
        <w:rPr>
          <w:sz w:val="22"/>
        </w:rPr>
      </w:pPr>
      <w:r>
        <w:rPr>
          <w:color w:val="231F20"/>
          <w:sz w:val="22"/>
        </w:rPr>
        <w:t>竣工验收合格而发包人无正当理由逾期不颁发工程接收证书的，自验收合格后第 15 天起视为已颁发工程接收证书。</w:t>
      </w:r>
    </w:p>
    <w:p>
      <w:pPr>
        <w:pStyle w:val="ListParagraph"/>
        <w:numPr>
          <w:ilvl w:val="2"/>
          <w:numId w:val="72"/>
        </w:numPr>
        <w:tabs>
          <w:tab w:pos="1178" w:val="left" w:leader="none"/>
        </w:tabs>
        <w:spacing w:line="319" w:lineRule="auto" w:before="26" w:after="0"/>
        <w:ind w:left="117" w:right="114" w:firstLine="440"/>
        <w:jc w:val="both"/>
        <w:rPr>
          <w:sz w:val="22"/>
        </w:rPr>
      </w:pPr>
      <w:r>
        <w:rPr>
          <w:color w:val="231F20"/>
          <w:sz w:val="22"/>
        </w:rPr>
        <w:t>工程未经验收或验收不合格，发包人擅自使用的，应在转移占有工程后 7</w:t>
      </w:r>
      <w:r>
        <w:rPr>
          <w:color w:val="231F20"/>
          <w:spacing w:val="3"/>
          <w:sz w:val="22"/>
        </w:rPr>
        <w:t> 天内向承</w:t>
      </w:r>
      <w:r>
        <w:rPr>
          <w:color w:val="231F20"/>
          <w:spacing w:val="-2"/>
          <w:sz w:val="22"/>
        </w:rPr>
        <w:t>包人颁发工程接收证书；发包人无正当理由逾期不颁发工程接收证书的，自转移占有后第 </w:t>
      </w:r>
      <w:r>
        <w:rPr>
          <w:color w:val="231F20"/>
          <w:sz w:val="22"/>
        </w:rPr>
        <w:t>15</w:t>
      </w:r>
      <w:r>
        <w:rPr>
          <w:color w:val="231F20"/>
          <w:spacing w:val="-1"/>
          <w:sz w:val="22"/>
        </w:rPr>
        <w:t> 天起视为已颁发工程接收证书。</w:t>
      </w:r>
    </w:p>
    <w:p>
      <w:pPr>
        <w:pStyle w:val="ListParagraph"/>
        <w:numPr>
          <w:ilvl w:val="2"/>
          <w:numId w:val="72"/>
        </w:numPr>
        <w:tabs>
          <w:tab w:pos="1157" w:val="left" w:leader="none"/>
        </w:tabs>
        <w:spacing w:line="319" w:lineRule="auto" w:before="26" w:after="0"/>
        <w:ind w:left="117" w:right="115" w:firstLine="440"/>
        <w:jc w:val="both"/>
        <w:rPr>
          <w:sz w:val="22"/>
        </w:rPr>
      </w:pPr>
      <w:r>
        <w:rPr>
          <w:color w:val="231F20"/>
          <w:spacing w:val="-1"/>
          <w:sz w:val="22"/>
        </w:rPr>
        <w:t>存在扫尾工作的，工程接收证书中应当将第 </w:t>
      </w:r>
      <w:r>
        <w:rPr>
          <w:color w:val="231F20"/>
          <w:sz w:val="22"/>
        </w:rPr>
        <w:t>14.5.3 项[ 扫尾工作清单] 中约定的扫尾工作清单作为工程接收证书附件。</w:t>
      </w:r>
    </w:p>
    <w:p>
      <w:pPr>
        <w:pStyle w:val="ListParagraph"/>
        <w:numPr>
          <w:ilvl w:val="1"/>
          <w:numId w:val="73"/>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竣工退场</w:t>
      </w:r>
    </w:p>
    <w:p>
      <w:pPr>
        <w:pStyle w:val="ListParagraph"/>
        <w:numPr>
          <w:ilvl w:val="2"/>
          <w:numId w:val="73"/>
        </w:numPr>
        <w:tabs>
          <w:tab w:pos="1157" w:val="left" w:leader="none"/>
        </w:tabs>
        <w:spacing w:line="240" w:lineRule="auto" w:before="121" w:after="0"/>
        <w:ind w:left="1156" w:right="0" w:hanging="599"/>
        <w:jc w:val="left"/>
        <w:rPr>
          <w:sz w:val="22"/>
        </w:rPr>
      </w:pPr>
      <w:r>
        <w:rPr>
          <w:color w:val="231F20"/>
          <w:sz w:val="22"/>
        </w:rPr>
        <w:t>竣工退场</w:t>
      </w:r>
    </w:p>
    <w:p>
      <w:pPr>
        <w:pStyle w:val="BodyText"/>
        <w:spacing w:line="319" w:lineRule="auto"/>
        <w:ind w:right="110" w:firstLine="440"/>
        <w:jc w:val="both"/>
      </w:pPr>
      <w:r>
        <w:rPr>
          <w:color w:val="231F20"/>
        </w:rPr>
        <w:t>颁发工程接收证书后，承包人应对施工现场进行清理，并撤离相关人员，使得施工现场处于以下状态，直至工程师检验合格为止：</w:t>
      </w:r>
    </w:p>
    <w:p>
      <w:pPr>
        <w:pStyle w:val="BodyText"/>
        <w:spacing w:before="26"/>
        <w:ind w:left="447"/>
      </w:pPr>
      <w:r>
        <w:rPr>
          <w:color w:val="231F20"/>
        </w:rPr>
        <w:t>（ 1）施工现场内残留的垃圾已全部清除出场；</w:t>
      </w:r>
    </w:p>
    <w:p>
      <w:pPr>
        <w:pStyle w:val="BodyText"/>
        <w:ind w:left="447"/>
      </w:pPr>
      <w:r>
        <w:rPr>
          <w:color w:val="231F20"/>
        </w:rPr>
        <w:t>（ 2）临时工程已拆除，场地已按合同约定进行清理、平整或复原；</w:t>
      </w:r>
    </w:p>
    <w:p>
      <w:pPr>
        <w:pStyle w:val="BodyText"/>
        <w:spacing w:line="319" w:lineRule="auto"/>
        <w:ind w:right="99" w:firstLine="330"/>
      </w:pPr>
      <w:r>
        <w:rPr>
          <w:color w:val="231F20"/>
        </w:rPr>
        <w:t>（ 3）按合同约定应撤离的人员、承包人提供的施工设备和剩余的材料，包括废弃的施工设备和材料，已按计划撤离施工现场；</w:t>
      </w:r>
    </w:p>
    <w:p>
      <w:pPr>
        <w:pStyle w:val="BodyText"/>
        <w:spacing w:before="26"/>
        <w:ind w:left="447"/>
      </w:pPr>
      <w:r>
        <w:rPr>
          <w:color w:val="231F20"/>
        </w:rPr>
        <w:t>（ 4）施工现场周边及其附近道路、河道的施工堆积物，已全部清理；</w:t>
      </w:r>
    </w:p>
    <w:p>
      <w:pPr>
        <w:pStyle w:val="BodyText"/>
        <w:ind w:left="447"/>
      </w:pPr>
      <w:r>
        <w:rPr>
          <w:color w:val="231F20"/>
        </w:rPr>
        <w:t>（ 5）施工现场其他竣工退场工作已全部完成。</w:t>
      </w:r>
    </w:p>
    <w:p>
      <w:pPr>
        <w:pStyle w:val="BodyText"/>
        <w:spacing w:line="319" w:lineRule="auto"/>
        <w:ind w:right="116" w:firstLine="440"/>
        <w:jc w:val="both"/>
      </w:pPr>
      <w:r>
        <w:rPr>
          <w:color w:val="231F20"/>
        </w:rPr>
        <w:t>施工现场的竣工退场费用由承包人承担。承包人应在专用合同条件约定的期限内完成竣工退场，逾期未完成的，发包人有权出售或另行处理承包人遗留的物品，由此支出的费用由承包人承担，发包人出售承包人遗留物品所得款项在扣除必要费用后应返还承包人。</w:t>
      </w:r>
    </w:p>
    <w:p>
      <w:pPr>
        <w:pStyle w:val="ListParagraph"/>
        <w:numPr>
          <w:ilvl w:val="2"/>
          <w:numId w:val="73"/>
        </w:numPr>
        <w:tabs>
          <w:tab w:pos="1157" w:val="left" w:leader="none"/>
        </w:tabs>
        <w:spacing w:line="240" w:lineRule="auto" w:before="26" w:after="0"/>
        <w:ind w:left="1156" w:right="0" w:hanging="599"/>
        <w:jc w:val="left"/>
        <w:rPr>
          <w:sz w:val="22"/>
        </w:rPr>
      </w:pPr>
      <w:r>
        <w:rPr>
          <w:color w:val="231F20"/>
          <w:sz w:val="22"/>
        </w:rPr>
        <w:t>地表还原</w:t>
      </w:r>
    </w:p>
    <w:p>
      <w:pPr>
        <w:pStyle w:val="BodyText"/>
        <w:spacing w:line="319" w:lineRule="auto"/>
        <w:ind w:right="116" w:firstLine="440"/>
        <w:jc w:val="both"/>
      </w:pPr>
      <w:r>
        <w:rPr>
          <w:color w:val="231F20"/>
        </w:rPr>
        <w:t>承包人应按合同约定和工程师的要求恢复临时占地及清理场地，否则发包人有权委托其他人恢复或清理，所发生的费用由承包人承担。</w:t>
      </w:r>
    </w:p>
    <w:p>
      <w:pPr>
        <w:pStyle w:val="ListParagraph"/>
        <w:numPr>
          <w:ilvl w:val="2"/>
          <w:numId w:val="73"/>
        </w:numPr>
        <w:tabs>
          <w:tab w:pos="1157" w:val="left" w:leader="none"/>
        </w:tabs>
        <w:spacing w:line="240" w:lineRule="auto" w:before="26" w:after="0"/>
        <w:ind w:left="1156" w:right="0" w:hanging="599"/>
        <w:jc w:val="left"/>
        <w:rPr>
          <w:sz w:val="22"/>
        </w:rPr>
      </w:pPr>
      <w:r>
        <w:rPr>
          <w:color w:val="231F20"/>
          <w:sz w:val="22"/>
        </w:rPr>
        <w:t>人员撤离</w:t>
      </w:r>
    </w:p>
    <w:p>
      <w:pPr>
        <w:spacing w:after="0" w:line="240" w:lineRule="auto"/>
        <w:jc w:val="left"/>
        <w:rPr>
          <w:sz w:val="22"/>
        </w:rPr>
        <w:sectPr>
          <w:pgSz w:w="11910" w:h="16840"/>
          <w:pgMar w:header="0" w:footer="832" w:top="1580" w:bottom="1020" w:left="1300" w:right="1300"/>
        </w:sectPr>
      </w:pPr>
    </w:p>
    <w:p>
      <w:pPr>
        <w:pStyle w:val="BodyText"/>
        <w:spacing w:line="319" w:lineRule="auto" w:before="24"/>
        <w:ind w:right="213" w:firstLine="440"/>
        <w:jc w:val="both"/>
      </w:pPr>
      <w:r>
        <w:rPr>
          <w:color w:val="231F20"/>
        </w:rPr>
        <w:t>除了经工程师同意需在缺陷责任期内继续工作和使用的人员、施工设备和临时工程外，承包人应按专用合同条件约定和工程师的要求将其余的人员、施工设备和临时工程撤离施工现场或拆除。除专用合同条件另有约定外，缺陷责任期满时，承包人的人员和施工设备应全部撤离施工现场。</w:t>
      </w:r>
    </w:p>
    <w:p>
      <w:pPr>
        <w:pStyle w:val="BodyText"/>
        <w:tabs>
          <w:tab w:pos="1131" w:val="left" w:leader="none"/>
        </w:tabs>
        <w:spacing w:before="19"/>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11</w:t>
      </w:r>
      <w:r>
        <w:rPr>
          <w:rFonts w:ascii="方正黑体_GBK" w:eastAsia="方正黑体_GBK" w:hint="eastAsia"/>
          <w:color w:val="231F20"/>
          <w:spacing w:val="-7"/>
        </w:rPr>
        <w:t> </w:t>
      </w:r>
      <w:r>
        <w:rPr>
          <w:rFonts w:ascii="方正黑体_GBK" w:eastAsia="方正黑体_GBK" w:hint="eastAsia"/>
          <w:color w:val="231F20"/>
        </w:rPr>
        <w:t>条</w:t>
        <w:tab/>
        <w:t>缺陷责任与保修</w:t>
      </w:r>
    </w:p>
    <w:p>
      <w:pPr>
        <w:pStyle w:val="ListParagraph"/>
        <w:numPr>
          <w:ilvl w:val="1"/>
          <w:numId w:val="74"/>
        </w:numPr>
        <w:tabs>
          <w:tab w:pos="1046" w:val="left" w:leader="none"/>
        </w:tabs>
        <w:spacing w:line="240" w:lineRule="auto" w:before="115" w:after="0"/>
        <w:ind w:left="1045" w:right="0" w:hanging="488"/>
        <w:jc w:val="left"/>
        <w:rPr>
          <w:rFonts w:ascii="方正黑体_GBK" w:eastAsia="方正黑体_GBK" w:hint="eastAsia"/>
          <w:sz w:val="22"/>
        </w:rPr>
      </w:pPr>
      <w:r>
        <w:rPr>
          <w:rFonts w:ascii="方正黑体_GBK" w:eastAsia="方正黑体_GBK" w:hint="eastAsia"/>
          <w:color w:val="231F20"/>
          <w:sz w:val="22"/>
        </w:rPr>
        <w:t>工程保修的原则</w:t>
      </w:r>
    </w:p>
    <w:p>
      <w:pPr>
        <w:pStyle w:val="BodyText"/>
        <w:spacing w:line="319" w:lineRule="auto" w:before="122"/>
        <w:ind w:right="217" w:firstLine="440"/>
        <w:jc w:val="both"/>
      </w:pPr>
      <w:r>
        <w:rPr>
          <w:color w:val="231F20"/>
        </w:rPr>
        <w:t>在工程移交发包人后，因承包人原因产生的质量缺陷，承包人应承担质量缺陷责任和保修义务。缺陷责任期届满，承包人仍应按合同约定的工程各部位保修年限承担保修义务。</w:t>
      </w:r>
    </w:p>
    <w:p>
      <w:pPr>
        <w:pStyle w:val="ListParagraph"/>
        <w:numPr>
          <w:ilvl w:val="1"/>
          <w:numId w:val="74"/>
        </w:numPr>
        <w:tabs>
          <w:tab w:pos="1046" w:val="left" w:leader="none"/>
        </w:tabs>
        <w:spacing w:line="240" w:lineRule="auto" w:before="20" w:after="0"/>
        <w:ind w:left="1045" w:right="0" w:hanging="488"/>
        <w:jc w:val="left"/>
        <w:rPr>
          <w:rFonts w:ascii="方正黑体_GBK" w:eastAsia="方正黑体_GBK" w:hint="eastAsia"/>
          <w:sz w:val="22"/>
        </w:rPr>
      </w:pPr>
      <w:r>
        <w:rPr>
          <w:rFonts w:ascii="方正黑体_GBK" w:eastAsia="方正黑体_GBK" w:hint="eastAsia"/>
          <w:color w:val="231F20"/>
          <w:sz w:val="22"/>
        </w:rPr>
        <w:t>缺陷责任期</w:t>
      </w:r>
    </w:p>
    <w:p>
      <w:pPr>
        <w:pStyle w:val="BodyText"/>
        <w:spacing w:line="319" w:lineRule="auto" w:before="122"/>
        <w:ind w:right="216" w:firstLine="440"/>
        <w:jc w:val="both"/>
      </w:pPr>
      <w:r>
        <w:rPr>
          <w:color w:val="231F20"/>
        </w:rPr>
        <w:t>缺陷责任期原则上从工程竣工验收合格之日起计算，合同当事人应在专用合同条件约定缺陷责任期的具体期限，但该期限最长不超过 24 个月。</w:t>
      </w:r>
    </w:p>
    <w:p>
      <w:pPr>
        <w:pStyle w:val="BodyText"/>
        <w:spacing w:line="319" w:lineRule="auto" w:before="25"/>
        <w:ind w:right="208" w:firstLine="440"/>
        <w:jc w:val="both"/>
      </w:pPr>
      <w:r>
        <w:rPr>
          <w:color w:val="231F20"/>
          <w:spacing w:val="2"/>
        </w:rPr>
        <w:t>单位 </w:t>
      </w:r>
      <w:r>
        <w:rPr>
          <w:color w:val="231F20"/>
        </w:rPr>
        <w:t>/ 区段工程先于全部工程进行验收，经验收合格并交付使用的，该单位 /</w:t>
      </w:r>
      <w:r>
        <w:rPr>
          <w:color w:val="231F20"/>
          <w:spacing w:val="2"/>
        </w:rPr>
        <w:t> 区段工程缺陷责任期自单位 </w:t>
      </w:r>
      <w:r>
        <w:rPr>
          <w:color w:val="231F20"/>
        </w:rPr>
        <w:t>/ 区段工程验收合格之日起算。因发包人原因导致工程未在合同约定期限进行</w:t>
      </w:r>
      <w:r>
        <w:rPr>
          <w:color w:val="231F20"/>
          <w:spacing w:val="-2"/>
        </w:rPr>
        <w:t>验收，但工程经验收合格的，以承包人提交竣工验收报告之日起算；因发包人原因导致工程未能进行竣工验收的，在承包人提交竣工验收报告 </w:t>
      </w:r>
      <w:r>
        <w:rPr>
          <w:color w:val="231F20"/>
        </w:rPr>
        <w:t>90</w:t>
      </w:r>
      <w:r>
        <w:rPr>
          <w:color w:val="231F20"/>
          <w:spacing w:val="-5"/>
        </w:rPr>
        <w:t> 天后，工程自动进入缺陷责任期；发包人未经竣工验收擅自使用工程的，缺陷责任期自工程转移占有之日起开始计算。</w:t>
      </w:r>
    </w:p>
    <w:p>
      <w:pPr>
        <w:pStyle w:val="BodyText"/>
        <w:spacing w:line="319" w:lineRule="auto" w:before="25"/>
        <w:ind w:right="214" w:firstLine="440"/>
        <w:jc w:val="both"/>
      </w:pPr>
      <w:r>
        <w:rPr>
          <w:color w:val="231F20"/>
        </w:rPr>
        <w:t>由于承包人原因造成某项缺陷或损坏使某项工程或工程设备不能按原定目标使用而需要再次检查、检验和修复的，发包人有权要求承包人延长该项工程或工程设备的缺陷责任期，并应在原缺陷责任期届满前发出延长通知。但缺陷责任期最长不超过 24 个月。</w:t>
      </w:r>
    </w:p>
    <w:p>
      <w:pPr>
        <w:pStyle w:val="ListParagraph"/>
        <w:numPr>
          <w:ilvl w:val="1"/>
          <w:numId w:val="74"/>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缺陷调查</w:t>
      </w:r>
    </w:p>
    <w:p>
      <w:pPr>
        <w:pStyle w:val="ListParagraph"/>
        <w:numPr>
          <w:ilvl w:val="2"/>
          <w:numId w:val="74"/>
        </w:numPr>
        <w:tabs>
          <w:tab w:pos="1157" w:val="left" w:leader="none"/>
        </w:tabs>
        <w:spacing w:line="240" w:lineRule="auto" w:before="121" w:after="0"/>
        <w:ind w:left="1156" w:right="0" w:hanging="599"/>
        <w:jc w:val="left"/>
        <w:rPr>
          <w:sz w:val="22"/>
        </w:rPr>
      </w:pPr>
      <w:r>
        <w:rPr>
          <w:color w:val="231F20"/>
          <w:sz w:val="22"/>
        </w:rPr>
        <w:t>承包人缺陷调查</w:t>
      </w:r>
    </w:p>
    <w:p>
      <w:pPr>
        <w:pStyle w:val="BodyText"/>
        <w:spacing w:line="319" w:lineRule="auto" w:before="108"/>
        <w:ind w:right="213" w:firstLine="440"/>
        <w:jc w:val="both"/>
      </w:pPr>
      <w:r>
        <w:rPr>
          <w:color w:val="231F20"/>
        </w:rPr>
        <w:t>如果发包人指示承包人调查任何缺陷的原因，承包人应在发包人的指导下进行调查。承包人应在发包人指示中说明的日期或与发包人达成一致的其他日期开展调查。除非该缺陷应由承包人负责自费进行修补，承包人有权就调查的成本和利润获得支付。</w:t>
      </w:r>
    </w:p>
    <w:p>
      <w:pPr>
        <w:pStyle w:val="BodyText"/>
        <w:spacing w:line="319" w:lineRule="auto" w:before="25"/>
        <w:ind w:right="216" w:firstLine="440"/>
        <w:jc w:val="both"/>
      </w:pPr>
      <w:r>
        <w:rPr>
          <w:color w:val="231F20"/>
        </w:rPr>
        <w:t>如果承包人未能根据本款开展调查，该调查可由发包人开展。但应将上述调查开展的日期通知承包人，承包人可自费参加调查。如果该缺陷应由承包人自费进行修补，则发包人有权要求承包人支付发包人因调查产生的合理费用。</w:t>
      </w:r>
    </w:p>
    <w:p>
      <w:pPr>
        <w:pStyle w:val="ListParagraph"/>
        <w:numPr>
          <w:ilvl w:val="2"/>
          <w:numId w:val="74"/>
        </w:numPr>
        <w:tabs>
          <w:tab w:pos="1157" w:val="left" w:leader="none"/>
        </w:tabs>
        <w:spacing w:line="240" w:lineRule="auto" w:before="25" w:after="0"/>
        <w:ind w:left="1156" w:right="0" w:hanging="599"/>
        <w:jc w:val="left"/>
        <w:rPr>
          <w:sz w:val="22"/>
        </w:rPr>
      </w:pPr>
      <w:r>
        <w:rPr>
          <w:color w:val="231F20"/>
          <w:sz w:val="22"/>
        </w:rPr>
        <w:t>缺陷责任</w:t>
      </w:r>
    </w:p>
    <w:p>
      <w:pPr>
        <w:pStyle w:val="BodyText"/>
        <w:spacing w:line="319" w:lineRule="auto" w:before="108"/>
        <w:ind w:right="215" w:firstLine="440"/>
      </w:pPr>
      <w:r>
        <w:rPr>
          <w:color w:val="231F20"/>
        </w:rPr>
        <w:t>缺陷责任期内，由承包人原因造成的缺陷，承包人应负责维修，并承担鉴定及维修费用。如承包人不维修也不承担费用，发包人可按合同约定从质量保证金中扣除，费用超出质量保证金金额的，发包人可按合同约定向承包人进行索赔。承包人维修并承担相应费用后，不免除对</w:t>
      </w:r>
    </w:p>
    <w:p>
      <w:pPr>
        <w:spacing w:after="0" w:line="319" w:lineRule="auto"/>
        <w:sectPr>
          <w:pgSz w:w="11910" w:h="16840"/>
          <w:pgMar w:header="0" w:footer="832" w:top="1580" w:bottom="1020" w:left="1300" w:right="1200"/>
        </w:sectPr>
      </w:pPr>
    </w:p>
    <w:p>
      <w:pPr>
        <w:pStyle w:val="BodyText"/>
        <w:spacing w:line="319" w:lineRule="auto" w:before="24"/>
      </w:pPr>
      <w:r>
        <w:rPr>
          <w:color w:val="231F20"/>
        </w:rPr>
        <w:t>工程的损失赔偿责任。发包人在使用过程中，发现已修补的缺陷部位或部件还存在质量缺陷的，承包人应负责修复，直至检验合格为止。</w:t>
      </w:r>
    </w:p>
    <w:p>
      <w:pPr>
        <w:pStyle w:val="ListParagraph"/>
        <w:numPr>
          <w:ilvl w:val="2"/>
          <w:numId w:val="74"/>
        </w:numPr>
        <w:tabs>
          <w:tab w:pos="1157" w:val="left" w:leader="none"/>
        </w:tabs>
        <w:spacing w:line="240" w:lineRule="auto" w:before="26" w:after="0"/>
        <w:ind w:left="1156" w:right="0" w:hanging="599"/>
        <w:jc w:val="left"/>
        <w:rPr>
          <w:sz w:val="22"/>
        </w:rPr>
      </w:pPr>
      <w:r>
        <w:rPr>
          <w:color w:val="231F20"/>
          <w:sz w:val="22"/>
        </w:rPr>
        <w:t>修复费用</w:t>
      </w:r>
    </w:p>
    <w:p>
      <w:pPr>
        <w:pStyle w:val="BodyText"/>
        <w:spacing w:line="319" w:lineRule="auto"/>
        <w:ind w:right="99" w:firstLine="440"/>
      </w:pPr>
      <w:r>
        <w:rPr>
          <w:color w:val="231F20"/>
          <w:spacing w:val="-7"/>
        </w:rPr>
        <w:t>发包人和承包人应共同查清缺陷或损坏的原因。经查明属承包人原因造成的，应由承包人承</w:t>
      </w:r>
      <w:r>
        <w:rPr>
          <w:color w:val="231F20"/>
          <w:spacing w:val="-9"/>
        </w:rPr>
        <w:t>担修复的费用。经查验非承包人原因造成的，发包人应承担修复的费用，并支付承包人合理利润。</w:t>
      </w:r>
    </w:p>
    <w:p>
      <w:pPr>
        <w:pStyle w:val="ListParagraph"/>
        <w:numPr>
          <w:ilvl w:val="2"/>
          <w:numId w:val="74"/>
        </w:numPr>
        <w:tabs>
          <w:tab w:pos="1157" w:val="left" w:leader="none"/>
        </w:tabs>
        <w:spacing w:line="240" w:lineRule="auto" w:before="25" w:after="0"/>
        <w:ind w:left="1156" w:right="0" w:hanging="599"/>
        <w:jc w:val="left"/>
        <w:rPr>
          <w:sz w:val="22"/>
        </w:rPr>
      </w:pPr>
      <w:r>
        <w:rPr>
          <w:color w:val="231F20"/>
          <w:sz w:val="22"/>
        </w:rPr>
        <w:t>修复通知</w:t>
      </w:r>
    </w:p>
    <w:p>
      <w:pPr>
        <w:pStyle w:val="BodyText"/>
        <w:spacing w:line="319" w:lineRule="auto"/>
        <w:ind w:right="110" w:firstLine="440"/>
        <w:jc w:val="both"/>
      </w:pPr>
      <w:r>
        <w:rPr>
          <w:color w:val="231F20"/>
        </w:rPr>
        <w:t>在缺陷责任期内，发包人在使用过程中，发现已接收的工程存在缺陷或损坏的，应书面通知承包人予以修复，但情况紧急必须立即修复缺陷或损坏的，发包人可以口头通知承包人并在口头通知后 48 小时内书面确认，承包人应在专用合同条件约定的合理期限内到达工程现场并修复缺陷或损坏。</w:t>
      </w:r>
    </w:p>
    <w:p>
      <w:pPr>
        <w:pStyle w:val="ListParagraph"/>
        <w:numPr>
          <w:ilvl w:val="2"/>
          <w:numId w:val="74"/>
        </w:numPr>
        <w:tabs>
          <w:tab w:pos="1157" w:val="left" w:leader="none"/>
        </w:tabs>
        <w:spacing w:line="240" w:lineRule="auto" w:before="26" w:after="0"/>
        <w:ind w:left="1156" w:right="0" w:hanging="599"/>
        <w:jc w:val="left"/>
        <w:rPr>
          <w:sz w:val="22"/>
        </w:rPr>
      </w:pPr>
      <w:r>
        <w:rPr>
          <w:color w:val="231F20"/>
          <w:sz w:val="22"/>
        </w:rPr>
        <w:t>在现场外修复</w:t>
      </w:r>
    </w:p>
    <w:p>
      <w:pPr>
        <w:pStyle w:val="BodyText"/>
        <w:spacing w:line="319" w:lineRule="auto"/>
        <w:ind w:right="113" w:firstLine="440"/>
        <w:jc w:val="both"/>
      </w:pPr>
      <w:r>
        <w:rPr>
          <w:color w:val="231F20"/>
        </w:rPr>
        <w:t>在缺陷责任期内，承包人认为设备中的缺陷或损害不能在现场得到迅速修复，承包人应当向发包人发出通知，请求发包人同意把这些有缺陷或者损害的设备移出现场进行修复，通知应当注明有缺陷或者损害的设备及维修的相关内容，发包人可要求承包人按移出设备的全部重置成本增加质量保证金的数额。</w:t>
      </w:r>
    </w:p>
    <w:p>
      <w:pPr>
        <w:pStyle w:val="ListParagraph"/>
        <w:numPr>
          <w:ilvl w:val="2"/>
          <w:numId w:val="74"/>
        </w:numPr>
        <w:tabs>
          <w:tab w:pos="1157" w:val="left" w:leader="none"/>
        </w:tabs>
        <w:spacing w:line="240" w:lineRule="auto" w:before="25" w:after="0"/>
        <w:ind w:left="1156" w:right="0" w:hanging="599"/>
        <w:jc w:val="left"/>
        <w:rPr>
          <w:sz w:val="22"/>
        </w:rPr>
      </w:pPr>
      <w:r>
        <w:rPr>
          <w:color w:val="231F20"/>
          <w:sz w:val="22"/>
        </w:rPr>
        <w:t>未能修复</w:t>
      </w:r>
    </w:p>
    <w:p>
      <w:pPr>
        <w:pStyle w:val="BodyText"/>
        <w:spacing w:line="319" w:lineRule="auto" w:before="108"/>
        <w:ind w:right="116" w:firstLine="440"/>
        <w:jc w:val="both"/>
      </w:pPr>
      <w:r>
        <w:rPr>
          <w:color w:val="231F20"/>
        </w:rPr>
        <w:t>因承包人原因造成工程的缺陷或损坏，承包人拒绝维修或未能在合理期限内修复缺陷或损坏，且经发包人书面催告后仍未修复的，发包人有权自行修复或委托第三方修复，所需费用由承包人承担。但修复范围超出缺陷或损坏范围的，超出范围部分的修复费用由发包人承担。</w:t>
      </w:r>
    </w:p>
    <w:p>
      <w:pPr>
        <w:pStyle w:val="BodyText"/>
        <w:spacing w:line="319" w:lineRule="auto" w:before="25"/>
        <w:ind w:firstLine="440"/>
      </w:pPr>
      <w:r>
        <w:rPr>
          <w:color w:val="231F20"/>
        </w:rPr>
        <w:t>如果工程或工程设备的缺陷或损害使发包人实质上失去了工程的整体功能，发包人有权向承包人追回已支付的工程款项，并要求其赔偿发包人相应损失。</w:t>
      </w:r>
    </w:p>
    <w:p>
      <w:pPr>
        <w:pStyle w:val="ListParagraph"/>
        <w:numPr>
          <w:ilvl w:val="1"/>
          <w:numId w:val="75"/>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缺陷修复后的进一步试验</w:t>
      </w:r>
    </w:p>
    <w:p>
      <w:pPr>
        <w:pStyle w:val="BodyText"/>
        <w:spacing w:line="319" w:lineRule="auto" w:before="121"/>
        <w:ind w:right="109" w:firstLine="440"/>
        <w:jc w:val="both"/>
      </w:pPr>
      <w:r>
        <w:rPr>
          <w:color w:val="231F20"/>
        </w:rPr>
        <w:t>任何一项缺陷修补后的 7 天内，承包人应向发包人发出通知，告知已修补的情况。如根据第 9 条 [ 竣工试验 ] 或第 12 条 [ 竣工后试验 ] 的规定适用重新试验的，还应建议重新试验。发包人应在收到重新试验的通知后 14 天内答复，逾期未进行答复的视为同意重新试验。承包人</w:t>
      </w:r>
    </w:p>
    <w:p>
      <w:pPr>
        <w:pStyle w:val="BodyText"/>
        <w:spacing w:line="319" w:lineRule="auto" w:before="25"/>
        <w:ind w:right="95"/>
      </w:pPr>
      <w:r>
        <w:rPr>
          <w:color w:val="231F20"/>
        </w:rPr>
        <w:t>未建议重新试验的，发包人也可在缺陷修补后的 14 天内指示进行必要的重新试验，以证明已修复的部分符合合同要求。</w:t>
      </w:r>
    </w:p>
    <w:p>
      <w:pPr>
        <w:pStyle w:val="BodyText"/>
        <w:spacing w:line="319" w:lineRule="auto" w:before="25"/>
        <w:ind w:firstLine="440"/>
      </w:pPr>
      <w:r>
        <w:rPr>
          <w:color w:val="231F20"/>
        </w:rPr>
        <w:t>所有的重复试验应按照适用于先前试验的条款进行，但应由责任方承担修补工作的成本和重新试验的风险和费用。</w:t>
      </w:r>
    </w:p>
    <w:p>
      <w:pPr>
        <w:pStyle w:val="ListParagraph"/>
        <w:numPr>
          <w:ilvl w:val="1"/>
          <w:numId w:val="75"/>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承包人出入权</w:t>
      </w:r>
    </w:p>
    <w:p>
      <w:pPr>
        <w:pStyle w:val="BodyText"/>
        <w:spacing w:before="122"/>
        <w:ind w:left="557"/>
      </w:pPr>
      <w:r>
        <w:rPr>
          <w:color w:val="231F20"/>
        </w:rPr>
        <w:t>在缺陷责任期内，为了修复缺陷或损坏，承包人有权出入工程现场，除情况紧急必须立即</w:t>
      </w:r>
    </w:p>
    <w:p>
      <w:pPr>
        <w:spacing w:after="0"/>
        <w:sectPr>
          <w:pgSz w:w="11910" w:h="16840"/>
          <w:pgMar w:header="0" w:footer="832" w:top="1580" w:bottom="1020" w:left="1300" w:right="1300"/>
        </w:sectPr>
      </w:pPr>
    </w:p>
    <w:p>
      <w:pPr>
        <w:pStyle w:val="BodyText"/>
        <w:spacing w:line="319" w:lineRule="auto" w:before="24"/>
        <w:ind w:right="209"/>
        <w:jc w:val="both"/>
      </w:pPr>
      <w:r>
        <w:rPr>
          <w:color w:val="231F20"/>
        </w:rPr>
        <w:t>修复缺陷或损坏外，承包人应提前 24 小时通知发包人进场修复的时间。承包人进入工程现场前应获得发包人同意，且不应影响发包人正常的生产经营，并应遵守发包人有关安保和保密等规定。</w:t>
      </w:r>
    </w:p>
    <w:p>
      <w:pPr>
        <w:pStyle w:val="ListParagraph"/>
        <w:numPr>
          <w:ilvl w:val="1"/>
          <w:numId w:val="75"/>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缺陷责任期终止证书</w:t>
      </w:r>
    </w:p>
    <w:p>
      <w:pPr>
        <w:pStyle w:val="BodyText"/>
        <w:spacing w:before="121"/>
        <w:ind w:left="557"/>
      </w:pPr>
      <w:r>
        <w:rPr>
          <w:color w:val="231F20"/>
        </w:rPr>
        <w:t>除专用合同条件另有约定外，承包人应于缺陷责任期届满前 7 天内向发包人发出缺陷责</w:t>
      </w:r>
    </w:p>
    <w:p>
      <w:pPr>
        <w:pStyle w:val="BodyText"/>
        <w:spacing w:line="319" w:lineRule="auto"/>
        <w:ind w:right="206"/>
        <w:jc w:val="both"/>
      </w:pPr>
      <w:r>
        <w:rPr>
          <w:color w:val="231F20"/>
        </w:rPr>
        <w:t>任期即将届满通知，发包人应在收到通知后 7 天内核实承包人是否履行缺陷修复义务，承包人未能履行缺陷修复义务的，发包人有权扣除相应金额的维修费用。发包人应在缺陷责任期届满之日，向承包人颁发缺陷责任期终止证书，并按第 14.6.3 项 [ 质量保证金的返还 ] 返还质量保证金。</w:t>
      </w:r>
    </w:p>
    <w:p>
      <w:pPr>
        <w:pStyle w:val="BodyText"/>
        <w:spacing w:line="319" w:lineRule="auto" w:before="26"/>
        <w:ind w:right="215" w:firstLine="440"/>
      </w:pPr>
      <w:r>
        <w:rPr>
          <w:color w:val="231F20"/>
          <w:spacing w:val="5"/>
        </w:rPr>
        <w:t>如根据第 </w:t>
      </w:r>
      <w:r>
        <w:rPr>
          <w:color w:val="231F20"/>
        </w:rPr>
        <w:t>10.5.3 项 [ 人员撤离 ] 承包人在施工现场还留有人员、施工设备和临时工程的， </w:t>
      </w:r>
      <w:r>
        <w:rPr>
          <w:color w:val="231F20"/>
          <w:spacing w:val="1"/>
        </w:rPr>
        <w:t>承包人应当在收到缺陷责任期终止证书后 </w:t>
      </w:r>
      <w:r>
        <w:rPr>
          <w:color w:val="231F20"/>
        </w:rPr>
        <w:t>28</w:t>
      </w:r>
      <w:r>
        <w:rPr>
          <w:color w:val="231F20"/>
          <w:spacing w:val="1"/>
        </w:rPr>
        <w:t> 天内，将上述人员、施工设备和临时工程撤离施</w:t>
      </w:r>
      <w:r>
        <w:rPr>
          <w:color w:val="231F20"/>
        </w:rPr>
        <w:t>工现场。</w:t>
      </w:r>
    </w:p>
    <w:p>
      <w:pPr>
        <w:pStyle w:val="ListParagraph"/>
        <w:numPr>
          <w:ilvl w:val="1"/>
          <w:numId w:val="75"/>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保修责任</w:t>
      </w:r>
    </w:p>
    <w:p>
      <w:pPr>
        <w:pStyle w:val="BodyText"/>
        <w:spacing w:line="319" w:lineRule="auto" w:before="121"/>
        <w:ind w:right="215" w:firstLine="440"/>
      </w:pPr>
      <w:r>
        <w:rPr>
          <w:color w:val="231F20"/>
        </w:rPr>
        <w:t>因承包人原因导致的质量缺陷责任，由合同当事人根据有关法律规定，在专用合同条件和工程质量保修书中约定工程质量保修范围、期限和责任。</w:t>
      </w:r>
    </w:p>
    <w:p>
      <w:pPr>
        <w:pStyle w:val="BodyText"/>
        <w:tabs>
          <w:tab w:pos="1131" w:val="left" w:leader="none"/>
        </w:tabs>
        <w:spacing w:before="19"/>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12</w:t>
      </w:r>
      <w:r>
        <w:rPr>
          <w:rFonts w:ascii="方正黑体_GBK" w:eastAsia="方正黑体_GBK" w:hint="eastAsia"/>
          <w:color w:val="231F20"/>
          <w:spacing w:val="-7"/>
        </w:rPr>
        <w:t> </w:t>
      </w:r>
      <w:r>
        <w:rPr>
          <w:rFonts w:ascii="方正黑体_GBK" w:eastAsia="方正黑体_GBK" w:hint="eastAsia"/>
          <w:color w:val="231F20"/>
        </w:rPr>
        <w:t>条</w:t>
        <w:tab/>
        <w:t>竣工后试验</w:t>
      </w:r>
    </w:p>
    <w:p>
      <w:pPr>
        <w:pStyle w:val="BodyText"/>
        <w:spacing w:before="122"/>
        <w:ind w:left="557"/>
      </w:pPr>
      <w:r>
        <w:rPr>
          <w:color w:val="231F20"/>
        </w:rPr>
        <w:t>本合同工程包含竣工后试验的，遵守本条约定。</w:t>
      </w:r>
    </w:p>
    <w:p>
      <w:pPr>
        <w:pStyle w:val="ListParagraph"/>
        <w:numPr>
          <w:ilvl w:val="1"/>
          <w:numId w:val="76"/>
        </w:numPr>
        <w:tabs>
          <w:tab w:pos="1046" w:val="left" w:leader="none"/>
        </w:tabs>
        <w:spacing w:line="240" w:lineRule="auto" w:before="103" w:after="0"/>
        <w:ind w:left="1045" w:right="0" w:hanging="488"/>
        <w:jc w:val="left"/>
        <w:rPr>
          <w:rFonts w:ascii="方正黑体_GBK" w:eastAsia="方正黑体_GBK" w:hint="eastAsia"/>
          <w:sz w:val="22"/>
        </w:rPr>
      </w:pPr>
      <w:r>
        <w:rPr>
          <w:rFonts w:ascii="方正黑体_GBK" w:eastAsia="方正黑体_GBK" w:hint="eastAsia"/>
          <w:color w:val="231F20"/>
          <w:sz w:val="22"/>
        </w:rPr>
        <w:t>竣工后试验的程序</w:t>
      </w:r>
    </w:p>
    <w:p>
      <w:pPr>
        <w:pStyle w:val="ListParagraph"/>
        <w:numPr>
          <w:ilvl w:val="2"/>
          <w:numId w:val="76"/>
        </w:numPr>
        <w:tabs>
          <w:tab w:pos="1178" w:val="left" w:leader="none"/>
        </w:tabs>
        <w:spacing w:line="319" w:lineRule="auto" w:before="122" w:after="0"/>
        <w:ind w:left="117" w:right="214" w:firstLine="440"/>
        <w:jc w:val="left"/>
        <w:rPr>
          <w:sz w:val="22"/>
        </w:rPr>
      </w:pPr>
      <w:r>
        <w:rPr>
          <w:color w:val="231F20"/>
          <w:sz w:val="22"/>
        </w:rPr>
        <w:t>工程或区段工程被发包人接收后，在合理可行的情况下应根据合同约定尽早进行竣工后试验。</w:t>
      </w:r>
    </w:p>
    <w:p>
      <w:pPr>
        <w:pStyle w:val="ListParagraph"/>
        <w:numPr>
          <w:ilvl w:val="2"/>
          <w:numId w:val="76"/>
        </w:numPr>
        <w:tabs>
          <w:tab w:pos="1178" w:val="left" w:leader="none"/>
        </w:tabs>
        <w:spacing w:line="319" w:lineRule="auto" w:before="26" w:after="0"/>
        <w:ind w:left="117" w:right="104" w:firstLine="440"/>
        <w:jc w:val="left"/>
        <w:rPr>
          <w:sz w:val="22"/>
        </w:rPr>
      </w:pPr>
      <w:r>
        <w:rPr>
          <w:color w:val="231F20"/>
          <w:sz w:val="22"/>
        </w:rPr>
        <w:t>除专用合同条件另有约定外，发包人应提供全部电力、水、污水处理、燃料、消耗品和材料，以及全部其他仪器、协助、文件或其他信息、设备、工具、劳力，启动工程设备， 并组织安排有适当资质、经验和能力的工作人员实施竣工后试验。</w:t>
      </w:r>
    </w:p>
    <w:p>
      <w:pPr>
        <w:pStyle w:val="ListParagraph"/>
        <w:numPr>
          <w:ilvl w:val="2"/>
          <w:numId w:val="76"/>
        </w:numPr>
        <w:tabs>
          <w:tab w:pos="1178" w:val="left" w:leader="none"/>
        </w:tabs>
        <w:spacing w:line="319" w:lineRule="auto" w:before="26" w:after="0"/>
        <w:ind w:left="117" w:right="213" w:firstLine="440"/>
        <w:jc w:val="both"/>
        <w:rPr>
          <w:sz w:val="22"/>
        </w:rPr>
      </w:pPr>
      <w:r>
        <w:rPr>
          <w:color w:val="231F20"/>
          <w:sz w:val="22"/>
        </w:rPr>
        <w:t>除《发包人要求》另有约定外，发包人应在合理可行的情况下尽快进行每项竣工后</w:t>
      </w:r>
      <w:r>
        <w:rPr>
          <w:color w:val="231F20"/>
          <w:spacing w:val="0"/>
          <w:sz w:val="22"/>
        </w:rPr>
        <w:t>试验，并至少提前 </w:t>
      </w:r>
      <w:r>
        <w:rPr>
          <w:color w:val="231F20"/>
          <w:sz w:val="22"/>
        </w:rPr>
        <w:t>21</w:t>
      </w:r>
      <w:r>
        <w:rPr>
          <w:color w:val="231F20"/>
          <w:spacing w:val="0"/>
          <w:sz w:val="22"/>
        </w:rPr>
        <w:t> 天将该项竣工后试验的内容、地点和时间，以及显示其他竣工后试验拟</w:t>
      </w:r>
      <w:r>
        <w:rPr>
          <w:color w:val="231F20"/>
          <w:sz w:val="22"/>
        </w:rPr>
        <w:t>开展时间的竣工后试验计划通知承包人。</w:t>
      </w:r>
    </w:p>
    <w:p>
      <w:pPr>
        <w:pStyle w:val="ListParagraph"/>
        <w:numPr>
          <w:ilvl w:val="2"/>
          <w:numId w:val="76"/>
        </w:numPr>
        <w:tabs>
          <w:tab w:pos="1176" w:val="left" w:leader="none"/>
        </w:tabs>
        <w:spacing w:line="319" w:lineRule="auto" w:before="26" w:after="0"/>
        <w:ind w:left="117" w:right="104" w:firstLine="440"/>
        <w:jc w:val="left"/>
        <w:rPr>
          <w:sz w:val="22"/>
        </w:rPr>
      </w:pPr>
      <w:r>
        <w:rPr>
          <w:color w:val="231F20"/>
          <w:spacing w:val="-9"/>
          <w:sz w:val="22"/>
        </w:rPr>
        <w:t>发包人应根据《发包人要求》、承包人按照第 </w:t>
      </w:r>
      <w:r>
        <w:rPr>
          <w:color w:val="231F20"/>
          <w:sz w:val="22"/>
        </w:rPr>
        <w:t>5.5 款 [ 操作和维修手册 ] 提交的文件， 以及承包人被要求提供的指导进行竣工后试验。如承包人未在发包人通知的时间和地点参加竣工后试验，发包人可自行进行，该试验应被视为是承包人在场的情况下进行的，且承包人应视为认可试验数据。</w:t>
      </w:r>
    </w:p>
    <w:p>
      <w:pPr>
        <w:pStyle w:val="ListParagraph"/>
        <w:numPr>
          <w:ilvl w:val="2"/>
          <w:numId w:val="76"/>
        </w:numPr>
        <w:tabs>
          <w:tab w:pos="1178" w:val="left" w:leader="none"/>
        </w:tabs>
        <w:spacing w:line="240" w:lineRule="auto" w:before="26" w:after="0"/>
        <w:ind w:left="117" w:right="0" w:firstLine="440"/>
        <w:jc w:val="left"/>
        <w:rPr>
          <w:sz w:val="22"/>
        </w:rPr>
      </w:pPr>
      <w:r>
        <w:rPr>
          <w:color w:val="231F20"/>
          <w:sz w:val="22"/>
        </w:rPr>
        <w:t>竣工后试验的结果应由双方进行整理和评价，并应适当考虑发包人对工程或其任何</w:t>
      </w:r>
    </w:p>
    <w:p>
      <w:pPr>
        <w:spacing w:after="0" w:line="240" w:lineRule="auto"/>
        <w:jc w:val="left"/>
        <w:rPr>
          <w:sz w:val="22"/>
        </w:rPr>
        <w:sectPr>
          <w:pgSz w:w="11910" w:h="16840"/>
          <w:pgMar w:header="0" w:footer="832" w:top="1580" w:bottom="1020" w:left="1300" w:right="1200"/>
        </w:sectPr>
      </w:pPr>
    </w:p>
    <w:p>
      <w:pPr>
        <w:pStyle w:val="BodyText"/>
        <w:spacing w:before="24"/>
      </w:pPr>
      <w:r>
        <w:rPr>
          <w:color w:val="231F20"/>
        </w:rPr>
        <w:t>部分的使用，对工程或区段工程的性能、特性和试验结果产生的影响。</w:t>
      </w:r>
    </w:p>
    <w:p>
      <w:pPr>
        <w:pStyle w:val="ListParagraph"/>
        <w:numPr>
          <w:ilvl w:val="1"/>
          <w:numId w:val="77"/>
        </w:numPr>
        <w:tabs>
          <w:tab w:pos="1046" w:val="left" w:leader="none"/>
        </w:tabs>
        <w:spacing w:line="240" w:lineRule="auto" w:before="103" w:after="0"/>
        <w:ind w:left="1045" w:right="0" w:hanging="488"/>
        <w:jc w:val="left"/>
        <w:rPr>
          <w:rFonts w:ascii="方正黑体_GBK" w:eastAsia="方正黑体_GBK" w:hint="eastAsia"/>
          <w:sz w:val="22"/>
        </w:rPr>
      </w:pPr>
      <w:r>
        <w:rPr>
          <w:rFonts w:ascii="方正黑体_GBK" w:eastAsia="方正黑体_GBK" w:hint="eastAsia"/>
          <w:color w:val="231F20"/>
          <w:sz w:val="22"/>
        </w:rPr>
        <w:t>延误的试验</w:t>
      </w:r>
    </w:p>
    <w:p>
      <w:pPr>
        <w:pStyle w:val="ListParagraph"/>
        <w:numPr>
          <w:ilvl w:val="2"/>
          <w:numId w:val="77"/>
        </w:numPr>
        <w:tabs>
          <w:tab w:pos="1178" w:val="left" w:leader="none"/>
        </w:tabs>
        <w:spacing w:line="319" w:lineRule="auto" w:before="122" w:after="0"/>
        <w:ind w:left="117" w:right="114" w:firstLine="440"/>
        <w:jc w:val="both"/>
        <w:rPr>
          <w:sz w:val="22"/>
        </w:rPr>
      </w:pPr>
      <w:r>
        <w:rPr>
          <w:color w:val="231F20"/>
          <w:sz w:val="22"/>
        </w:rPr>
        <w:t>如果竣工后试验因发包人原因被延误的，发包人应承担承包人由此增加的费用并支付承包人合理利润。</w:t>
      </w:r>
    </w:p>
    <w:p>
      <w:pPr>
        <w:pStyle w:val="ListParagraph"/>
        <w:numPr>
          <w:ilvl w:val="2"/>
          <w:numId w:val="77"/>
        </w:numPr>
        <w:tabs>
          <w:tab w:pos="1178" w:val="left" w:leader="none"/>
        </w:tabs>
        <w:spacing w:line="319" w:lineRule="auto" w:before="26" w:after="0"/>
        <w:ind w:left="117" w:right="114" w:firstLine="440"/>
        <w:jc w:val="both"/>
        <w:rPr>
          <w:sz w:val="22"/>
        </w:rPr>
      </w:pPr>
      <w:r>
        <w:rPr>
          <w:color w:val="231F20"/>
          <w:sz w:val="22"/>
        </w:rPr>
        <w:t>如果因承包人以外的原因，导致竣工后试验未能在缺陷责任期或双方另行同意的其他期限内完成，则相关工程或区段工程应视为已通过该竣工后试验。</w:t>
      </w:r>
    </w:p>
    <w:p>
      <w:pPr>
        <w:pStyle w:val="ListParagraph"/>
        <w:numPr>
          <w:ilvl w:val="1"/>
          <w:numId w:val="77"/>
        </w:numPr>
        <w:tabs>
          <w:tab w:pos="1046" w:val="left" w:leader="none"/>
        </w:tabs>
        <w:spacing w:line="240" w:lineRule="auto" w:before="20" w:after="0"/>
        <w:ind w:left="1045" w:right="0" w:hanging="488"/>
        <w:jc w:val="left"/>
        <w:rPr>
          <w:rFonts w:ascii="方正黑体_GBK" w:eastAsia="方正黑体_GBK" w:hint="eastAsia"/>
          <w:sz w:val="22"/>
        </w:rPr>
      </w:pPr>
      <w:r>
        <w:rPr>
          <w:rFonts w:ascii="方正黑体_GBK" w:eastAsia="方正黑体_GBK" w:hint="eastAsia"/>
          <w:color w:val="231F20"/>
          <w:sz w:val="22"/>
        </w:rPr>
        <w:t>重新试验</w:t>
      </w:r>
    </w:p>
    <w:p>
      <w:pPr>
        <w:pStyle w:val="BodyText"/>
        <w:spacing w:line="319" w:lineRule="auto" w:before="122"/>
        <w:ind w:right="109" w:firstLine="440"/>
        <w:jc w:val="both"/>
      </w:pPr>
      <w:r>
        <w:rPr>
          <w:color w:val="231F20"/>
        </w:rPr>
        <w:t>如工程或区段工程未能通过竣工后试验，则承包人应根据第 11.3 款 [ 缺陷调查 ] 的规定修补缺陷，以达到合同约定的要求；并按照第 11.4 款 [ 缺陷修复后的进一步试验 ] 重新进行竣工后试验以及承担风险和费用。如未通过试验和重新试验是承包人原因造成的，则承包人还应承担发包人因此增加的费用。</w:t>
      </w:r>
    </w:p>
    <w:p>
      <w:pPr>
        <w:pStyle w:val="ListParagraph"/>
        <w:numPr>
          <w:ilvl w:val="1"/>
          <w:numId w:val="77"/>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未能通过竣工后试验</w:t>
      </w:r>
    </w:p>
    <w:p>
      <w:pPr>
        <w:pStyle w:val="ListParagraph"/>
        <w:numPr>
          <w:ilvl w:val="2"/>
          <w:numId w:val="77"/>
        </w:numPr>
        <w:tabs>
          <w:tab w:pos="1178" w:val="left" w:leader="none"/>
        </w:tabs>
        <w:spacing w:line="319" w:lineRule="auto" w:before="121" w:after="0"/>
        <w:ind w:left="117" w:right="114" w:firstLine="440"/>
        <w:jc w:val="both"/>
        <w:rPr>
          <w:sz w:val="22"/>
        </w:rPr>
      </w:pPr>
      <w:r>
        <w:rPr>
          <w:color w:val="231F20"/>
          <w:sz w:val="22"/>
        </w:rPr>
        <w:t>工程或区段工程未能通过竣工后试验，且合同中就该项未通过的试验约定了性能损害赔偿违约金及其计算方法的，或者就该项未通过的试验另行达成补充协议的，承包人在缺陷责任期内向发包人支付相应违约金或按补充协议履行后，视为通过竣工后试验。</w:t>
      </w:r>
    </w:p>
    <w:p>
      <w:pPr>
        <w:pStyle w:val="ListParagraph"/>
        <w:numPr>
          <w:ilvl w:val="2"/>
          <w:numId w:val="77"/>
        </w:numPr>
        <w:tabs>
          <w:tab w:pos="1178" w:val="left" w:leader="none"/>
        </w:tabs>
        <w:spacing w:line="319" w:lineRule="auto" w:before="25" w:after="0"/>
        <w:ind w:left="117" w:right="113" w:firstLine="440"/>
        <w:jc w:val="both"/>
        <w:rPr>
          <w:sz w:val="22"/>
        </w:rPr>
      </w:pPr>
      <w:r>
        <w:rPr>
          <w:color w:val="231F20"/>
          <w:sz w:val="22"/>
        </w:rPr>
        <w:t>对未能通过竣工后试验的工程或区段工程，承包人可向发包人建议，由承包人对该工程或区段工程进行调整或修补。发包人收到建议后，可向承包人发出通知，指示其在发包人方便的合理时间进入工程或区段工程进行调查、调整或修补，并为承包人的进入提供方便。承包人提出建议，但未在缺陷责任期内收到上述发包人通知的，相关工程或区段工程应视为已通过该竣工后试验。</w:t>
      </w:r>
    </w:p>
    <w:p>
      <w:pPr>
        <w:pStyle w:val="ListParagraph"/>
        <w:numPr>
          <w:ilvl w:val="2"/>
          <w:numId w:val="77"/>
        </w:numPr>
        <w:tabs>
          <w:tab w:pos="1178" w:val="left" w:leader="none"/>
        </w:tabs>
        <w:spacing w:line="319" w:lineRule="auto" w:before="25" w:after="0"/>
        <w:ind w:left="117" w:right="114" w:firstLine="440"/>
        <w:jc w:val="both"/>
        <w:rPr>
          <w:sz w:val="22"/>
        </w:rPr>
      </w:pPr>
      <w:r>
        <w:rPr>
          <w:color w:val="231F20"/>
          <w:sz w:val="22"/>
        </w:rPr>
        <w:t>发包人无故拖延给予承包人进行调查、调整或修补所需的进入工程或区段工程的许可，并造成承包人费用增加的，应承担由此增加的费用并支付承包人合理利润。</w:t>
      </w:r>
    </w:p>
    <w:p>
      <w:pPr>
        <w:pStyle w:val="BodyText"/>
        <w:tabs>
          <w:tab w:pos="1131" w:val="left" w:leader="none"/>
        </w:tabs>
        <w:spacing w:before="19"/>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13</w:t>
      </w:r>
      <w:r>
        <w:rPr>
          <w:rFonts w:ascii="方正黑体_GBK" w:eastAsia="方正黑体_GBK" w:hint="eastAsia"/>
          <w:color w:val="231F20"/>
          <w:spacing w:val="-7"/>
        </w:rPr>
        <w:t> </w:t>
      </w:r>
      <w:r>
        <w:rPr>
          <w:rFonts w:ascii="方正黑体_GBK" w:eastAsia="方正黑体_GBK" w:hint="eastAsia"/>
          <w:color w:val="231F20"/>
        </w:rPr>
        <w:t>条</w:t>
        <w:tab/>
        <w:t>变更与调整</w:t>
      </w:r>
    </w:p>
    <w:p>
      <w:pPr>
        <w:pStyle w:val="ListParagraph"/>
        <w:numPr>
          <w:ilvl w:val="1"/>
          <w:numId w:val="78"/>
        </w:numPr>
        <w:tabs>
          <w:tab w:pos="1046" w:val="left" w:leader="none"/>
        </w:tabs>
        <w:spacing w:line="240" w:lineRule="auto" w:before="116" w:after="0"/>
        <w:ind w:left="1045" w:right="0" w:hanging="488"/>
        <w:jc w:val="left"/>
        <w:rPr>
          <w:rFonts w:ascii="方正黑体_GBK" w:eastAsia="方正黑体_GBK" w:hint="eastAsia"/>
          <w:sz w:val="22"/>
        </w:rPr>
      </w:pPr>
      <w:r>
        <w:rPr>
          <w:rFonts w:ascii="方正黑体_GBK" w:eastAsia="方正黑体_GBK" w:hint="eastAsia"/>
          <w:color w:val="231F20"/>
          <w:sz w:val="22"/>
        </w:rPr>
        <w:t>发包人变更权</w:t>
      </w:r>
    </w:p>
    <w:p>
      <w:pPr>
        <w:pStyle w:val="ListParagraph"/>
        <w:numPr>
          <w:ilvl w:val="2"/>
          <w:numId w:val="78"/>
        </w:numPr>
        <w:tabs>
          <w:tab w:pos="1180" w:val="left" w:leader="none"/>
        </w:tabs>
        <w:spacing w:line="319" w:lineRule="auto" w:before="122" w:after="0"/>
        <w:ind w:left="117" w:right="111" w:firstLine="440"/>
        <w:jc w:val="both"/>
        <w:rPr>
          <w:sz w:val="22"/>
        </w:rPr>
      </w:pPr>
      <w:r>
        <w:rPr>
          <w:color w:val="231F20"/>
          <w:sz w:val="22"/>
        </w:rPr>
        <w:t>变更指示应经发包人同意，并由工程师发出经发包人签认的变更指示。除第 11.3.6 项 [ 未能修复 ] 约定的情况外，变更不应包括准备将任何工作删减并交由他人或发包人自行实施的情况。承包人收到变更指示后，方可实施变更。未经许可，承包人不得擅自对工程的任何</w:t>
      </w:r>
      <w:r>
        <w:rPr>
          <w:color w:val="231F20"/>
          <w:spacing w:val="-1"/>
          <w:sz w:val="22"/>
        </w:rPr>
        <w:t>部分进行变更。发包人与承包人对某项指示或批准是否构成变更产生争议的，按第 </w:t>
      </w:r>
      <w:r>
        <w:rPr>
          <w:color w:val="231F20"/>
          <w:sz w:val="22"/>
        </w:rPr>
        <w:t>20</w:t>
      </w:r>
      <w:r>
        <w:rPr>
          <w:color w:val="231F20"/>
          <w:spacing w:val="5"/>
          <w:sz w:val="22"/>
        </w:rPr>
        <w:t> 条[ 争议解决 ] 处理。</w:t>
      </w:r>
    </w:p>
    <w:p>
      <w:pPr>
        <w:pStyle w:val="ListParagraph"/>
        <w:numPr>
          <w:ilvl w:val="2"/>
          <w:numId w:val="78"/>
        </w:numPr>
        <w:tabs>
          <w:tab w:pos="1178" w:val="left" w:leader="none"/>
        </w:tabs>
        <w:spacing w:line="319" w:lineRule="auto" w:before="25" w:after="0"/>
        <w:ind w:left="117" w:right="109" w:firstLine="440"/>
        <w:jc w:val="both"/>
        <w:rPr>
          <w:sz w:val="22"/>
        </w:rPr>
      </w:pPr>
      <w:r>
        <w:rPr>
          <w:color w:val="231F20"/>
          <w:sz w:val="22"/>
        </w:rPr>
        <w:t>承包人应按照变更指示执行，除非承包人及时向工程师发出通知，说明该项变更指</w:t>
      </w:r>
      <w:r>
        <w:rPr>
          <w:color w:val="231F20"/>
          <w:spacing w:val="-4"/>
          <w:sz w:val="22"/>
        </w:rPr>
        <w:t>示将降低工程的安全性、稳定性或适用性；涉及的工作内容和范围不可预见；所涉设备难以采</w:t>
      </w:r>
    </w:p>
    <w:p>
      <w:pPr>
        <w:spacing w:after="0" w:line="319" w:lineRule="auto"/>
        <w:jc w:val="both"/>
        <w:rPr>
          <w:sz w:val="22"/>
        </w:rPr>
        <w:sectPr>
          <w:pgSz w:w="11910" w:h="16840"/>
          <w:pgMar w:header="0" w:footer="832" w:top="1580" w:bottom="1020" w:left="1300" w:right="1300"/>
        </w:sectPr>
      </w:pPr>
    </w:p>
    <w:p>
      <w:pPr>
        <w:pStyle w:val="BodyText"/>
        <w:spacing w:line="319" w:lineRule="auto" w:before="24"/>
        <w:ind w:right="212"/>
        <w:jc w:val="both"/>
      </w:pPr>
      <w:r>
        <w:rPr>
          <w:color w:val="231F20"/>
          <w:spacing w:val="-2"/>
        </w:rPr>
        <w:t>购；导致承包人无法执行第 </w:t>
      </w:r>
      <w:r>
        <w:rPr>
          <w:color w:val="231F20"/>
        </w:rPr>
        <w:t>7.5 款 [ 现场劳动用工 ]、第 7.6 款 [ 安全文明施工 ]、第 7.7 款 [ 职业健康 ] 或第 7.8</w:t>
      </w:r>
      <w:r>
        <w:rPr>
          <w:color w:val="231F20"/>
          <w:spacing w:val="-7"/>
        </w:rPr>
        <w:t> 款 [ 环境保护 ] 内容；将造成工期延误；与第 </w:t>
      </w:r>
      <w:r>
        <w:rPr>
          <w:color w:val="231F20"/>
        </w:rPr>
        <w:t>4.1 款 [ 承包人的一般义务 ] 相冲突等无法执行的理由。工程师接到承包人的通知后，应作出经发包人签认的取消、确认或改变原指示的书面回复。</w:t>
      </w:r>
    </w:p>
    <w:p>
      <w:pPr>
        <w:pStyle w:val="ListParagraph"/>
        <w:numPr>
          <w:ilvl w:val="1"/>
          <w:numId w:val="79"/>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承包人的合理化建议</w:t>
      </w:r>
    </w:p>
    <w:p>
      <w:pPr>
        <w:pStyle w:val="ListParagraph"/>
        <w:numPr>
          <w:ilvl w:val="2"/>
          <w:numId w:val="79"/>
        </w:numPr>
        <w:tabs>
          <w:tab w:pos="1178" w:val="left" w:leader="none"/>
        </w:tabs>
        <w:spacing w:line="319" w:lineRule="auto" w:before="121" w:after="0"/>
        <w:ind w:left="117" w:right="212" w:firstLine="440"/>
        <w:jc w:val="left"/>
        <w:rPr>
          <w:sz w:val="22"/>
        </w:rPr>
      </w:pPr>
      <w:r>
        <w:rPr>
          <w:color w:val="231F20"/>
          <w:sz w:val="22"/>
        </w:rPr>
        <w:t>承包人提出合理化建议的，应向工程师提交合理化建议说明，说明建议的内容、理由以及实施该建议对合同价格和工期的影响。</w:t>
      </w:r>
    </w:p>
    <w:p>
      <w:pPr>
        <w:pStyle w:val="ListParagraph"/>
        <w:numPr>
          <w:ilvl w:val="2"/>
          <w:numId w:val="79"/>
        </w:numPr>
        <w:tabs>
          <w:tab w:pos="1178" w:val="left" w:leader="none"/>
        </w:tabs>
        <w:spacing w:line="319" w:lineRule="auto" w:before="25" w:after="0"/>
        <w:ind w:left="117" w:right="103" w:firstLine="440"/>
        <w:jc w:val="left"/>
        <w:rPr>
          <w:sz w:val="22"/>
        </w:rPr>
      </w:pPr>
      <w:r>
        <w:rPr>
          <w:color w:val="231F20"/>
          <w:sz w:val="22"/>
        </w:rPr>
        <w:t>除专用合同条件另有约定外，工程师应在收到承包人提交的合理化建议后 7</w:t>
      </w:r>
      <w:r>
        <w:rPr>
          <w:color w:val="231F20"/>
          <w:spacing w:val="1"/>
          <w:sz w:val="22"/>
        </w:rPr>
        <w:t> 天内审查完毕并报送发包人，发现其中存在技术上的缺陷，应通知承包人修改。发包人应在收到工程师报送的合理化建议后 </w:t>
      </w:r>
      <w:r>
        <w:rPr>
          <w:color w:val="231F20"/>
          <w:sz w:val="22"/>
        </w:rPr>
        <w:t>7 天内审批完毕。合理化建议经发包人批准的，工程师应及时发出变更指示，由此引起的合同价格调整按照第 13.3.3 项 [ 变更估价 ] 约定执行。发包人不同意变更的， 工程师应书面通知承包人。</w:t>
      </w:r>
    </w:p>
    <w:p>
      <w:pPr>
        <w:pStyle w:val="ListParagraph"/>
        <w:numPr>
          <w:ilvl w:val="2"/>
          <w:numId w:val="79"/>
        </w:numPr>
        <w:tabs>
          <w:tab w:pos="1178" w:val="left" w:leader="none"/>
        </w:tabs>
        <w:spacing w:line="319" w:lineRule="auto" w:before="25" w:after="0"/>
        <w:ind w:left="117" w:right="213" w:firstLine="440"/>
        <w:jc w:val="left"/>
        <w:rPr>
          <w:sz w:val="22"/>
        </w:rPr>
      </w:pPr>
      <w:r>
        <w:rPr>
          <w:color w:val="231F20"/>
          <w:sz w:val="22"/>
        </w:rPr>
        <w:t>合理化建议降低了合同价格、缩短了工期或者提高了工程经济效益的，双方可以按照专用合同条件的约定进行利益分享。</w:t>
      </w:r>
    </w:p>
    <w:p>
      <w:pPr>
        <w:pStyle w:val="ListParagraph"/>
        <w:numPr>
          <w:ilvl w:val="1"/>
          <w:numId w:val="80"/>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变更程序</w:t>
      </w:r>
    </w:p>
    <w:p>
      <w:pPr>
        <w:pStyle w:val="ListParagraph"/>
        <w:numPr>
          <w:ilvl w:val="2"/>
          <w:numId w:val="80"/>
        </w:numPr>
        <w:tabs>
          <w:tab w:pos="1157" w:val="left" w:leader="none"/>
        </w:tabs>
        <w:spacing w:line="240" w:lineRule="auto" w:before="122" w:after="0"/>
        <w:ind w:left="1156" w:right="0" w:hanging="599"/>
        <w:jc w:val="left"/>
        <w:rPr>
          <w:sz w:val="22"/>
        </w:rPr>
      </w:pPr>
      <w:r>
        <w:rPr>
          <w:color w:val="231F20"/>
          <w:sz w:val="22"/>
        </w:rPr>
        <w:t>发包人提出变更</w:t>
      </w:r>
    </w:p>
    <w:p>
      <w:pPr>
        <w:pStyle w:val="BodyText"/>
        <w:spacing w:line="319" w:lineRule="auto"/>
        <w:ind w:right="215" w:firstLine="440"/>
      </w:pPr>
      <w:r>
        <w:rPr>
          <w:color w:val="231F20"/>
        </w:rPr>
        <w:t>发包人提出变更的，应通过工程师向承包人发出书面形式的变更指示，变更指示应说明计划变更的工程范围和变更的内容。</w:t>
      </w:r>
    </w:p>
    <w:p>
      <w:pPr>
        <w:pStyle w:val="ListParagraph"/>
        <w:numPr>
          <w:ilvl w:val="2"/>
          <w:numId w:val="80"/>
        </w:numPr>
        <w:tabs>
          <w:tab w:pos="1157" w:val="left" w:leader="none"/>
        </w:tabs>
        <w:spacing w:line="240" w:lineRule="auto" w:before="25" w:after="0"/>
        <w:ind w:left="1156" w:right="0" w:hanging="599"/>
        <w:jc w:val="left"/>
        <w:rPr>
          <w:sz w:val="22"/>
        </w:rPr>
      </w:pPr>
      <w:r>
        <w:rPr>
          <w:color w:val="231F20"/>
          <w:sz w:val="22"/>
        </w:rPr>
        <w:t>变更执行</w:t>
      </w:r>
    </w:p>
    <w:p>
      <w:pPr>
        <w:pStyle w:val="BodyText"/>
        <w:spacing w:line="319" w:lineRule="auto" w:before="108"/>
        <w:ind w:right="208" w:firstLine="440"/>
        <w:jc w:val="both"/>
      </w:pPr>
      <w:r>
        <w:rPr>
          <w:color w:val="231F20"/>
        </w:rPr>
        <w:t>承包人收到工程师下达的变更指示后，认为不能执行，应在合理期限内提出不能执行该变更指示的理由。承包人认为可以执行变更的，应当书面说明实施该变更指示需要采取的具体措施及对合同价格和工期的影响，且合同当事人应当按照第 13.3.3 项 [ 变更估价 ] 约定确定变更估价。</w:t>
      </w:r>
    </w:p>
    <w:p>
      <w:pPr>
        <w:pStyle w:val="ListParagraph"/>
        <w:numPr>
          <w:ilvl w:val="2"/>
          <w:numId w:val="80"/>
        </w:numPr>
        <w:tabs>
          <w:tab w:pos="1157" w:val="left" w:leader="none"/>
        </w:tabs>
        <w:spacing w:line="240" w:lineRule="auto" w:before="25" w:after="0"/>
        <w:ind w:left="1156" w:right="0" w:hanging="599"/>
        <w:jc w:val="left"/>
        <w:rPr>
          <w:sz w:val="22"/>
        </w:rPr>
      </w:pPr>
      <w:r>
        <w:rPr>
          <w:color w:val="231F20"/>
          <w:sz w:val="22"/>
        </w:rPr>
        <w:t>变更估价</w:t>
      </w:r>
    </w:p>
    <w:p>
      <w:pPr>
        <w:pStyle w:val="ListParagraph"/>
        <w:numPr>
          <w:ilvl w:val="3"/>
          <w:numId w:val="80"/>
        </w:numPr>
        <w:tabs>
          <w:tab w:pos="1320" w:val="left" w:leader="none"/>
        </w:tabs>
        <w:spacing w:line="240" w:lineRule="auto" w:before="109" w:after="0"/>
        <w:ind w:left="1319" w:right="0" w:hanging="762"/>
        <w:jc w:val="left"/>
        <w:rPr>
          <w:sz w:val="22"/>
        </w:rPr>
      </w:pPr>
      <w:r>
        <w:rPr>
          <w:color w:val="231F20"/>
          <w:sz w:val="22"/>
        </w:rPr>
        <w:t>变更估价原则</w:t>
      </w:r>
    </w:p>
    <w:p>
      <w:pPr>
        <w:pStyle w:val="BodyText"/>
        <w:ind w:left="557"/>
      </w:pPr>
      <w:r>
        <w:rPr>
          <w:color w:val="231F20"/>
        </w:rPr>
        <w:t>除专用合同条件另有约定外，变更估价按照本款约定处理：</w:t>
      </w:r>
    </w:p>
    <w:p>
      <w:pPr>
        <w:pStyle w:val="BodyText"/>
        <w:ind w:left="447"/>
      </w:pPr>
      <w:r>
        <w:rPr>
          <w:color w:val="231F20"/>
        </w:rPr>
        <w:t>（ 1）合同中未包含价格清单，合同价格应按照所执行的变更工程的成本加利润调整；</w:t>
      </w:r>
    </w:p>
    <w:p>
      <w:pPr>
        <w:pStyle w:val="BodyText"/>
        <w:ind w:left="447"/>
      </w:pPr>
      <w:r>
        <w:rPr>
          <w:color w:val="231F20"/>
        </w:rPr>
        <w:t>（ 2）合同中包含价格清单，合同价格按照如下规则调整：</w:t>
      </w:r>
    </w:p>
    <w:p>
      <w:pPr>
        <w:pStyle w:val="BodyText"/>
        <w:ind w:left="557"/>
      </w:pPr>
      <w:r>
        <w:rPr>
          <w:color w:val="231F20"/>
        </w:rPr>
        <w:t>1）价格清单中有适用于变更工程项目的，应采用该项目的费率和价格；</w:t>
      </w:r>
    </w:p>
    <w:p>
      <w:pPr>
        <w:pStyle w:val="BodyText"/>
        <w:spacing w:line="319" w:lineRule="auto"/>
        <w:ind w:right="215" w:firstLine="440"/>
      </w:pPr>
      <w:r>
        <w:rPr>
          <w:color w:val="231F20"/>
        </w:rPr>
        <w:t>2）价格清单中没有适用但有类似于变更工程项目的，可在合理范围内参照类似项目的费率或价格；</w:t>
      </w:r>
    </w:p>
    <w:p>
      <w:pPr>
        <w:spacing w:after="0" w:line="319" w:lineRule="auto"/>
        <w:sectPr>
          <w:pgSz w:w="11910" w:h="16840"/>
          <w:pgMar w:header="0" w:footer="832" w:top="1580" w:bottom="1020" w:left="1300" w:right="1200"/>
        </w:sectPr>
      </w:pPr>
    </w:p>
    <w:p>
      <w:pPr>
        <w:pStyle w:val="BodyText"/>
        <w:spacing w:line="319" w:lineRule="auto" w:before="24"/>
        <w:ind w:right="215" w:firstLine="440"/>
      </w:pPr>
      <w:r>
        <w:rPr>
          <w:color w:val="231F20"/>
        </w:rPr>
        <w:t>3）价格清单中没有适用也没有类似于变更工程项目的，该工程项目应按成本加利润原则调整适用新的费率或价格。</w:t>
      </w:r>
    </w:p>
    <w:p>
      <w:pPr>
        <w:pStyle w:val="ListParagraph"/>
        <w:numPr>
          <w:ilvl w:val="3"/>
          <w:numId w:val="80"/>
        </w:numPr>
        <w:tabs>
          <w:tab w:pos="1320" w:val="left" w:leader="none"/>
        </w:tabs>
        <w:spacing w:line="240" w:lineRule="auto" w:before="26" w:after="0"/>
        <w:ind w:left="1319" w:right="0" w:hanging="762"/>
        <w:jc w:val="left"/>
        <w:rPr>
          <w:sz w:val="22"/>
        </w:rPr>
      </w:pPr>
      <w:r>
        <w:rPr>
          <w:color w:val="231F20"/>
          <w:sz w:val="22"/>
        </w:rPr>
        <w:t>变更估价程序</w:t>
      </w:r>
    </w:p>
    <w:p>
      <w:pPr>
        <w:pStyle w:val="BodyText"/>
        <w:ind w:left="557"/>
      </w:pPr>
      <w:r>
        <w:rPr>
          <w:color w:val="231F20"/>
        </w:rPr>
        <w:t>承包人应在收到变更指示后 14 天内，向工程师提交变更估价申请。工程师应在收到承包</w:t>
      </w:r>
    </w:p>
    <w:p>
      <w:pPr>
        <w:pStyle w:val="BodyText"/>
      </w:pPr>
      <w:r>
        <w:rPr>
          <w:color w:val="231F20"/>
        </w:rPr>
        <w:t>人提交的变更估价申请后 7 天内审查完毕并报送发包人，工程师对变更估价申请有异议，通知</w:t>
      </w:r>
    </w:p>
    <w:p>
      <w:pPr>
        <w:pStyle w:val="BodyText"/>
        <w:spacing w:line="319" w:lineRule="auto"/>
        <w:ind w:right="215"/>
      </w:pPr>
      <w:r>
        <w:rPr>
          <w:color w:val="231F20"/>
        </w:rPr>
        <w:t>承包人修改后重新提交。发包人应在承包人提交变更估价申请后 14 天内审批完毕。发包人逾期未完成审批或未提出异议的，视为认可承包人提交的变更估价申请。</w:t>
      </w:r>
    </w:p>
    <w:p>
      <w:pPr>
        <w:pStyle w:val="BodyText"/>
        <w:spacing w:before="25"/>
        <w:ind w:left="557"/>
      </w:pPr>
      <w:r>
        <w:rPr>
          <w:color w:val="231F20"/>
        </w:rPr>
        <w:t>因变更引起的价格调整应计入最近一期的进度款中支付。</w:t>
      </w:r>
    </w:p>
    <w:p>
      <w:pPr>
        <w:pStyle w:val="BodyText"/>
        <w:ind w:left="557"/>
      </w:pPr>
      <w:r>
        <w:rPr>
          <w:color w:val="231F20"/>
        </w:rPr>
        <w:t>13.3.4 变更引起的工期调整</w:t>
      </w:r>
    </w:p>
    <w:p>
      <w:pPr>
        <w:pStyle w:val="BodyText"/>
        <w:ind w:left="557"/>
      </w:pPr>
      <w:r>
        <w:rPr>
          <w:color w:val="231F20"/>
        </w:rPr>
        <w:t>因变更引起工期变化的，合同当事人均可要求调整合同工期，由合同当事人按照第 3.6 款</w:t>
      </w:r>
    </w:p>
    <w:p>
      <w:pPr>
        <w:pStyle w:val="BodyText"/>
      </w:pPr>
      <w:r>
        <w:rPr>
          <w:color w:val="231F20"/>
        </w:rPr>
        <w:t>[ 商定或确定 ] 并参考工程所在地的工期定额标准确定增减工期天数。</w:t>
      </w:r>
    </w:p>
    <w:p>
      <w:pPr>
        <w:pStyle w:val="ListParagraph"/>
        <w:numPr>
          <w:ilvl w:val="1"/>
          <w:numId w:val="81"/>
        </w:numPr>
        <w:tabs>
          <w:tab w:pos="1046" w:val="left" w:leader="none"/>
        </w:tabs>
        <w:spacing w:line="240" w:lineRule="auto" w:before="103" w:after="0"/>
        <w:ind w:left="1045" w:right="0" w:hanging="488"/>
        <w:jc w:val="left"/>
        <w:rPr>
          <w:rFonts w:ascii="方正黑体_GBK" w:eastAsia="方正黑体_GBK" w:hint="eastAsia"/>
          <w:sz w:val="22"/>
        </w:rPr>
      </w:pPr>
      <w:r>
        <w:rPr>
          <w:rFonts w:ascii="方正黑体_GBK" w:eastAsia="方正黑体_GBK" w:hint="eastAsia"/>
          <w:color w:val="231F20"/>
          <w:sz w:val="22"/>
        </w:rPr>
        <w:t>暂估价</w:t>
      </w:r>
    </w:p>
    <w:p>
      <w:pPr>
        <w:pStyle w:val="ListParagraph"/>
        <w:numPr>
          <w:ilvl w:val="2"/>
          <w:numId w:val="81"/>
        </w:numPr>
        <w:tabs>
          <w:tab w:pos="1157" w:val="left" w:leader="none"/>
        </w:tabs>
        <w:spacing w:line="240" w:lineRule="auto" w:before="122" w:after="0"/>
        <w:ind w:left="1156" w:right="0" w:hanging="599"/>
        <w:jc w:val="left"/>
        <w:rPr>
          <w:sz w:val="22"/>
        </w:rPr>
      </w:pPr>
      <w:r>
        <w:rPr>
          <w:color w:val="231F20"/>
          <w:sz w:val="22"/>
        </w:rPr>
        <w:t>依法必须招标的暂估价项目</w:t>
      </w:r>
    </w:p>
    <w:p>
      <w:pPr>
        <w:pStyle w:val="BodyText"/>
        <w:spacing w:line="319" w:lineRule="auto"/>
        <w:ind w:right="215" w:firstLine="440"/>
      </w:pPr>
      <w:r>
        <w:rPr>
          <w:color w:val="231F20"/>
        </w:rPr>
        <w:t>对于依法必须招标的暂估价项目，专用合同条件约定由承包人作为招标人的，招标文件、评标方案、评标结果应报送发包人批准。与组织招标工作有关的费用应当被认为已经包括在承包人的签约合同价中。</w:t>
      </w:r>
    </w:p>
    <w:p>
      <w:pPr>
        <w:pStyle w:val="BodyText"/>
        <w:spacing w:line="319" w:lineRule="auto" w:before="25"/>
        <w:ind w:right="215" w:firstLine="440"/>
      </w:pPr>
      <w:r>
        <w:rPr>
          <w:color w:val="231F20"/>
        </w:rPr>
        <w:t>专用合同条件约定由发包人和承包人共同作为招标人的，与组织招标工作有关的费用在专用合同条件中约定。</w:t>
      </w:r>
    </w:p>
    <w:p>
      <w:pPr>
        <w:pStyle w:val="BodyText"/>
        <w:spacing w:line="319" w:lineRule="auto" w:before="25"/>
        <w:ind w:right="215" w:firstLine="440"/>
      </w:pPr>
      <w:r>
        <w:rPr>
          <w:color w:val="231F20"/>
        </w:rPr>
        <w:t>具体的招标程序以及发包人和承包人权利义务关系可在专用合同条件中约定。暂估价项目的中标金额与价格清单中所列暂估价的金额差以及相应的税金等其他费用应列入合同价格。</w:t>
      </w:r>
    </w:p>
    <w:p>
      <w:pPr>
        <w:pStyle w:val="ListParagraph"/>
        <w:numPr>
          <w:ilvl w:val="2"/>
          <w:numId w:val="81"/>
        </w:numPr>
        <w:tabs>
          <w:tab w:pos="1157" w:val="left" w:leader="none"/>
        </w:tabs>
        <w:spacing w:line="240" w:lineRule="auto" w:before="25" w:after="0"/>
        <w:ind w:left="1156" w:right="0" w:hanging="599"/>
        <w:jc w:val="left"/>
        <w:rPr>
          <w:sz w:val="22"/>
        </w:rPr>
      </w:pPr>
      <w:r>
        <w:rPr>
          <w:color w:val="231F20"/>
          <w:sz w:val="22"/>
        </w:rPr>
        <w:t>不属于依法必须招标的暂估价项目</w:t>
      </w:r>
    </w:p>
    <w:p>
      <w:pPr>
        <w:pStyle w:val="BodyText"/>
        <w:spacing w:line="319" w:lineRule="auto"/>
        <w:ind w:right="213" w:firstLine="440"/>
        <w:jc w:val="both"/>
      </w:pPr>
      <w:r>
        <w:rPr>
          <w:color w:val="231F20"/>
        </w:rPr>
        <w:t>对于不属于依法必须招标的暂估价项目，承包人具备实施暂估价项目的资格和条件的，经发包人和承包人协商一致后，可由承包人自行实施暂估价项目，具体的协商和估价程序以及发包人和承包人权利义务关系可在专用合同条件中约定。确定后的暂估价项目金额与价格清单中所列暂估价的金额差以及相应的税金等其他费用应列入合同价格。</w:t>
      </w:r>
    </w:p>
    <w:p>
      <w:pPr>
        <w:pStyle w:val="BodyText"/>
        <w:spacing w:line="319" w:lineRule="auto" w:before="26"/>
        <w:ind w:right="216" w:firstLine="440"/>
        <w:jc w:val="both"/>
      </w:pPr>
      <w:r>
        <w:rPr>
          <w:color w:val="231F20"/>
        </w:rPr>
        <w:t>因发包人原因导致暂估价合同订立和履行迟延的，由此增加的费用和（或）延误的工期由发包人承担，并支付承包人合理的利润。因承包人原因导致暂估价合同订立和履行迟延的，由此增加的费用和（或）延误的工期由承包人承担。</w:t>
      </w:r>
    </w:p>
    <w:p>
      <w:pPr>
        <w:pStyle w:val="ListParagraph"/>
        <w:numPr>
          <w:ilvl w:val="1"/>
          <w:numId w:val="82"/>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暂列金额</w:t>
      </w:r>
    </w:p>
    <w:p>
      <w:pPr>
        <w:pStyle w:val="BodyText"/>
        <w:spacing w:line="319" w:lineRule="auto" w:before="121"/>
        <w:ind w:right="215" w:firstLine="440"/>
      </w:pPr>
      <w:r>
        <w:rPr>
          <w:color w:val="231F20"/>
        </w:rPr>
        <w:t>除专用合同条件另有约定外，每一笔暂列金额只能按照发包人的指示全部或部分使用，并对合同价格进行相应调整。付给承包人的总金额应仅包括发包人已指示的，与暂列金额相关的</w:t>
      </w:r>
    </w:p>
    <w:p>
      <w:pPr>
        <w:spacing w:after="0" w:line="319" w:lineRule="auto"/>
        <w:sectPr>
          <w:footerReference w:type="even" r:id="rId27"/>
          <w:footerReference w:type="default" r:id="rId28"/>
          <w:pgSz w:w="11910" w:h="16840"/>
          <w:pgMar w:footer="832" w:header="0" w:top="1580" w:bottom="1020" w:left="1300" w:right="1200"/>
        </w:sectPr>
      </w:pPr>
    </w:p>
    <w:p>
      <w:pPr>
        <w:pStyle w:val="BodyText"/>
        <w:spacing w:before="24"/>
      </w:pPr>
      <w:r>
        <w:rPr>
          <w:color w:val="231F20"/>
        </w:rPr>
        <w:t>工作、货物或服务的应付款项。</w:t>
      </w:r>
    </w:p>
    <w:p>
      <w:pPr>
        <w:pStyle w:val="BodyText"/>
        <w:ind w:left="557"/>
      </w:pPr>
      <w:r>
        <w:rPr>
          <w:color w:val="231F20"/>
        </w:rPr>
        <w:t>对于每笔暂列金额，发包人可以指示用于下列支付：</w:t>
      </w:r>
    </w:p>
    <w:p>
      <w:pPr>
        <w:pStyle w:val="BodyText"/>
        <w:spacing w:line="319" w:lineRule="auto"/>
        <w:ind w:right="105" w:firstLine="330"/>
      </w:pPr>
      <w:r>
        <w:rPr>
          <w:color w:val="231F20"/>
        </w:rPr>
        <w:t>（ </w:t>
      </w:r>
      <w:r>
        <w:rPr>
          <w:color w:val="231F20"/>
          <w:spacing w:val="-29"/>
        </w:rPr>
        <w:t>1）</w:t>
      </w:r>
      <w:r>
        <w:rPr>
          <w:color w:val="231F20"/>
          <w:spacing w:val="5"/>
        </w:rPr>
        <w:t>发包人根据第</w:t>
      </w:r>
      <w:r>
        <w:rPr>
          <w:color w:val="231F20"/>
        </w:rPr>
        <w:t>13.1</w:t>
      </w:r>
      <w:r>
        <w:rPr>
          <w:color w:val="231F20"/>
          <w:spacing w:val="-6"/>
        </w:rPr>
        <w:t> 款[ 发包人变更权] 指示变更，决定对合同价格和付款计划表</w:t>
      </w:r>
      <w:r>
        <w:rPr>
          <w:color w:val="231F20"/>
        </w:rPr>
        <w:t>（如有） 进行调整的、由承包人实施的工作（包括要提供的工程设备、材料和服务</w:t>
      </w:r>
      <w:r>
        <w:rPr>
          <w:color w:val="231F20"/>
          <w:spacing w:val="-28"/>
        </w:rPr>
        <w:t>）；</w:t>
      </w:r>
    </w:p>
    <w:p>
      <w:pPr>
        <w:pStyle w:val="BodyText"/>
        <w:spacing w:line="319" w:lineRule="auto" w:before="26"/>
        <w:ind w:right="213" w:firstLine="330"/>
        <w:jc w:val="both"/>
      </w:pPr>
      <w:r>
        <w:rPr>
          <w:color w:val="231F20"/>
        </w:rPr>
        <w:t>（ </w:t>
      </w:r>
      <w:r>
        <w:rPr>
          <w:color w:val="231F20"/>
          <w:spacing w:val="-19"/>
        </w:rPr>
        <w:t>2）</w:t>
      </w:r>
      <w:r>
        <w:rPr>
          <w:color w:val="231F20"/>
        </w:rPr>
        <w:t>承包人购买的工程设备、材料、工作或服务，应支付包括承包人已付（或应付）的实际金额以及相应的管理费等费用和利润（管理费和利润应以实际金额为基数根据合同约定的费率（如有）或百分比计算</w:t>
      </w:r>
      <w:r>
        <w:rPr>
          <w:color w:val="231F20"/>
          <w:spacing w:val="-83"/>
        </w:rPr>
        <w:t>）</w:t>
      </w:r>
      <w:r>
        <w:rPr>
          <w:color w:val="231F20"/>
        </w:rPr>
        <w:t>。</w:t>
      </w:r>
    </w:p>
    <w:p>
      <w:pPr>
        <w:pStyle w:val="BodyText"/>
        <w:spacing w:line="319" w:lineRule="auto" w:before="26"/>
        <w:ind w:right="210" w:firstLine="440"/>
        <w:jc w:val="both"/>
      </w:pPr>
      <w:r>
        <w:rPr>
          <w:color w:val="231F20"/>
          <w:spacing w:val="0"/>
        </w:rPr>
        <w:t>发包人根据上述</w:t>
      </w:r>
      <w:r>
        <w:rPr>
          <w:color w:val="231F20"/>
        </w:rPr>
        <w:t>（ 1</w:t>
      </w:r>
      <w:r>
        <w:rPr>
          <w:color w:val="231F20"/>
          <w:spacing w:val="2"/>
        </w:rPr>
        <w:t>）</w:t>
      </w:r>
      <w:r>
        <w:rPr>
          <w:color w:val="231F20"/>
        </w:rPr>
        <w:t>和</w:t>
      </w:r>
      <w:r>
        <w:rPr>
          <w:color w:val="231F20"/>
          <w:spacing w:val="2"/>
        </w:rPr>
        <w:t>（或</w:t>
      </w:r>
      <w:r>
        <w:rPr>
          <w:color w:val="231F20"/>
          <w:spacing w:val="-110"/>
        </w:rPr>
        <w:t>）</w:t>
      </w:r>
      <w:r>
        <w:rPr>
          <w:color w:val="231F20"/>
        </w:rPr>
        <w:t>（ 2</w:t>
      </w:r>
      <w:r>
        <w:rPr>
          <w:color w:val="231F20"/>
          <w:spacing w:val="2"/>
        </w:rPr>
        <w:t>）</w:t>
      </w:r>
      <w:r>
        <w:rPr>
          <w:color w:val="231F20"/>
        </w:rPr>
        <w:t>指示支付暂列金额的，可以要求承包人提交其供应商提供的全部或部分要实施的工程或拟购买的工程设备、材料、工作或服务的项目报价单。发包人可以发出通知指示承包人接受其中的一个报价或指示撤销支付，发包人在收到项目报价单的</w:t>
      </w:r>
    </w:p>
    <w:p>
      <w:pPr>
        <w:pStyle w:val="ListParagraph"/>
        <w:numPr>
          <w:ilvl w:val="0"/>
          <w:numId w:val="53"/>
        </w:numPr>
        <w:tabs>
          <w:tab w:pos="282" w:val="left" w:leader="none"/>
        </w:tabs>
        <w:spacing w:line="240" w:lineRule="auto" w:before="26" w:after="0"/>
        <w:ind w:left="281" w:right="0" w:hanging="164"/>
        <w:jc w:val="left"/>
        <w:rPr>
          <w:color w:val="231F20"/>
          <w:sz w:val="22"/>
        </w:rPr>
      </w:pPr>
      <w:r>
        <w:rPr>
          <w:color w:val="231F20"/>
          <w:sz w:val="22"/>
        </w:rPr>
        <w:t>天内未作回应的，承包人应有权自行接受其中任何一个报价。</w:t>
      </w:r>
    </w:p>
    <w:p>
      <w:pPr>
        <w:pStyle w:val="BodyText"/>
        <w:spacing w:line="319" w:lineRule="auto"/>
        <w:ind w:right="215" w:firstLine="440"/>
      </w:pPr>
      <w:r>
        <w:rPr>
          <w:color w:val="231F20"/>
        </w:rPr>
        <w:t>每份包含暂列金额的文件还应包括用以证明暂列金额的所有有效的发票、凭证和账户或收据。</w:t>
      </w:r>
    </w:p>
    <w:p>
      <w:pPr>
        <w:pStyle w:val="ListParagraph"/>
        <w:numPr>
          <w:ilvl w:val="1"/>
          <w:numId w:val="82"/>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计日工</w:t>
      </w:r>
    </w:p>
    <w:p>
      <w:pPr>
        <w:pStyle w:val="ListParagraph"/>
        <w:numPr>
          <w:ilvl w:val="2"/>
          <w:numId w:val="82"/>
        </w:numPr>
        <w:tabs>
          <w:tab w:pos="1178" w:val="left" w:leader="none"/>
        </w:tabs>
        <w:spacing w:line="319" w:lineRule="auto" w:before="122" w:after="0"/>
        <w:ind w:left="117" w:right="212" w:firstLine="440"/>
        <w:jc w:val="both"/>
        <w:rPr>
          <w:sz w:val="22"/>
        </w:rPr>
      </w:pPr>
      <w:r>
        <w:rPr>
          <w:color w:val="231F20"/>
          <w:sz w:val="22"/>
        </w:rPr>
        <w:t>需要采用计日工方式的，经发包人同意后，由工程师通知承包人以计日工计价方式</w:t>
      </w:r>
      <w:r>
        <w:rPr>
          <w:color w:val="231F20"/>
          <w:spacing w:val="-2"/>
          <w:sz w:val="22"/>
        </w:rPr>
        <w:t>实施相应的工作，其价款按列入价格清单或预算书中的计日工计价项目及其单价进行计算；价格清单或预算书中无相应的计日工单价的，按照合理的成本与利润构成的原则，由工程师按照第 </w:t>
      </w:r>
      <w:r>
        <w:rPr>
          <w:color w:val="231F20"/>
          <w:sz w:val="22"/>
        </w:rPr>
        <w:t>3.6</w:t>
      </w:r>
      <w:r>
        <w:rPr>
          <w:color w:val="231F20"/>
          <w:spacing w:val="-1"/>
          <w:sz w:val="22"/>
        </w:rPr>
        <w:t> 款 [ 商定或确定 ] 确定计日工的单价。</w:t>
      </w:r>
    </w:p>
    <w:p>
      <w:pPr>
        <w:pStyle w:val="ListParagraph"/>
        <w:numPr>
          <w:ilvl w:val="2"/>
          <w:numId w:val="82"/>
        </w:numPr>
        <w:tabs>
          <w:tab w:pos="1178" w:val="left" w:leader="none"/>
        </w:tabs>
        <w:spacing w:line="319" w:lineRule="auto" w:before="26" w:after="0"/>
        <w:ind w:left="117" w:right="213" w:firstLine="440"/>
        <w:jc w:val="left"/>
        <w:rPr>
          <w:sz w:val="22"/>
        </w:rPr>
      </w:pPr>
      <w:r>
        <w:rPr>
          <w:color w:val="231F20"/>
          <w:sz w:val="22"/>
        </w:rPr>
        <w:t>采用计日工计价的任何一项工作，承包人应在该项工作实施过程中，每天提交以下报表和有关凭证报送工程师审查：</w:t>
      </w:r>
    </w:p>
    <w:p>
      <w:pPr>
        <w:pStyle w:val="BodyText"/>
        <w:spacing w:before="26"/>
        <w:ind w:left="447"/>
      </w:pPr>
      <w:r>
        <w:rPr>
          <w:color w:val="231F20"/>
        </w:rPr>
        <w:t>（ 1）工作名称、内容和数量；</w:t>
      </w:r>
    </w:p>
    <w:p>
      <w:pPr>
        <w:pStyle w:val="BodyText"/>
        <w:ind w:left="447"/>
      </w:pPr>
      <w:r>
        <w:rPr>
          <w:color w:val="231F20"/>
        </w:rPr>
        <w:t>（ 2）投入该工作的所有人员的姓名、专业、工种、级别和耗用工时；</w:t>
      </w:r>
    </w:p>
    <w:p>
      <w:pPr>
        <w:pStyle w:val="BodyText"/>
        <w:ind w:left="447"/>
      </w:pPr>
      <w:r>
        <w:rPr>
          <w:color w:val="231F20"/>
        </w:rPr>
        <w:t>（ 3）投入该工作的材料类别和数量；</w:t>
      </w:r>
    </w:p>
    <w:p>
      <w:pPr>
        <w:pStyle w:val="BodyText"/>
        <w:ind w:left="447"/>
      </w:pPr>
      <w:r>
        <w:rPr>
          <w:color w:val="231F20"/>
        </w:rPr>
        <w:t>（ 4）投入该工作的施工设备型号、台数和耗用台时；</w:t>
      </w:r>
    </w:p>
    <w:p>
      <w:pPr>
        <w:pStyle w:val="BodyText"/>
        <w:ind w:left="447"/>
      </w:pPr>
      <w:r>
        <w:rPr>
          <w:color w:val="231F20"/>
        </w:rPr>
        <w:t>（ 5）其他有关资料和凭证。</w:t>
      </w:r>
    </w:p>
    <w:p>
      <w:pPr>
        <w:pStyle w:val="BodyText"/>
        <w:spacing w:line="319" w:lineRule="auto"/>
        <w:ind w:right="215" w:firstLine="440"/>
      </w:pPr>
      <w:r>
        <w:rPr>
          <w:color w:val="231F20"/>
        </w:rPr>
        <w:t>计日工由承包人汇总后，列入最近一期进度付款申请单，由工程师审查并经发包人批准后列入进度付款。</w:t>
      </w:r>
    </w:p>
    <w:p>
      <w:pPr>
        <w:pStyle w:val="ListParagraph"/>
        <w:numPr>
          <w:ilvl w:val="1"/>
          <w:numId w:val="83"/>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法律变化引起的调整</w:t>
      </w:r>
    </w:p>
    <w:p>
      <w:pPr>
        <w:pStyle w:val="ListParagraph"/>
        <w:numPr>
          <w:ilvl w:val="2"/>
          <w:numId w:val="83"/>
        </w:numPr>
        <w:tabs>
          <w:tab w:pos="1176" w:val="left" w:leader="none"/>
        </w:tabs>
        <w:spacing w:line="240" w:lineRule="auto" w:before="122" w:after="0"/>
        <w:ind w:left="217" w:right="0" w:firstLine="340"/>
        <w:jc w:val="left"/>
        <w:rPr>
          <w:sz w:val="22"/>
        </w:rPr>
      </w:pPr>
      <w:r>
        <w:rPr>
          <w:color w:val="231F20"/>
          <w:sz w:val="22"/>
        </w:rPr>
        <w:t>基准日期后，法律变化导致承包人在合同履行过程中所需要的费用发生除第 13.8</w:t>
      </w:r>
      <w:r>
        <w:rPr>
          <w:color w:val="231F20"/>
          <w:spacing w:val="7"/>
          <w:sz w:val="22"/>
        </w:rPr>
        <w:t> 款</w:t>
      </w:r>
    </w:p>
    <w:p>
      <w:pPr>
        <w:pStyle w:val="BodyText"/>
        <w:spacing w:line="319" w:lineRule="auto"/>
        <w:ind w:right="105"/>
      </w:pPr>
      <w:r>
        <w:rPr>
          <w:color w:val="231F20"/>
        </w:rPr>
        <w:t>[ 市场价格波动引起的调整 ] 约定以外的增加时，由发包人承担由此增加的费用；减少时，应从合同价格中予以扣减。基准日期后，因法律变化造成工期延误时，工期应予以顺延。</w:t>
      </w:r>
    </w:p>
    <w:p>
      <w:pPr>
        <w:spacing w:after="0" w:line="319" w:lineRule="auto"/>
        <w:sectPr>
          <w:pgSz w:w="11910" w:h="16840"/>
          <w:pgMar w:header="0" w:footer="832" w:top="1580" w:bottom="1020" w:left="1300" w:right="1200"/>
        </w:sectPr>
      </w:pPr>
    </w:p>
    <w:p>
      <w:pPr>
        <w:pStyle w:val="ListParagraph"/>
        <w:numPr>
          <w:ilvl w:val="2"/>
          <w:numId w:val="83"/>
        </w:numPr>
        <w:tabs>
          <w:tab w:pos="1278" w:val="left" w:leader="none"/>
        </w:tabs>
        <w:spacing w:line="319" w:lineRule="auto" w:before="24" w:after="0"/>
        <w:ind w:left="217" w:right="213" w:firstLine="440"/>
        <w:jc w:val="left"/>
        <w:rPr>
          <w:sz w:val="22"/>
        </w:rPr>
      </w:pPr>
      <w:r>
        <w:rPr>
          <w:color w:val="231F20"/>
          <w:sz w:val="22"/>
        </w:rPr>
        <w:t>因法律变化引起的合同价格和工期调整，合同当事人无法达成一致的，由工程师按</w:t>
      </w:r>
      <w:r>
        <w:rPr>
          <w:color w:val="231F20"/>
          <w:spacing w:val="-1"/>
          <w:sz w:val="22"/>
        </w:rPr>
        <w:t>第 </w:t>
      </w:r>
      <w:r>
        <w:rPr>
          <w:color w:val="231F20"/>
          <w:sz w:val="22"/>
        </w:rPr>
        <w:t>3.6</w:t>
      </w:r>
      <w:r>
        <w:rPr>
          <w:color w:val="231F20"/>
          <w:spacing w:val="-1"/>
          <w:sz w:val="22"/>
        </w:rPr>
        <w:t> 款 [ 商定或确定 ] 的约定处理。</w:t>
      </w:r>
    </w:p>
    <w:p>
      <w:pPr>
        <w:pStyle w:val="ListParagraph"/>
        <w:numPr>
          <w:ilvl w:val="2"/>
          <w:numId w:val="83"/>
        </w:numPr>
        <w:tabs>
          <w:tab w:pos="1278" w:val="left" w:leader="none"/>
        </w:tabs>
        <w:spacing w:line="240" w:lineRule="auto" w:before="26" w:after="0"/>
        <w:ind w:left="1277" w:right="0" w:hanging="620"/>
        <w:jc w:val="left"/>
        <w:rPr>
          <w:sz w:val="22"/>
        </w:rPr>
      </w:pPr>
      <w:r>
        <w:rPr>
          <w:color w:val="231F20"/>
          <w:sz w:val="22"/>
        </w:rPr>
        <w:t>因承包人原因造成工期延误，在工期延误期间出现法律变化的，由此增加的费用和</w:t>
      </w:r>
    </w:p>
    <w:p>
      <w:pPr>
        <w:pStyle w:val="BodyText"/>
        <w:ind w:left="107"/>
      </w:pPr>
      <w:r>
        <w:rPr>
          <w:color w:val="231F20"/>
        </w:rPr>
        <w:t>（或）延误的工期由承包人承担。</w:t>
      </w:r>
    </w:p>
    <w:p>
      <w:pPr>
        <w:pStyle w:val="ListParagraph"/>
        <w:numPr>
          <w:ilvl w:val="2"/>
          <w:numId w:val="83"/>
        </w:numPr>
        <w:tabs>
          <w:tab w:pos="1278" w:val="left" w:leader="none"/>
        </w:tabs>
        <w:spacing w:line="319" w:lineRule="auto" w:before="109" w:after="0"/>
        <w:ind w:left="217" w:right="213" w:firstLine="440"/>
        <w:jc w:val="both"/>
        <w:rPr>
          <w:sz w:val="22"/>
        </w:rPr>
      </w:pPr>
      <w:r>
        <w:rPr>
          <w:color w:val="231F20"/>
          <w:sz w:val="22"/>
        </w:rPr>
        <w:t>因法律变化而需要对工程的实施进行任何调整的，承包人应迅速通知发包人，或者发包人应迅速通知承包人，并附上详细的辅助资料。发包人接到通知后，应根据第 13.3</w:t>
      </w:r>
      <w:r>
        <w:rPr>
          <w:color w:val="231F20"/>
          <w:spacing w:val="1"/>
          <w:sz w:val="22"/>
        </w:rPr>
        <w:t> 款 [ 变更程序 ] 发出变更指示。</w:t>
      </w:r>
    </w:p>
    <w:p>
      <w:pPr>
        <w:pStyle w:val="ListParagraph"/>
        <w:numPr>
          <w:ilvl w:val="1"/>
          <w:numId w:val="84"/>
        </w:numPr>
        <w:tabs>
          <w:tab w:pos="1146" w:val="left" w:leader="none"/>
        </w:tabs>
        <w:spacing w:line="240" w:lineRule="auto" w:before="20" w:after="0"/>
        <w:ind w:left="1145" w:right="0" w:hanging="488"/>
        <w:jc w:val="left"/>
        <w:rPr>
          <w:rFonts w:ascii="方正黑体_GBK" w:eastAsia="方正黑体_GBK" w:hint="eastAsia"/>
          <w:sz w:val="22"/>
        </w:rPr>
      </w:pPr>
      <w:r>
        <w:rPr>
          <w:rFonts w:ascii="方正黑体_GBK" w:eastAsia="方正黑体_GBK" w:hint="eastAsia"/>
          <w:color w:val="231F20"/>
          <w:sz w:val="22"/>
        </w:rPr>
        <w:t>市场价格波动引起的调整</w:t>
      </w:r>
    </w:p>
    <w:p>
      <w:pPr>
        <w:pStyle w:val="ListParagraph"/>
        <w:numPr>
          <w:ilvl w:val="2"/>
          <w:numId w:val="84"/>
        </w:numPr>
        <w:tabs>
          <w:tab w:pos="1278" w:val="left" w:leader="none"/>
        </w:tabs>
        <w:spacing w:line="319" w:lineRule="auto" w:before="122" w:after="0"/>
        <w:ind w:left="217" w:right="212" w:firstLine="440"/>
        <w:jc w:val="left"/>
        <w:rPr>
          <w:sz w:val="22"/>
        </w:rPr>
      </w:pPr>
      <w:r>
        <w:rPr>
          <w:color w:val="231F20"/>
          <w:sz w:val="22"/>
        </w:rPr>
        <w:t>主要工程材料、设备、人工价格与招标时基期价相比，波动幅度超过合同约定幅度的，双方按照合同约定的价格调整方式调整。</w:t>
      </w:r>
    </w:p>
    <w:p>
      <w:pPr>
        <w:pStyle w:val="ListParagraph"/>
        <w:numPr>
          <w:ilvl w:val="2"/>
          <w:numId w:val="84"/>
        </w:numPr>
        <w:tabs>
          <w:tab w:pos="1257" w:val="left" w:leader="none"/>
        </w:tabs>
        <w:spacing w:line="240" w:lineRule="auto" w:before="25" w:after="0"/>
        <w:ind w:left="1256" w:right="0" w:hanging="599"/>
        <w:jc w:val="left"/>
        <w:rPr>
          <w:sz w:val="22"/>
        </w:rPr>
      </w:pPr>
      <w:r>
        <w:rPr>
          <w:color w:val="231F20"/>
          <w:sz w:val="22"/>
        </w:rPr>
        <w:t>发包人与承包人在专用合同条件中约定采用《价格指数权重表》的，适用本项约定。</w:t>
      </w:r>
    </w:p>
    <w:p>
      <w:pPr>
        <w:pStyle w:val="ListParagraph"/>
        <w:numPr>
          <w:ilvl w:val="3"/>
          <w:numId w:val="84"/>
        </w:numPr>
        <w:tabs>
          <w:tab w:pos="1443" w:val="left" w:leader="none"/>
        </w:tabs>
        <w:spacing w:line="319" w:lineRule="auto" w:before="108" w:after="0"/>
        <w:ind w:left="217" w:right="208" w:firstLine="440"/>
        <w:jc w:val="both"/>
        <w:rPr>
          <w:sz w:val="22"/>
        </w:rPr>
      </w:pPr>
      <w:r>
        <w:rPr>
          <w:color w:val="231F20"/>
          <w:spacing w:val="0"/>
          <w:sz w:val="22"/>
        </w:rPr>
        <w:t>双方当事人可以将部分主要工程材料、工程设备、人工价格及其他双方认为应当根据市场价格调整的费用列入附件 </w:t>
      </w:r>
      <w:r>
        <w:rPr>
          <w:color w:val="231F20"/>
          <w:sz w:val="22"/>
        </w:rPr>
        <w:t>6[ 价格指数权重表 ]，并根据以下公式计算差额并调整合同价格：</w:t>
      </w:r>
    </w:p>
    <w:p>
      <w:pPr>
        <w:pStyle w:val="BodyText"/>
        <w:spacing w:before="25"/>
        <w:ind w:left="547"/>
      </w:pPr>
      <w:r>
        <w:rPr/>
        <w:drawing>
          <wp:anchor distT="0" distB="0" distL="0" distR="0" allowOverlap="1" layoutInCell="1" locked="0" behindDoc="1" simplePos="0" relativeHeight="268333127">
            <wp:simplePos x="0" y="0"/>
            <wp:positionH relativeFrom="page">
              <wp:posOffset>1179410</wp:posOffset>
            </wp:positionH>
            <wp:positionV relativeFrom="paragraph">
              <wp:posOffset>345335</wp:posOffset>
            </wp:positionV>
            <wp:extent cx="3222872" cy="45746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31" cstate="print"/>
                    <a:stretch>
                      <a:fillRect/>
                    </a:stretch>
                  </pic:blipFill>
                  <pic:spPr>
                    <a:xfrm>
                      <a:off x="0" y="0"/>
                      <a:ext cx="3222872" cy="457466"/>
                    </a:xfrm>
                    <a:prstGeom prst="rect">
                      <a:avLst/>
                    </a:prstGeom>
                  </pic:spPr>
                </pic:pic>
              </a:graphicData>
            </a:graphic>
          </wp:anchor>
        </w:drawing>
      </w:r>
      <w:r>
        <w:rPr>
          <w:color w:val="231F20"/>
        </w:rPr>
        <w:t>（ 1）价格调整公式</w:t>
      </w:r>
    </w:p>
    <w:p>
      <w:pPr>
        <w:pStyle w:val="BodyText"/>
        <w:spacing w:before="0"/>
        <w:ind w:left="0"/>
        <w:rPr>
          <w:sz w:val="24"/>
        </w:rPr>
      </w:pPr>
    </w:p>
    <w:p>
      <w:pPr>
        <w:pStyle w:val="BodyText"/>
        <w:spacing w:before="1"/>
        <w:ind w:left="0"/>
        <w:rPr>
          <w:sz w:val="34"/>
        </w:rPr>
      </w:pPr>
    </w:p>
    <w:p>
      <w:pPr>
        <w:pStyle w:val="BodyText"/>
        <w:spacing w:line="319" w:lineRule="auto" w:before="0"/>
        <w:ind w:left="657" w:right="204"/>
      </w:pPr>
      <w:r>
        <w:rPr>
          <w:color w:val="231F20"/>
          <w:spacing w:val="-28"/>
        </w:rPr>
        <w:t>公 式 中 ：△                                                                                     </w:t>
      </w:r>
      <w:r>
        <w:rPr>
          <w:color w:val="231F20"/>
        </w:rPr>
        <w:t>P---                                         需 调 整 的 价 格 差 额 ； PO——付款证书中承包人应得到的已完成工作量的金额。此项金额应不包括价格调整、不</w:t>
      </w:r>
    </w:p>
    <w:p>
      <w:pPr>
        <w:pStyle w:val="BodyText"/>
        <w:spacing w:line="319" w:lineRule="auto" w:before="25"/>
        <w:ind w:left="217" w:right="92"/>
      </w:pPr>
      <w:r>
        <w:rPr>
          <w:color w:val="231F20"/>
        </w:rPr>
        <w:t>计质量保证金的预留和支付、预付款的支付和扣回。第 13 条 [ 变更与调整 ] 约定的变更及其他金额已按当期价格计价的，也不计在内；</w:t>
      </w:r>
    </w:p>
    <w:p>
      <w:pPr>
        <w:pStyle w:val="BodyText"/>
        <w:spacing w:before="25"/>
        <w:ind w:left="657"/>
      </w:pPr>
      <w:r>
        <w:rPr>
          <w:color w:val="231F20"/>
        </w:rPr>
        <w:t>A ——定值权重（即不调部分的权重）；</w:t>
      </w:r>
    </w:p>
    <w:p>
      <w:pPr>
        <w:pStyle w:val="BodyText"/>
        <w:spacing w:line="309" w:lineRule="auto" w:before="108"/>
        <w:ind w:left="217" w:right="204" w:firstLine="440"/>
      </w:pPr>
      <w:r>
        <w:rPr>
          <w:color w:val="231F20"/>
        </w:rPr>
        <w:t>B</w:t>
      </w:r>
      <w:r>
        <w:rPr>
          <w:color w:val="231F20"/>
          <w:w w:val="98"/>
          <w:position w:val="-3"/>
          <w:sz w:val="13"/>
        </w:rPr>
        <w:t>1</w:t>
      </w:r>
      <w:r>
        <w:rPr>
          <w:color w:val="231F20"/>
          <w:position w:val="-3"/>
          <w:sz w:val="13"/>
        </w:rPr>
        <w:t> </w:t>
      </w:r>
      <w:r>
        <w:rPr>
          <w:color w:val="231F20"/>
          <w:spacing w:val="-55"/>
        </w:rPr>
        <w:t>；</w:t>
      </w:r>
      <w:r>
        <w:rPr>
          <w:color w:val="231F20"/>
        </w:rPr>
        <w:t>B</w:t>
      </w:r>
      <w:r>
        <w:rPr>
          <w:color w:val="231F20"/>
          <w:w w:val="98"/>
          <w:position w:val="-3"/>
          <w:sz w:val="13"/>
        </w:rPr>
        <w:t>2</w:t>
      </w:r>
      <w:r>
        <w:rPr>
          <w:color w:val="231F20"/>
          <w:position w:val="-3"/>
          <w:sz w:val="13"/>
        </w:rPr>
        <w:t> </w:t>
      </w:r>
      <w:r>
        <w:rPr>
          <w:color w:val="231F20"/>
          <w:spacing w:val="-55"/>
        </w:rPr>
        <w:t>；</w:t>
      </w:r>
      <w:r>
        <w:rPr>
          <w:color w:val="231F20"/>
        </w:rPr>
        <w:t>B</w:t>
      </w:r>
      <w:r>
        <w:rPr>
          <w:color w:val="231F20"/>
          <w:w w:val="98"/>
          <w:position w:val="-3"/>
          <w:sz w:val="13"/>
        </w:rPr>
        <w:t>3</w:t>
      </w:r>
      <w:r>
        <w:rPr>
          <w:color w:val="231F20"/>
          <w:position w:val="-3"/>
          <w:sz w:val="13"/>
        </w:rPr>
        <w:t> </w:t>
      </w:r>
      <w:r>
        <w:rPr>
          <w:color w:val="231F20"/>
          <w:spacing w:val="-51"/>
        </w:rPr>
        <w:t>；</w:t>
      </w:r>
      <w:r>
        <w:rPr>
          <w:color w:val="231F20"/>
        </w:rPr>
        <w:t>……B</w:t>
      </w:r>
      <w:r>
        <w:rPr>
          <w:color w:val="231F20"/>
          <w:w w:val="98"/>
          <w:position w:val="-3"/>
          <w:sz w:val="13"/>
        </w:rPr>
        <w:t>n</w:t>
      </w:r>
      <w:r>
        <w:rPr>
          <w:color w:val="231F20"/>
        </w:rPr>
        <w:t>——各可调因子的变值权重</w:t>
      </w:r>
      <w:r>
        <w:rPr>
          <w:color w:val="231F20"/>
          <w:spacing w:val="5"/>
        </w:rPr>
        <w:t>（即可调部分的权重）为各可调因子在投</w:t>
      </w:r>
      <w:r>
        <w:rPr>
          <w:color w:val="231F20"/>
          <w:spacing w:val="-1"/>
        </w:rPr>
        <w:t>标函投标总报价中所占的比例，且 </w:t>
      </w:r>
      <w:r>
        <w:rPr>
          <w:color w:val="231F20"/>
        </w:rPr>
        <w:t>A+B1+B2+B3+……+Bn=1</w:t>
      </w:r>
      <w:r>
        <w:rPr>
          <w:color w:val="231F20"/>
          <w:spacing w:val="-4"/>
        </w:rPr>
        <w:t> ；</w:t>
      </w:r>
    </w:p>
    <w:p>
      <w:pPr>
        <w:spacing w:before="35"/>
        <w:ind w:left="657" w:right="0" w:firstLine="0"/>
        <w:jc w:val="left"/>
        <w:rPr>
          <w:sz w:val="22"/>
        </w:rPr>
      </w:pPr>
      <w:r>
        <w:rPr>
          <w:color w:val="231F20"/>
          <w:sz w:val="22"/>
        </w:rPr>
        <w:t>F</w:t>
      </w:r>
      <w:r>
        <w:rPr>
          <w:color w:val="231F20"/>
          <w:spacing w:val="-1"/>
          <w:w w:val="98"/>
          <w:position w:val="-3"/>
          <w:sz w:val="13"/>
        </w:rPr>
        <w:t>t</w:t>
      </w:r>
      <w:r>
        <w:rPr>
          <w:color w:val="231F20"/>
          <w:w w:val="98"/>
          <w:position w:val="-3"/>
          <w:sz w:val="13"/>
        </w:rPr>
        <w:t>1</w:t>
      </w:r>
      <w:r>
        <w:rPr>
          <w:color w:val="231F20"/>
          <w:position w:val="-3"/>
          <w:sz w:val="13"/>
        </w:rPr>
        <w:t> </w:t>
      </w:r>
      <w:r>
        <w:rPr>
          <w:color w:val="231F20"/>
          <w:spacing w:val="-55"/>
          <w:sz w:val="22"/>
        </w:rPr>
        <w:t>；</w:t>
      </w:r>
      <w:r>
        <w:rPr>
          <w:color w:val="231F20"/>
          <w:sz w:val="22"/>
        </w:rPr>
        <w:t>F</w:t>
      </w:r>
      <w:r>
        <w:rPr>
          <w:color w:val="231F20"/>
          <w:spacing w:val="-1"/>
          <w:w w:val="98"/>
          <w:position w:val="-3"/>
          <w:sz w:val="13"/>
        </w:rPr>
        <w:t>t</w:t>
      </w:r>
      <w:r>
        <w:rPr>
          <w:color w:val="231F20"/>
          <w:w w:val="98"/>
          <w:position w:val="-3"/>
          <w:sz w:val="13"/>
        </w:rPr>
        <w:t>2</w:t>
      </w:r>
      <w:r>
        <w:rPr>
          <w:color w:val="231F20"/>
          <w:position w:val="-3"/>
          <w:sz w:val="13"/>
        </w:rPr>
        <w:t> </w:t>
      </w:r>
      <w:r>
        <w:rPr>
          <w:color w:val="231F20"/>
          <w:spacing w:val="-55"/>
          <w:sz w:val="22"/>
        </w:rPr>
        <w:t>；</w:t>
      </w:r>
      <w:r>
        <w:rPr>
          <w:color w:val="231F20"/>
          <w:sz w:val="22"/>
        </w:rPr>
        <w:t>F</w:t>
      </w:r>
      <w:r>
        <w:rPr>
          <w:color w:val="231F20"/>
          <w:spacing w:val="-1"/>
          <w:w w:val="98"/>
          <w:position w:val="-3"/>
          <w:sz w:val="13"/>
        </w:rPr>
        <w:t>t</w:t>
      </w:r>
      <w:r>
        <w:rPr>
          <w:color w:val="231F20"/>
          <w:w w:val="98"/>
          <w:position w:val="-3"/>
          <w:sz w:val="13"/>
        </w:rPr>
        <w:t>3</w:t>
      </w:r>
      <w:r>
        <w:rPr>
          <w:color w:val="231F20"/>
          <w:position w:val="-3"/>
          <w:sz w:val="13"/>
        </w:rPr>
        <w:t> </w:t>
      </w:r>
      <w:r>
        <w:rPr>
          <w:color w:val="231F20"/>
          <w:spacing w:val="-18"/>
          <w:sz w:val="22"/>
        </w:rPr>
        <w:t>；……</w:t>
      </w:r>
      <w:r>
        <w:rPr>
          <w:color w:val="231F20"/>
          <w:spacing w:val="-1"/>
          <w:sz w:val="22"/>
        </w:rPr>
        <w:t>F</w:t>
      </w:r>
      <w:r>
        <w:rPr>
          <w:color w:val="231F20"/>
          <w:spacing w:val="-1"/>
          <w:w w:val="98"/>
          <w:position w:val="-3"/>
          <w:sz w:val="13"/>
        </w:rPr>
        <w:t>t</w:t>
      </w:r>
      <w:r>
        <w:rPr>
          <w:color w:val="231F20"/>
          <w:w w:val="98"/>
          <w:position w:val="-3"/>
          <w:sz w:val="13"/>
        </w:rPr>
        <w:t>n</w:t>
      </w:r>
      <w:r>
        <w:rPr>
          <w:color w:val="231F20"/>
          <w:spacing w:val="-1"/>
          <w:sz w:val="22"/>
        </w:rPr>
        <w:t>——各可调因子的当期价格指数，指付款证书相关周期最后一天的前</w:t>
      </w:r>
    </w:p>
    <w:p>
      <w:pPr>
        <w:pStyle w:val="BodyText"/>
        <w:spacing w:before="94"/>
        <w:ind w:left="217"/>
      </w:pPr>
      <w:r>
        <w:rPr>
          <w:color w:val="231F20"/>
        </w:rPr>
        <w:t>42 天的各可调因子的价格指数；</w:t>
      </w:r>
    </w:p>
    <w:p>
      <w:pPr>
        <w:spacing w:line="309" w:lineRule="auto" w:before="109"/>
        <w:ind w:left="217" w:right="205" w:firstLine="440"/>
        <w:jc w:val="left"/>
        <w:rPr>
          <w:sz w:val="22"/>
        </w:rPr>
      </w:pPr>
      <w:r>
        <w:rPr>
          <w:color w:val="231F20"/>
          <w:sz w:val="22"/>
        </w:rPr>
        <w:t>F</w:t>
      </w:r>
      <w:r>
        <w:rPr>
          <w:color w:val="231F20"/>
          <w:spacing w:val="-1"/>
          <w:w w:val="98"/>
          <w:position w:val="-3"/>
          <w:sz w:val="13"/>
        </w:rPr>
        <w:t>0</w:t>
      </w:r>
      <w:r>
        <w:rPr>
          <w:color w:val="231F20"/>
          <w:w w:val="98"/>
          <w:position w:val="-3"/>
          <w:sz w:val="13"/>
        </w:rPr>
        <w:t>1</w:t>
      </w:r>
      <w:r>
        <w:rPr>
          <w:color w:val="231F20"/>
          <w:position w:val="-3"/>
          <w:sz w:val="13"/>
        </w:rPr>
        <w:t> </w:t>
      </w:r>
      <w:r>
        <w:rPr>
          <w:color w:val="231F20"/>
          <w:spacing w:val="-55"/>
          <w:sz w:val="22"/>
        </w:rPr>
        <w:t>；</w:t>
      </w:r>
      <w:r>
        <w:rPr>
          <w:color w:val="231F20"/>
          <w:sz w:val="22"/>
        </w:rPr>
        <w:t>F</w:t>
      </w:r>
      <w:r>
        <w:rPr>
          <w:color w:val="231F20"/>
          <w:spacing w:val="-1"/>
          <w:w w:val="98"/>
          <w:position w:val="-3"/>
          <w:sz w:val="13"/>
        </w:rPr>
        <w:t>0</w:t>
      </w:r>
      <w:r>
        <w:rPr>
          <w:color w:val="231F20"/>
          <w:w w:val="98"/>
          <w:position w:val="-3"/>
          <w:sz w:val="13"/>
        </w:rPr>
        <w:t>2</w:t>
      </w:r>
      <w:r>
        <w:rPr>
          <w:color w:val="231F20"/>
          <w:position w:val="-3"/>
          <w:sz w:val="13"/>
        </w:rPr>
        <w:t> </w:t>
      </w:r>
      <w:r>
        <w:rPr>
          <w:color w:val="231F20"/>
          <w:spacing w:val="-55"/>
          <w:sz w:val="22"/>
        </w:rPr>
        <w:t>；</w:t>
      </w:r>
      <w:r>
        <w:rPr>
          <w:color w:val="231F20"/>
          <w:sz w:val="22"/>
        </w:rPr>
        <w:t>F</w:t>
      </w:r>
      <w:r>
        <w:rPr>
          <w:color w:val="231F20"/>
          <w:spacing w:val="-1"/>
          <w:w w:val="98"/>
          <w:position w:val="-3"/>
          <w:sz w:val="13"/>
        </w:rPr>
        <w:t>0</w:t>
      </w:r>
      <w:r>
        <w:rPr>
          <w:color w:val="231F20"/>
          <w:w w:val="98"/>
          <w:position w:val="-3"/>
          <w:sz w:val="13"/>
        </w:rPr>
        <w:t>3</w:t>
      </w:r>
      <w:r>
        <w:rPr>
          <w:color w:val="231F20"/>
          <w:position w:val="-3"/>
          <w:sz w:val="13"/>
        </w:rPr>
        <w:t> </w:t>
      </w:r>
      <w:r>
        <w:rPr>
          <w:color w:val="231F20"/>
          <w:spacing w:val="-17"/>
          <w:sz w:val="22"/>
        </w:rPr>
        <w:t>；……</w:t>
      </w:r>
      <w:r>
        <w:rPr>
          <w:color w:val="231F20"/>
          <w:spacing w:val="-1"/>
          <w:sz w:val="22"/>
        </w:rPr>
        <w:t>F</w:t>
      </w:r>
      <w:r>
        <w:rPr>
          <w:color w:val="231F20"/>
          <w:spacing w:val="-1"/>
          <w:w w:val="98"/>
          <w:position w:val="-3"/>
          <w:sz w:val="13"/>
        </w:rPr>
        <w:t>0</w:t>
      </w:r>
      <w:r>
        <w:rPr>
          <w:color w:val="231F20"/>
          <w:w w:val="98"/>
          <w:position w:val="-3"/>
          <w:sz w:val="13"/>
        </w:rPr>
        <w:t>n</w:t>
      </w:r>
      <w:r>
        <w:rPr>
          <w:color w:val="231F20"/>
          <w:sz w:val="22"/>
        </w:rPr>
        <w:t>——各可调因子的基本价格指数，指基准日期的各可调因子的价格指数。</w:t>
      </w:r>
    </w:p>
    <w:p>
      <w:pPr>
        <w:pStyle w:val="BodyText"/>
        <w:spacing w:line="319" w:lineRule="auto" w:before="36"/>
        <w:ind w:left="217" w:right="213" w:firstLine="440"/>
        <w:jc w:val="both"/>
      </w:pPr>
      <w:r>
        <w:rPr>
          <w:color w:val="231F20"/>
        </w:rPr>
        <w:t>以上价格调整公式中的各可调因子、定值和变值权重，以及基本价格指数及其来源在投标函附录价格指数和权重表中约定。价格指数应首先采用投标函附录中载明的有关部门提供的价格指数，缺乏上述价格指数时，可采用有关部门提供的价格代替。</w:t>
      </w:r>
    </w:p>
    <w:p>
      <w:pPr>
        <w:spacing w:after="0" w:line="319" w:lineRule="auto"/>
        <w:jc w:val="both"/>
        <w:sectPr>
          <w:footerReference w:type="even" r:id="rId29"/>
          <w:footerReference w:type="default" r:id="rId30"/>
          <w:pgSz w:w="11910" w:h="16840"/>
          <w:pgMar w:footer="832" w:header="0" w:top="1580" w:bottom="1020" w:left="1200" w:right="1200"/>
          <w:pgNumType w:start="62"/>
        </w:sectPr>
      </w:pPr>
    </w:p>
    <w:p>
      <w:pPr>
        <w:pStyle w:val="BodyText"/>
        <w:spacing w:before="24"/>
        <w:ind w:left="447"/>
      </w:pPr>
      <w:r>
        <w:rPr>
          <w:color w:val="231F20"/>
        </w:rPr>
        <w:t>（ 2）暂时确定调整差额</w:t>
      </w:r>
    </w:p>
    <w:p>
      <w:pPr>
        <w:pStyle w:val="BodyText"/>
        <w:spacing w:line="319" w:lineRule="auto"/>
        <w:ind w:right="215" w:firstLine="440"/>
      </w:pPr>
      <w:r>
        <w:rPr>
          <w:color w:val="231F20"/>
        </w:rPr>
        <w:t>在计算调整差额时得不到当期价格指数的，可暂用上一次价格指数计算，并在以后的付款中再按实际价格指数进行调整。</w:t>
      </w:r>
    </w:p>
    <w:p>
      <w:pPr>
        <w:pStyle w:val="BodyText"/>
        <w:spacing w:before="25"/>
        <w:ind w:left="447"/>
      </w:pPr>
      <w:r>
        <w:rPr>
          <w:color w:val="231F20"/>
        </w:rPr>
        <w:t>（ 3）权重的调整</w:t>
      </w:r>
    </w:p>
    <w:p>
      <w:pPr>
        <w:pStyle w:val="BodyText"/>
        <w:spacing w:line="319" w:lineRule="auto" w:before="108"/>
        <w:ind w:right="215" w:firstLine="440"/>
      </w:pPr>
      <w:r>
        <w:rPr>
          <w:color w:val="231F20"/>
        </w:rPr>
        <w:t>按第 13.1 款 [ 发包人变更权 ] 约定的变更导致原定合同中的权重不合理的，由工程师与承包人和发包人协商后进行调整。</w:t>
      </w:r>
    </w:p>
    <w:p>
      <w:pPr>
        <w:pStyle w:val="BodyText"/>
        <w:spacing w:before="25"/>
        <w:ind w:left="447"/>
      </w:pPr>
      <w:r>
        <w:rPr>
          <w:color w:val="231F20"/>
        </w:rPr>
        <w:t>（ 4）承包人原因工期延误后的价格调整</w:t>
      </w:r>
    </w:p>
    <w:p>
      <w:pPr>
        <w:pStyle w:val="BodyText"/>
        <w:spacing w:line="319" w:lineRule="auto"/>
        <w:ind w:right="211" w:firstLine="440"/>
        <w:jc w:val="both"/>
      </w:pPr>
      <w:r>
        <w:rPr>
          <w:color w:val="231F20"/>
        </w:rPr>
        <w:t>因承包人原因未在约定的工期内竣工的，则对原约定竣工日期后继续施工的工程，在使用本款第（ 1）项价格调整公式时，应采用原约定竣工日期与实际竣工日期的两个价格指数中较低的一个作为当期价格指数。</w:t>
      </w:r>
    </w:p>
    <w:p>
      <w:pPr>
        <w:pStyle w:val="BodyText"/>
        <w:spacing w:before="26"/>
        <w:ind w:left="447"/>
      </w:pPr>
      <w:r>
        <w:rPr>
          <w:color w:val="231F20"/>
        </w:rPr>
        <w:t>（ 5）发包人引起的工期延误后的价格调整</w:t>
      </w:r>
    </w:p>
    <w:p>
      <w:pPr>
        <w:pStyle w:val="BodyText"/>
        <w:spacing w:line="319" w:lineRule="auto"/>
        <w:ind w:right="211" w:firstLine="440"/>
        <w:jc w:val="both"/>
      </w:pPr>
      <w:r>
        <w:rPr>
          <w:color w:val="231F20"/>
        </w:rPr>
        <w:t>由于发包人原因未在约定的工期内竣工的，则对原约定竣工日期后继续施工的工程，在使用本款第（ 1）目价格调整公式时，应采用原约定竣工日期与实际竣工日期的两个价格指数中较高的一个作为当期价格指数。</w:t>
      </w:r>
    </w:p>
    <w:p>
      <w:pPr>
        <w:pStyle w:val="ListParagraph"/>
        <w:numPr>
          <w:ilvl w:val="3"/>
          <w:numId w:val="84"/>
        </w:numPr>
        <w:tabs>
          <w:tab w:pos="1320" w:val="left" w:leader="none"/>
        </w:tabs>
        <w:spacing w:line="240" w:lineRule="auto" w:before="25" w:after="0"/>
        <w:ind w:left="1319" w:right="0" w:hanging="762"/>
        <w:jc w:val="left"/>
        <w:rPr>
          <w:sz w:val="22"/>
        </w:rPr>
      </w:pPr>
      <w:r>
        <w:rPr>
          <w:color w:val="231F20"/>
          <w:sz w:val="22"/>
        </w:rPr>
        <w:t>未列入《价格指数权重表》的费用不因市场变化而调整。</w:t>
      </w:r>
    </w:p>
    <w:p>
      <w:pPr>
        <w:pStyle w:val="ListParagraph"/>
        <w:numPr>
          <w:ilvl w:val="2"/>
          <w:numId w:val="84"/>
        </w:numPr>
        <w:tabs>
          <w:tab w:pos="1157" w:val="left" w:leader="none"/>
        </w:tabs>
        <w:spacing w:line="240" w:lineRule="auto" w:before="108" w:after="0"/>
        <w:ind w:left="1156" w:right="0" w:hanging="599"/>
        <w:jc w:val="left"/>
        <w:rPr>
          <w:sz w:val="22"/>
        </w:rPr>
      </w:pPr>
      <w:r>
        <w:rPr>
          <w:color w:val="231F20"/>
          <w:sz w:val="22"/>
        </w:rPr>
        <w:t>双方约定采用其他方式调整合同价款的，以专用合同条件约定为准。</w:t>
      </w:r>
    </w:p>
    <w:p>
      <w:pPr>
        <w:pStyle w:val="BodyText"/>
        <w:tabs>
          <w:tab w:pos="1131" w:val="left" w:leader="none"/>
        </w:tabs>
        <w:spacing w:before="102"/>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14</w:t>
      </w:r>
      <w:r>
        <w:rPr>
          <w:rFonts w:ascii="方正黑体_GBK" w:eastAsia="方正黑体_GBK" w:hint="eastAsia"/>
          <w:color w:val="231F20"/>
          <w:spacing w:val="-7"/>
        </w:rPr>
        <w:t> </w:t>
      </w:r>
      <w:r>
        <w:rPr>
          <w:rFonts w:ascii="方正黑体_GBK" w:eastAsia="方正黑体_GBK" w:hint="eastAsia"/>
          <w:color w:val="231F20"/>
        </w:rPr>
        <w:t>条</w:t>
        <w:tab/>
        <w:t>合同价格与支付</w:t>
      </w:r>
    </w:p>
    <w:p>
      <w:pPr>
        <w:pStyle w:val="ListParagraph"/>
        <w:numPr>
          <w:ilvl w:val="1"/>
          <w:numId w:val="85"/>
        </w:numPr>
        <w:tabs>
          <w:tab w:pos="1046" w:val="left" w:leader="none"/>
        </w:tabs>
        <w:spacing w:line="240" w:lineRule="auto" w:before="115" w:after="0"/>
        <w:ind w:left="1045" w:right="0" w:hanging="488"/>
        <w:jc w:val="left"/>
        <w:rPr>
          <w:rFonts w:ascii="方正黑体_GBK" w:eastAsia="方正黑体_GBK" w:hint="eastAsia"/>
          <w:sz w:val="22"/>
        </w:rPr>
      </w:pPr>
      <w:r>
        <w:rPr>
          <w:rFonts w:ascii="方正黑体_GBK" w:eastAsia="方正黑体_GBK" w:hint="eastAsia"/>
          <w:color w:val="231F20"/>
          <w:sz w:val="22"/>
        </w:rPr>
        <w:t>合同价格形式</w:t>
      </w:r>
    </w:p>
    <w:p>
      <w:pPr>
        <w:pStyle w:val="ListParagraph"/>
        <w:numPr>
          <w:ilvl w:val="2"/>
          <w:numId w:val="85"/>
        </w:numPr>
        <w:tabs>
          <w:tab w:pos="1176" w:val="left" w:leader="none"/>
        </w:tabs>
        <w:spacing w:line="319" w:lineRule="auto" w:before="121" w:after="0"/>
        <w:ind w:left="117" w:right="103" w:firstLine="440"/>
        <w:jc w:val="left"/>
        <w:rPr>
          <w:sz w:val="22"/>
        </w:rPr>
      </w:pPr>
      <w:r>
        <w:rPr>
          <w:color w:val="231F20"/>
          <w:sz w:val="22"/>
        </w:rPr>
        <w:t>除专用合同条件中另有约定外，本合同为总价合同，除根据第 13 条 [ 变更与调整 ]， 以及合同中其它相关增减金额的约定进行调整外，合同价格不做调整。</w:t>
      </w:r>
    </w:p>
    <w:p>
      <w:pPr>
        <w:pStyle w:val="ListParagraph"/>
        <w:numPr>
          <w:ilvl w:val="2"/>
          <w:numId w:val="85"/>
        </w:numPr>
        <w:tabs>
          <w:tab w:pos="1157" w:val="left" w:leader="none"/>
        </w:tabs>
        <w:spacing w:line="240" w:lineRule="auto" w:before="25" w:after="0"/>
        <w:ind w:left="1156" w:right="0" w:hanging="599"/>
        <w:jc w:val="left"/>
        <w:rPr>
          <w:sz w:val="22"/>
        </w:rPr>
      </w:pPr>
      <w:r>
        <w:rPr>
          <w:color w:val="231F20"/>
          <w:sz w:val="22"/>
        </w:rPr>
        <w:t>除专用合同条件另有约定外：</w:t>
      </w:r>
    </w:p>
    <w:p>
      <w:pPr>
        <w:pStyle w:val="BodyText"/>
        <w:ind w:left="447"/>
      </w:pPr>
      <w:r>
        <w:rPr>
          <w:color w:val="231F20"/>
        </w:rPr>
        <w:t>（ 1）工程款的支付应以合同协议书约定的签约合同价格为基础，按照合同约定进行调整；</w:t>
      </w:r>
    </w:p>
    <w:p>
      <w:pPr>
        <w:pStyle w:val="BodyText"/>
        <w:spacing w:line="319" w:lineRule="auto"/>
        <w:ind w:right="201" w:firstLine="330"/>
      </w:pPr>
      <w:r>
        <w:rPr>
          <w:color w:val="231F20"/>
        </w:rPr>
        <w:t>（ 2）承包人应支付根据法律规定或合同约定应由其支付的各项税费，除第 13.7 款 [ 法律变化引起的调整 ] 约定外，合同价格不应因任何这些税费进行调整；</w:t>
      </w:r>
    </w:p>
    <w:p>
      <w:pPr>
        <w:pStyle w:val="BodyText"/>
        <w:spacing w:line="319" w:lineRule="auto" w:before="25"/>
        <w:ind w:right="212" w:firstLine="330"/>
        <w:jc w:val="both"/>
      </w:pPr>
      <w:r>
        <w:rPr>
          <w:color w:val="231F20"/>
        </w:rPr>
        <w:t>（ 3）价格清单列出的任何数量仅为估算的工作量，不得将其视为要求承包人实施的工程的实际或准确的工作量。在价格清单中列出的任何工作量和价格数据应仅限用于变更和支付的参考资料，而不能用于其他目的。</w:t>
      </w:r>
    </w:p>
    <w:p>
      <w:pPr>
        <w:pStyle w:val="ListParagraph"/>
        <w:numPr>
          <w:ilvl w:val="2"/>
          <w:numId w:val="85"/>
        </w:numPr>
        <w:tabs>
          <w:tab w:pos="1178" w:val="left" w:leader="none"/>
        </w:tabs>
        <w:spacing w:line="319" w:lineRule="auto" w:before="25" w:after="0"/>
        <w:ind w:left="117" w:right="214" w:firstLine="440"/>
        <w:jc w:val="left"/>
        <w:rPr>
          <w:sz w:val="22"/>
        </w:rPr>
      </w:pPr>
      <w:r>
        <w:rPr>
          <w:color w:val="231F20"/>
          <w:sz w:val="22"/>
        </w:rPr>
        <w:t>合同约定工程的某部分按照实际完成的工程量进行支付的，应按照专用合同条件的约定进行计量和估价，并据此调整合同价格。</w:t>
      </w:r>
    </w:p>
    <w:p>
      <w:pPr>
        <w:pStyle w:val="ListParagraph"/>
        <w:numPr>
          <w:ilvl w:val="1"/>
          <w:numId w:val="86"/>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预付款</w:t>
      </w:r>
    </w:p>
    <w:p>
      <w:pPr>
        <w:pStyle w:val="ListParagraph"/>
        <w:numPr>
          <w:ilvl w:val="2"/>
          <w:numId w:val="86"/>
        </w:numPr>
        <w:tabs>
          <w:tab w:pos="1157" w:val="left" w:leader="none"/>
        </w:tabs>
        <w:spacing w:line="240" w:lineRule="auto" w:before="121" w:after="0"/>
        <w:ind w:left="1156" w:right="0" w:hanging="599"/>
        <w:jc w:val="left"/>
        <w:rPr>
          <w:sz w:val="22"/>
        </w:rPr>
      </w:pPr>
      <w:r>
        <w:rPr>
          <w:color w:val="231F20"/>
          <w:sz w:val="22"/>
        </w:rPr>
        <w:t>预付款支付</w:t>
      </w:r>
    </w:p>
    <w:p>
      <w:pPr>
        <w:spacing w:after="0" w:line="240" w:lineRule="auto"/>
        <w:jc w:val="left"/>
        <w:rPr>
          <w:sz w:val="22"/>
        </w:rPr>
        <w:sectPr>
          <w:pgSz w:w="11910" w:h="16840"/>
          <w:pgMar w:header="0" w:footer="832" w:top="1580" w:bottom="1020" w:left="1300" w:right="1200"/>
        </w:sectPr>
      </w:pPr>
    </w:p>
    <w:p>
      <w:pPr>
        <w:pStyle w:val="BodyText"/>
        <w:spacing w:line="319" w:lineRule="auto" w:before="24"/>
        <w:ind w:right="216" w:firstLine="440"/>
        <w:jc w:val="both"/>
      </w:pPr>
      <w:r>
        <w:rPr>
          <w:color w:val="231F20"/>
        </w:rPr>
        <w:t>预付款的额度和支付按照专用合同条件约定执行。预付款应当专用于承包人为合同工程的设计和工程实施购置材料、工程设备、施工设备、修建临时设施以及组织施工队伍进场等合同工作。</w:t>
      </w:r>
    </w:p>
    <w:p>
      <w:pPr>
        <w:pStyle w:val="BodyText"/>
        <w:spacing w:line="319" w:lineRule="auto" w:before="26"/>
        <w:ind w:right="215" w:firstLine="440"/>
      </w:pPr>
      <w:r>
        <w:rPr>
          <w:color w:val="231F20"/>
        </w:rPr>
        <w:t>除专用合同条件另有约定外，预付款在进度付款中同比例扣回。在颁发工程接收证书前， 提前解除合同的，尚未扣完的预付款应与合同价款一并结算。</w:t>
      </w:r>
    </w:p>
    <w:p>
      <w:pPr>
        <w:pStyle w:val="BodyText"/>
        <w:spacing w:line="319" w:lineRule="auto" w:before="26"/>
        <w:ind w:right="212" w:firstLine="440"/>
        <w:jc w:val="both"/>
      </w:pPr>
      <w:r>
        <w:rPr>
          <w:color w:val="231F20"/>
        </w:rPr>
        <w:t>发包人逾期支付预付款超过 7 天的，承包人有权向发包人发出要求预付的催告通知，发包人收到通知后 7 天内仍未支付的，承包人有权暂停施工，并按第 15.1.1 项[ 发包人违约的情形] 执行。</w:t>
      </w:r>
    </w:p>
    <w:p>
      <w:pPr>
        <w:pStyle w:val="ListParagraph"/>
        <w:numPr>
          <w:ilvl w:val="2"/>
          <w:numId w:val="86"/>
        </w:numPr>
        <w:tabs>
          <w:tab w:pos="1157" w:val="left" w:leader="none"/>
        </w:tabs>
        <w:spacing w:line="240" w:lineRule="auto" w:before="26" w:after="0"/>
        <w:ind w:left="1156" w:right="0" w:hanging="599"/>
        <w:jc w:val="left"/>
        <w:rPr>
          <w:sz w:val="22"/>
        </w:rPr>
      </w:pPr>
      <w:r>
        <w:rPr>
          <w:color w:val="231F20"/>
          <w:sz w:val="22"/>
        </w:rPr>
        <w:t>预付款担保</w:t>
      </w:r>
    </w:p>
    <w:p>
      <w:pPr>
        <w:pStyle w:val="BodyText"/>
        <w:spacing w:line="319" w:lineRule="auto"/>
        <w:ind w:right="207" w:firstLine="440"/>
        <w:jc w:val="both"/>
      </w:pPr>
      <w:r>
        <w:rPr>
          <w:color w:val="231F20"/>
        </w:rPr>
        <w:t>发包人指示承包人提供预付款担保的，承包人应在发包人支付预付款 7 天前提供预付款担保，专用合同条件另有约定除外。预付款担保可采用银行保函、担保公司担保等形式，具体由合同当事人在专用合同条件中约定。在预付款完全扣回之前，承包人应保证预付款担保持续有效。</w:t>
      </w:r>
    </w:p>
    <w:p>
      <w:pPr>
        <w:pStyle w:val="BodyText"/>
        <w:spacing w:line="319" w:lineRule="auto" w:before="25"/>
        <w:ind w:right="215" w:firstLine="440"/>
      </w:pPr>
      <w:r>
        <w:rPr>
          <w:color w:val="231F20"/>
        </w:rPr>
        <w:t>发包人在工程款中逐期扣回预付款后，预付款担保额度应相应减少，但剩余的预付款担保金额不得低于未被扣回的预付款金额。</w:t>
      </w:r>
    </w:p>
    <w:p>
      <w:pPr>
        <w:pStyle w:val="ListParagraph"/>
        <w:numPr>
          <w:ilvl w:val="1"/>
          <w:numId w:val="86"/>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工程进度款</w:t>
      </w:r>
    </w:p>
    <w:p>
      <w:pPr>
        <w:pStyle w:val="ListParagraph"/>
        <w:numPr>
          <w:ilvl w:val="2"/>
          <w:numId w:val="86"/>
        </w:numPr>
        <w:tabs>
          <w:tab w:pos="1157" w:val="left" w:leader="none"/>
        </w:tabs>
        <w:spacing w:line="240" w:lineRule="auto" w:before="122" w:after="0"/>
        <w:ind w:left="1156" w:right="0" w:hanging="599"/>
        <w:jc w:val="left"/>
        <w:rPr>
          <w:sz w:val="22"/>
        </w:rPr>
      </w:pPr>
      <w:r>
        <w:rPr>
          <w:color w:val="231F20"/>
          <w:sz w:val="22"/>
        </w:rPr>
        <w:t>工程进度付款申请</w:t>
      </w:r>
    </w:p>
    <w:p>
      <w:pPr>
        <w:pStyle w:val="BodyText"/>
        <w:ind w:left="447"/>
      </w:pPr>
      <w:r>
        <w:rPr>
          <w:color w:val="231F20"/>
        </w:rPr>
        <w:t>（ 1）人工费的申请</w:t>
      </w:r>
    </w:p>
    <w:p>
      <w:pPr>
        <w:pStyle w:val="BodyText"/>
        <w:ind w:left="557"/>
      </w:pPr>
      <w:r>
        <w:rPr>
          <w:color w:val="231F20"/>
        </w:rPr>
        <w:t>人工费应按月支付，工程师应在收到承包人人工费付款申请单以及相关资料后 7 天内完成</w:t>
      </w:r>
    </w:p>
    <w:p>
      <w:pPr>
        <w:pStyle w:val="BodyText"/>
      </w:pPr>
      <w:r>
        <w:rPr>
          <w:color w:val="231F20"/>
        </w:rPr>
        <w:t>审查并报送发包人，发包人应在收到后 7 天内完成审批并向承包人签发人工费支付证书，发包</w:t>
      </w:r>
    </w:p>
    <w:p>
      <w:pPr>
        <w:pStyle w:val="BodyText"/>
        <w:spacing w:line="319" w:lineRule="auto"/>
        <w:ind w:right="215"/>
      </w:pPr>
      <w:r>
        <w:rPr>
          <w:color w:val="231F20"/>
        </w:rPr>
        <w:t>人应在人工费支付证书签发后 7 天内完成支付。已支付的人工费部分，发包人支付进度款时予以相应扣除。</w:t>
      </w:r>
    </w:p>
    <w:p>
      <w:pPr>
        <w:pStyle w:val="BodyText"/>
        <w:spacing w:line="319" w:lineRule="auto" w:before="26"/>
        <w:ind w:right="199" w:firstLine="330"/>
      </w:pPr>
      <w:r>
        <w:rPr>
          <w:color w:val="231F20"/>
        </w:rPr>
        <w:t>（ 2）除专用合同条件另有约定外，承包人应在每月月末向工程师提交进度付款申请单，该进度付款申请单应包括下列内容：</w:t>
      </w:r>
    </w:p>
    <w:p>
      <w:pPr>
        <w:pStyle w:val="BodyText"/>
        <w:spacing w:before="26"/>
        <w:ind w:left="557"/>
      </w:pPr>
      <w:r>
        <w:rPr>
          <w:color w:val="231F20"/>
        </w:rPr>
        <w:t>1）截至本次付款周期内已完成工作对应的金额；</w:t>
      </w:r>
    </w:p>
    <w:p>
      <w:pPr>
        <w:pStyle w:val="BodyText"/>
        <w:ind w:left="557"/>
      </w:pPr>
      <w:r>
        <w:rPr>
          <w:color w:val="231F20"/>
        </w:rPr>
        <w:t>2）扣除依据本款第（ 1）目约定中已扣除的人工费金额；</w:t>
      </w:r>
    </w:p>
    <w:p>
      <w:pPr>
        <w:pStyle w:val="BodyText"/>
        <w:ind w:left="557"/>
      </w:pPr>
      <w:r>
        <w:rPr>
          <w:color w:val="231F20"/>
        </w:rPr>
        <w:t>3）根据第 13 条 [ 变更与调整 ] 应增加和扣减的变更金额；</w:t>
      </w:r>
    </w:p>
    <w:p>
      <w:pPr>
        <w:pStyle w:val="BodyText"/>
        <w:ind w:left="557"/>
      </w:pPr>
      <w:r>
        <w:rPr>
          <w:color w:val="231F20"/>
        </w:rPr>
        <w:t>4）根据第 14.2 款 [ 预付款 ] 约定应支付的预付款和扣减的返还预付款；</w:t>
      </w:r>
    </w:p>
    <w:p>
      <w:pPr>
        <w:pStyle w:val="BodyText"/>
        <w:ind w:left="557"/>
      </w:pPr>
      <w:r>
        <w:rPr>
          <w:color w:val="231F20"/>
        </w:rPr>
        <w:t>5）根据第 14.6.2 项 [ 质量保证金的预留 ] 约定应预留的质量保证金金额；</w:t>
      </w:r>
    </w:p>
    <w:p>
      <w:pPr>
        <w:pStyle w:val="BodyText"/>
        <w:ind w:left="557"/>
      </w:pPr>
      <w:r>
        <w:rPr>
          <w:color w:val="231F20"/>
        </w:rPr>
        <w:t>6）根据第 19 条 [ 索赔 ] 应增加和扣减的索赔金额；</w:t>
      </w:r>
    </w:p>
    <w:p>
      <w:pPr>
        <w:pStyle w:val="BodyText"/>
        <w:ind w:left="557"/>
      </w:pPr>
      <w:r>
        <w:rPr>
          <w:color w:val="231F20"/>
          <w:spacing w:val="-35"/>
        </w:rPr>
        <w:t>7）</w:t>
      </w:r>
      <w:r>
        <w:rPr>
          <w:color w:val="231F20"/>
          <w:spacing w:val="-5"/>
        </w:rPr>
        <w:t>对已签发的进度款支付证书中出现错误的修正，应在本次进度付款中支付或扣除的金额；</w:t>
      </w:r>
    </w:p>
    <w:p>
      <w:pPr>
        <w:spacing w:after="0"/>
        <w:sectPr>
          <w:pgSz w:w="11910" w:h="16840"/>
          <w:pgMar w:header="0" w:footer="832" w:top="1580" w:bottom="1020" w:left="1300" w:right="1200"/>
        </w:sectPr>
      </w:pPr>
    </w:p>
    <w:p>
      <w:pPr>
        <w:pStyle w:val="BodyText"/>
        <w:spacing w:before="24"/>
        <w:ind w:left="557"/>
      </w:pPr>
      <w:r>
        <w:rPr>
          <w:color w:val="231F20"/>
        </w:rPr>
        <w:t>8）根据合同约定应增加和扣减的其他金额。</w:t>
      </w:r>
    </w:p>
    <w:p>
      <w:pPr>
        <w:pStyle w:val="ListParagraph"/>
        <w:numPr>
          <w:ilvl w:val="2"/>
          <w:numId w:val="86"/>
        </w:numPr>
        <w:tabs>
          <w:tab w:pos="1157" w:val="left" w:leader="none"/>
        </w:tabs>
        <w:spacing w:line="240" w:lineRule="auto" w:before="109" w:after="0"/>
        <w:ind w:left="1156" w:right="0" w:hanging="599"/>
        <w:jc w:val="left"/>
        <w:rPr>
          <w:sz w:val="22"/>
        </w:rPr>
      </w:pPr>
      <w:r>
        <w:rPr>
          <w:color w:val="231F20"/>
          <w:sz w:val="22"/>
        </w:rPr>
        <w:t>进度付款审核和支付</w:t>
      </w:r>
    </w:p>
    <w:p>
      <w:pPr>
        <w:pStyle w:val="BodyText"/>
        <w:ind w:left="557"/>
      </w:pPr>
      <w:r>
        <w:rPr>
          <w:color w:val="231F20"/>
        </w:rPr>
        <w:t>除专用合同条件另有约定外，工程师应在收到承包人进度付款申请单以及相关资料后 7 天</w:t>
      </w:r>
    </w:p>
    <w:p>
      <w:pPr>
        <w:pStyle w:val="BodyText"/>
        <w:spacing w:line="319" w:lineRule="auto"/>
        <w:ind w:right="106"/>
        <w:jc w:val="both"/>
      </w:pPr>
      <w:r>
        <w:rPr>
          <w:color w:val="231F20"/>
        </w:rPr>
        <w:t>内完成审查并报送发包人，发包人应在收到后 7 天内完成审批并向承包人签发进度款支付证书。发包人逾期（包括因工程师原因延误报送的时间）未完成审批且未提出异议的，视为已签发进度款支付证书。</w:t>
      </w:r>
    </w:p>
    <w:p>
      <w:pPr>
        <w:pStyle w:val="BodyText"/>
        <w:spacing w:line="319" w:lineRule="auto" w:before="25"/>
        <w:ind w:right="113" w:firstLine="440"/>
        <w:jc w:val="both"/>
      </w:pPr>
      <w:r>
        <w:rPr>
          <w:color w:val="231F20"/>
        </w:rPr>
        <w:t>工程师对承包人的进度付款申请单有异议的，有权要求承包人修正和提供补充资料，承包人应提交修正后的进度付款申请单。工程师应在收到承包人修正后的进度付款申请单及相关资料后 7 天内完成审查并报送发包人，发包人应在收到工程师报送的进度付款申请单及相关资料后 7 天内，向承包人签发无异议部分的进度款支付证书。存在争议的部分，按照第 20 条[ 争议解决 ] 的约定处理。</w:t>
      </w:r>
    </w:p>
    <w:p>
      <w:pPr>
        <w:pStyle w:val="BodyText"/>
        <w:spacing w:line="319" w:lineRule="auto" w:before="25"/>
        <w:ind w:right="110" w:firstLine="440"/>
        <w:jc w:val="both"/>
      </w:pPr>
      <w:r>
        <w:rPr>
          <w:color w:val="231F20"/>
          <w:spacing w:val="0"/>
        </w:rPr>
        <w:t>除专用合同条件另有约定外，发包人应在进度款支付证书签发后 </w:t>
      </w:r>
      <w:r>
        <w:rPr>
          <w:color w:val="231F20"/>
        </w:rPr>
        <w:t>14</w:t>
      </w:r>
      <w:r>
        <w:rPr>
          <w:color w:val="231F20"/>
          <w:spacing w:val="1"/>
        </w:rPr>
        <w:t> 天内完成支付，发包</w:t>
      </w:r>
      <w:r>
        <w:rPr>
          <w:color w:val="231F20"/>
        </w:rPr>
        <w:t>人逾期支付进度款的，按照贷款市场报价利率（ LPR）</w:t>
      </w:r>
      <w:r>
        <w:rPr>
          <w:color w:val="231F20"/>
          <w:spacing w:val="-8"/>
        </w:rPr>
        <w:t>支付利息；逾期支付超过 </w:t>
      </w:r>
      <w:r>
        <w:rPr>
          <w:color w:val="231F20"/>
        </w:rPr>
        <w:t>56 天的，按照贷款市场报价利率（ LPR）的两倍支付利息。</w:t>
      </w:r>
    </w:p>
    <w:p>
      <w:pPr>
        <w:pStyle w:val="BodyText"/>
        <w:spacing w:line="319" w:lineRule="auto" w:before="25"/>
        <w:ind w:firstLine="440"/>
      </w:pPr>
      <w:r>
        <w:rPr>
          <w:color w:val="231F20"/>
        </w:rPr>
        <w:t>发包人签发进度款支付证书，不表明发包人已同意、批准或接受了承包人完成的相应部分的工作。</w:t>
      </w:r>
    </w:p>
    <w:p>
      <w:pPr>
        <w:pStyle w:val="ListParagraph"/>
        <w:numPr>
          <w:ilvl w:val="2"/>
          <w:numId w:val="86"/>
        </w:numPr>
        <w:tabs>
          <w:tab w:pos="1157" w:val="left" w:leader="none"/>
        </w:tabs>
        <w:spacing w:line="240" w:lineRule="auto" w:before="25" w:after="0"/>
        <w:ind w:left="1156" w:right="0" w:hanging="599"/>
        <w:jc w:val="left"/>
        <w:rPr>
          <w:sz w:val="22"/>
        </w:rPr>
      </w:pPr>
      <w:r>
        <w:rPr>
          <w:color w:val="231F20"/>
          <w:sz w:val="22"/>
        </w:rPr>
        <w:t>进度付款的修正</w:t>
      </w:r>
    </w:p>
    <w:p>
      <w:pPr>
        <w:pStyle w:val="BodyText"/>
        <w:spacing w:line="319" w:lineRule="auto"/>
        <w:ind w:firstLine="440"/>
      </w:pPr>
      <w:r>
        <w:rPr>
          <w:color w:val="231F20"/>
          <w:spacing w:val="-5"/>
        </w:rPr>
        <w:t>在对已签发的进度款支付证书进行阶段汇总和复核中发现错误、遗漏或重复的，发包人和承包人均有权提出修正申请。经发包人和承包人同意的修正，应在下期进度付款中支付或扣除。</w:t>
      </w:r>
    </w:p>
    <w:p>
      <w:pPr>
        <w:pStyle w:val="ListParagraph"/>
        <w:numPr>
          <w:ilvl w:val="1"/>
          <w:numId w:val="86"/>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付款计划表</w:t>
      </w:r>
    </w:p>
    <w:p>
      <w:pPr>
        <w:pStyle w:val="ListParagraph"/>
        <w:numPr>
          <w:ilvl w:val="2"/>
          <w:numId w:val="86"/>
        </w:numPr>
        <w:tabs>
          <w:tab w:pos="1157" w:val="left" w:leader="none"/>
        </w:tabs>
        <w:spacing w:line="240" w:lineRule="auto" w:before="121" w:after="0"/>
        <w:ind w:left="1156" w:right="0" w:hanging="599"/>
        <w:jc w:val="left"/>
        <w:rPr>
          <w:sz w:val="22"/>
        </w:rPr>
      </w:pPr>
      <w:r>
        <w:rPr>
          <w:color w:val="231F20"/>
          <w:sz w:val="22"/>
        </w:rPr>
        <w:t>付款计划表的编制要求</w:t>
      </w:r>
    </w:p>
    <w:p>
      <w:pPr>
        <w:pStyle w:val="BodyText"/>
        <w:ind w:left="557"/>
      </w:pPr>
      <w:r>
        <w:rPr>
          <w:color w:val="231F20"/>
        </w:rPr>
        <w:t>除专用合同条件另有约定外，付款计划表按如下要求编制：</w:t>
      </w:r>
    </w:p>
    <w:p>
      <w:pPr>
        <w:pStyle w:val="BodyText"/>
        <w:spacing w:line="319" w:lineRule="auto"/>
        <w:ind w:right="95" w:firstLine="330"/>
      </w:pPr>
      <w:r>
        <w:rPr>
          <w:color w:val="231F20"/>
        </w:rPr>
        <w:t>（ 1）付款计划表中所列的每期付款金额，应为第 14.3.1 项 [ 工程进度付款申请 ] 每期进度款的估算金额；</w:t>
      </w:r>
    </w:p>
    <w:p>
      <w:pPr>
        <w:pStyle w:val="BodyText"/>
        <w:spacing w:line="319" w:lineRule="auto" w:before="25"/>
        <w:ind w:right="42" w:firstLine="330"/>
      </w:pPr>
      <w:r>
        <w:rPr>
          <w:color w:val="231F20"/>
        </w:rPr>
        <w:t>（ 2）实际进度与项目进度计划不一致的，合同当事人可按照第 3.6 款 [ 商定或确定 ] 修改付款计划表；</w:t>
      </w:r>
    </w:p>
    <w:p>
      <w:pPr>
        <w:pStyle w:val="BodyText"/>
        <w:spacing w:line="319" w:lineRule="auto" w:before="25"/>
        <w:ind w:right="99" w:firstLine="330"/>
      </w:pPr>
      <w:r>
        <w:rPr>
          <w:color w:val="231F20"/>
        </w:rPr>
        <w:t>（ 3）不采用付款计划表的，承包人应向工程师提交按季度编制的支付估算付款计划表，用于支付参考。</w:t>
      </w:r>
    </w:p>
    <w:p>
      <w:pPr>
        <w:pStyle w:val="ListParagraph"/>
        <w:numPr>
          <w:ilvl w:val="2"/>
          <w:numId w:val="86"/>
        </w:numPr>
        <w:tabs>
          <w:tab w:pos="1157" w:val="left" w:leader="none"/>
        </w:tabs>
        <w:spacing w:line="240" w:lineRule="auto" w:before="25" w:after="0"/>
        <w:ind w:left="1156" w:right="0" w:hanging="599"/>
        <w:jc w:val="left"/>
        <w:rPr>
          <w:sz w:val="22"/>
        </w:rPr>
      </w:pPr>
      <w:r>
        <w:rPr>
          <w:color w:val="231F20"/>
          <w:sz w:val="22"/>
        </w:rPr>
        <w:t>付款计划表的编制与审批</w:t>
      </w:r>
    </w:p>
    <w:p>
      <w:pPr>
        <w:pStyle w:val="BodyText"/>
        <w:spacing w:line="319" w:lineRule="auto"/>
        <w:ind w:right="42" w:firstLine="330"/>
      </w:pPr>
      <w:r>
        <w:rPr>
          <w:color w:val="231F20"/>
        </w:rPr>
        <w:t>（ 1）除专用合同条件另有约定外，承包人应根据第 8.4 款 [ 项目进度计划 ] 约定的项目进度计划、签约合同价和工程量等因素对总价合同进行分解，确定付款期数、计划每期达到的主要</w:t>
      </w:r>
    </w:p>
    <w:p>
      <w:pPr>
        <w:spacing w:after="0" w:line="319" w:lineRule="auto"/>
        <w:sectPr>
          <w:pgSz w:w="11910" w:h="16840"/>
          <w:pgMar w:header="0" w:footer="832" w:top="1580" w:bottom="1020" w:left="1300" w:right="1300"/>
        </w:sectPr>
      </w:pPr>
    </w:p>
    <w:p>
      <w:pPr>
        <w:pStyle w:val="BodyText"/>
        <w:spacing w:line="319" w:lineRule="auto" w:before="24"/>
        <w:ind w:right="215"/>
      </w:pPr>
      <w:r>
        <w:rPr>
          <w:color w:val="231F20"/>
        </w:rPr>
        <w:t>形象进度和（或）完成的主要计划工程量（含设计、采购、施工、竣工试验和竣工后试验等） 等目标任务，编制付款计划表。其中人工费应按月确定付款期和付款计划。承包人应当在收到工程师和发包人批准的项目进度计划后 7 天内，将付款计划表及编制付款计划表的支持性资料报送工程师。</w:t>
      </w:r>
    </w:p>
    <w:p>
      <w:pPr>
        <w:pStyle w:val="BodyText"/>
        <w:spacing w:before="26"/>
        <w:ind w:left="447"/>
      </w:pPr>
      <w:r>
        <w:rPr>
          <w:color w:val="231F20"/>
        </w:rPr>
        <w:t>（ 2）工程师应在收到付款计划表后 7 天内完成审核并报送发包人。发包人应在收到经工程师</w:t>
      </w:r>
    </w:p>
    <w:p>
      <w:pPr>
        <w:pStyle w:val="BodyText"/>
      </w:pPr>
      <w:r>
        <w:rPr>
          <w:color w:val="231F20"/>
        </w:rPr>
        <w:t>审核的付款计划表后 7 天内完成审批，经发包人批准的付款计划表为有约束力的付款计划表。</w:t>
      </w:r>
    </w:p>
    <w:p>
      <w:pPr>
        <w:pStyle w:val="BodyText"/>
        <w:spacing w:line="319" w:lineRule="auto"/>
        <w:ind w:right="199" w:firstLine="330"/>
      </w:pPr>
      <w:r>
        <w:rPr>
          <w:color w:val="231F20"/>
        </w:rPr>
        <w:t>（ 3）发包人逾期未完成付款计划表审批的，也未及时要求承包人进行修正和提供补充资料的，则承包人提交的付款计划表视为已经获得发包人批准。</w:t>
      </w:r>
    </w:p>
    <w:p>
      <w:pPr>
        <w:pStyle w:val="ListParagraph"/>
        <w:numPr>
          <w:ilvl w:val="1"/>
          <w:numId w:val="87"/>
        </w:numPr>
        <w:tabs>
          <w:tab w:pos="1046" w:val="left" w:leader="none"/>
        </w:tabs>
        <w:spacing w:line="240" w:lineRule="auto" w:before="20" w:after="0"/>
        <w:ind w:left="1045" w:right="0" w:hanging="488"/>
        <w:jc w:val="left"/>
        <w:rPr>
          <w:rFonts w:ascii="方正黑体_GBK" w:eastAsia="方正黑体_GBK" w:hint="eastAsia"/>
          <w:sz w:val="22"/>
        </w:rPr>
      </w:pPr>
      <w:r>
        <w:rPr>
          <w:rFonts w:ascii="方正黑体_GBK" w:eastAsia="方正黑体_GBK" w:hint="eastAsia"/>
          <w:color w:val="231F20"/>
          <w:sz w:val="22"/>
        </w:rPr>
        <w:t>竣工结算</w:t>
      </w:r>
    </w:p>
    <w:p>
      <w:pPr>
        <w:pStyle w:val="ListParagraph"/>
        <w:numPr>
          <w:ilvl w:val="2"/>
          <w:numId w:val="87"/>
        </w:numPr>
        <w:tabs>
          <w:tab w:pos="1157" w:val="left" w:leader="none"/>
        </w:tabs>
        <w:spacing w:line="240" w:lineRule="auto" w:before="122" w:after="0"/>
        <w:ind w:left="1156" w:right="0" w:hanging="599"/>
        <w:jc w:val="left"/>
        <w:rPr>
          <w:sz w:val="22"/>
        </w:rPr>
      </w:pPr>
      <w:r>
        <w:rPr>
          <w:color w:val="231F20"/>
          <w:sz w:val="22"/>
        </w:rPr>
        <w:t>竣工结算申请</w:t>
      </w:r>
    </w:p>
    <w:p>
      <w:pPr>
        <w:pStyle w:val="BodyText"/>
        <w:spacing w:line="319" w:lineRule="auto"/>
        <w:ind w:right="213" w:firstLine="440"/>
        <w:jc w:val="both"/>
      </w:pPr>
      <w:r>
        <w:rPr>
          <w:color w:val="231F20"/>
        </w:rPr>
        <w:t>除专用合同条件另有约定外，承包人应在工程竣工验收合格后 42 天内向工程师提交竣工结算申请单，并提交完整的结算资料，有关竣工结算申请单的资料清单和份数等要求由合同当事人在专用合同条件中约定。</w:t>
      </w:r>
    </w:p>
    <w:p>
      <w:pPr>
        <w:pStyle w:val="BodyText"/>
        <w:spacing w:before="26"/>
        <w:ind w:left="557"/>
      </w:pPr>
      <w:r>
        <w:rPr>
          <w:color w:val="231F20"/>
        </w:rPr>
        <w:t>除专用合同条件另有约定外，竣工结算申请单应包括以下内容：</w:t>
      </w:r>
    </w:p>
    <w:p>
      <w:pPr>
        <w:pStyle w:val="BodyText"/>
        <w:ind w:left="447"/>
      </w:pPr>
      <w:r>
        <w:rPr>
          <w:color w:val="231F20"/>
        </w:rPr>
        <w:t>（ 1）竣工结算合同价格；</w:t>
      </w:r>
    </w:p>
    <w:p>
      <w:pPr>
        <w:pStyle w:val="BodyText"/>
        <w:ind w:left="447"/>
      </w:pPr>
      <w:r>
        <w:rPr>
          <w:color w:val="231F20"/>
        </w:rPr>
        <w:t>（ 2）发包人已支付承包人的款项；</w:t>
      </w:r>
    </w:p>
    <w:p>
      <w:pPr>
        <w:pStyle w:val="BodyText"/>
        <w:spacing w:line="319" w:lineRule="auto"/>
        <w:ind w:right="105" w:firstLine="330"/>
      </w:pPr>
      <w:r>
        <w:rPr>
          <w:color w:val="231F20"/>
        </w:rPr>
        <w:t>（ 3）采用第 14.6.1 项 [ 承包人提供质量保证金的方式 ] 第（ 2）种方式提供质量保证金的， 应当列明应预留的质量保证金金额；采用第 14.6.1 项[ 承包人提供质量保证金的方式] 中其他方式提供质量保证金的，应当按第 14.6 款 [ 质量保证金 ] 提供相关文件作为附件；</w:t>
      </w:r>
    </w:p>
    <w:p>
      <w:pPr>
        <w:pStyle w:val="BodyText"/>
        <w:spacing w:before="25"/>
        <w:ind w:left="447"/>
      </w:pPr>
      <w:r>
        <w:rPr>
          <w:color w:val="231F20"/>
        </w:rPr>
        <w:t>（ 4）发包人应支付承包人的合同价款。</w:t>
      </w:r>
    </w:p>
    <w:p>
      <w:pPr>
        <w:pStyle w:val="ListParagraph"/>
        <w:numPr>
          <w:ilvl w:val="2"/>
          <w:numId w:val="87"/>
        </w:numPr>
        <w:tabs>
          <w:tab w:pos="1157" w:val="left" w:leader="none"/>
        </w:tabs>
        <w:spacing w:line="240" w:lineRule="auto" w:before="109" w:after="0"/>
        <w:ind w:left="1156" w:right="0" w:hanging="599"/>
        <w:jc w:val="left"/>
        <w:rPr>
          <w:sz w:val="22"/>
        </w:rPr>
      </w:pPr>
      <w:r>
        <w:rPr>
          <w:color w:val="231F20"/>
          <w:sz w:val="22"/>
        </w:rPr>
        <w:t>竣工结算审核</w:t>
      </w:r>
    </w:p>
    <w:p>
      <w:pPr>
        <w:pStyle w:val="BodyText"/>
        <w:spacing w:line="319" w:lineRule="auto"/>
        <w:ind w:right="207" w:firstLine="330"/>
        <w:jc w:val="both"/>
      </w:pPr>
      <w:r>
        <w:rPr>
          <w:color w:val="231F20"/>
        </w:rPr>
        <w:t>（ 1）除专用合同条件另有约定外，工程师应在收到竣工结算申请单后 14 天内完成核查并报送发包人。发包人应在收到工程师提交的经审核的竣工结算申请单后 14 天内完成审批，并由工程师向承包人签发经发包人签认的竣工付款证书。工程师或发包人对竣工结算申请单有异议的，有权要求承包人进行修正和提供补充资料，承包人应提交修正后的竣工结算申请单。</w:t>
      </w:r>
    </w:p>
    <w:p>
      <w:pPr>
        <w:pStyle w:val="BodyText"/>
        <w:spacing w:before="25"/>
        <w:ind w:left="557"/>
      </w:pPr>
      <w:r>
        <w:rPr>
          <w:color w:val="231F20"/>
        </w:rPr>
        <w:t>发包人在收到承包人提交竣工结算申请书后 28 天内未完成审批且未提出异议的，视为发</w:t>
      </w:r>
    </w:p>
    <w:p>
      <w:pPr>
        <w:pStyle w:val="BodyText"/>
        <w:spacing w:line="319" w:lineRule="auto"/>
        <w:ind w:right="200"/>
      </w:pPr>
      <w:r>
        <w:rPr>
          <w:color w:val="231F20"/>
        </w:rPr>
        <w:t>包人认可承包人提交的竣工结算申请单，并自发包人收到承包人提交的竣工结算申请单后第 29 天起视为已签发竣工付款证书。</w:t>
      </w:r>
    </w:p>
    <w:p>
      <w:pPr>
        <w:pStyle w:val="BodyText"/>
        <w:spacing w:line="319" w:lineRule="auto" w:before="26"/>
        <w:ind w:right="208" w:firstLine="330"/>
        <w:jc w:val="both"/>
      </w:pPr>
      <w:r>
        <w:rPr>
          <w:color w:val="231F20"/>
        </w:rPr>
        <w:t>（ 2）除专用合同条件另有约定外，发包人应在签发竣工付款证书后的 14 天内，完成对承包人的竣工付款。发包人逾期支付的，按照贷款市场报价利率（ LPR）支付违约金；逾期支付超过 56 天的，按照贷款市场报价利率（ LPR）的两倍支付违约金。</w:t>
      </w:r>
    </w:p>
    <w:p>
      <w:pPr>
        <w:spacing w:after="0" w:line="319" w:lineRule="auto"/>
        <w:jc w:val="both"/>
        <w:sectPr>
          <w:pgSz w:w="11910" w:h="16840"/>
          <w:pgMar w:header="0" w:footer="832" w:top="1580" w:bottom="1020" w:left="1300" w:right="1200"/>
        </w:sectPr>
      </w:pPr>
    </w:p>
    <w:p>
      <w:pPr>
        <w:pStyle w:val="BodyText"/>
        <w:spacing w:line="319" w:lineRule="auto" w:before="24"/>
        <w:ind w:right="112" w:firstLine="330"/>
        <w:jc w:val="both"/>
      </w:pPr>
      <w:r>
        <w:rPr>
          <w:color w:val="231F20"/>
        </w:rPr>
        <w:t>（ 3）承包人对发包人签认的竣工付款证书有异议的，对于有异议部分应在收到发包人签认的竣工付款证书后 7 天内提出异议，并由合同当事人按照专用合同条件约定的方式和程序进行复核，或按照第 20 条 [ 争议解决 ] 约定处理。对于无异议部分，发包人应签发临时竣工付款证书，并按本款第（ 2）项完成付款。承包人逾期未提出异议的，视为认可发包人的审批结果。</w:t>
      </w:r>
    </w:p>
    <w:p>
      <w:pPr>
        <w:pStyle w:val="ListParagraph"/>
        <w:numPr>
          <w:ilvl w:val="2"/>
          <w:numId w:val="87"/>
        </w:numPr>
        <w:tabs>
          <w:tab w:pos="1157" w:val="left" w:leader="none"/>
        </w:tabs>
        <w:spacing w:line="240" w:lineRule="auto" w:before="26" w:after="0"/>
        <w:ind w:left="1156" w:right="0" w:hanging="599"/>
        <w:jc w:val="left"/>
        <w:rPr>
          <w:sz w:val="22"/>
        </w:rPr>
      </w:pPr>
      <w:r>
        <w:rPr>
          <w:color w:val="231F20"/>
          <w:sz w:val="22"/>
        </w:rPr>
        <w:t>扫尾工作清单</w:t>
      </w:r>
    </w:p>
    <w:p>
      <w:pPr>
        <w:pStyle w:val="BodyText"/>
        <w:spacing w:line="319" w:lineRule="auto"/>
        <w:ind w:firstLine="440"/>
      </w:pPr>
      <w:r>
        <w:rPr>
          <w:color w:val="231F20"/>
        </w:rPr>
        <w:t>经双方协商，部分工作在工程竣工验收后进行的，承包人应当编制扫尾工作清单，扫尾工作清单中应当列明承包人应当完成的扫尾工作的内容及完成时间。</w:t>
      </w:r>
    </w:p>
    <w:p>
      <w:pPr>
        <w:pStyle w:val="BodyText"/>
        <w:spacing w:before="25"/>
        <w:ind w:left="557"/>
      </w:pPr>
      <w:r>
        <w:rPr>
          <w:color w:val="231F20"/>
        </w:rPr>
        <w:t>承包人完成扫尾工作清单中的内容应取得的费用包含在第 14.5.1 项 [ 竣工结算申请 ] 及第</w:t>
      </w:r>
    </w:p>
    <w:p>
      <w:pPr>
        <w:pStyle w:val="BodyText"/>
      </w:pPr>
      <w:r>
        <w:rPr>
          <w:color w:val="231F20"/>
        </w:rPr>
        <w:t>14.5.2 项 [ 竣工结算审核 ] 中一并结算。</w:t>
      </w:r>
    </w:p>
    <w:p>
      <w:pPr>
        <w:pStyle w:val="BodyText"/>
        <w:spacing w:line="319" w:lineRule="auto"/>
        <w:ind w:right="113" w:firstLine="440"/>
        <w:jc w:val="both"/>
      </w:pPr>
      <w:r>
        <w:rPr>
          <w:color w:val="231F20"/>
        </w:rPr>
        <w:t>扫尾工作的缺陷责任期按第 11 条 [ 缺陷责任与保修 ] 处理。承包人未能按照扫尾工作清单约定的完成时间完成扫尾工作的，视为承包人原因导致的工程质量缺陷按照第 11.3 款 [ 缺陷调查 ] 处理。</w:t>
      </w:r>
    </w:p>
    <w:p>
      <w:pPr>
        <w:pStyle w:val="ListParagraph"/>
        <w:numPr>
          <w:ilvl w:val="1"/>
          <w:numId w:val="88"/>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质量保证金</w:t>
      </w:r>
    </w:p>
    <w:p>
      <w:pPr>
        <w:pStyle w:val="BodyText"/>
        <w:spacing w:line="319" w:lineRule="auto" w:before="122"/>
        <w:ind w:firstLine="440"/>
      </w:pPr>
      <w:r>
        <w:rPr>
          <w:color w:val="231F20"/>
        </w:rPr>
        <w:t>经合同当事人协商一致提供质量保证金的，应在专用合同条件中予以明确。在工程项目竣工前，承包人已经提供履约担保的，发包人不得同时要求承包人提供质量保证金。</w:t>
      </w:r>
    </w:p>
    <w:p>
      <w:pPr>
        <w:pStyle w:val="ListParagraph"/>
        <w:numPr>
          <w:ilvl w:val="2"/>
          <w:numId w:val="88"/>
        </w:numPr>
        <w:tabs>
          <w:tab w:pos="1157" w:val="left" w:leader="none"/>
        </w:tabs>
        <w:spacing w:line="240" w:lineRule="auto" w:before="26" w:after="0"/>
        <w:ind w:left="1156" w:right="0" w:hanging="599"/>
        <w:jc w:val="left"/>
        <w:rPr>
          <w:sz w:val="22"/>
        </w:rPr>
      </w:pPr>
      <w:r>
        <w:rPr>
          <w:color w:val="231F20"/>
          <w:sz w:val="22"/>
        </w:rPr>
        <w:t>承包人提供质量保证金的方式</w:t>
      </w:r>
    </w:p>
    <w:p>
      <w:pPr>
        <w:pStyle w:val="BodyText"/>
        <w:ind w:left="557"/>
      </w:pPr>
      <w:r>
        <w:rPr>
          <w:color w:val="231F20"/>
        </w:rPr>
        <w:t>承包人提供质量保证金有以下三种方式：</w:t>
      </w:r>
    </w:p>
    <w:p>
      <w:pPr>
        <w:pStyle w:val="BodyText"/>
        <w:ind w:left="447"/>
      </w:pPr>
      <w:r>
        <w:rPr>
          <w:color w:val="231F20"/>
        </w:rPr>
        <w:t>（ 1）提交工程质量保证担保；</w:t>
      </w:r>
    </w:p>
    <w:p>
      <w:pPr>
        <w:pStyle w:val="BodyText"/>
        <w:ind w:left="447"/>
      </w:pPr>
      <w:r>
        <w:rPr>
          <w:color w:val="231F20"/>
        </w:rPr>
        <w:t>（ 2）预留相应比例的工程款；</w:t>
      </w:r>
    </w:p>
    <w:p>
      <w:pPr>
        <w:pStyle w:val="BodyText"/>
        <w:ind w:left="447"/>
      </w:pPr>
      <w:r>
        <w:rPr>
          <w:color w:val="231F20"/>
        </w:rPr>
        <w:t>（ 3）双方约定的其他方式。</w:t>
      </w:r>
    </w:p>
    <w:p>
      <w:pPr>
        <w:pStyle w:val="BodyText"/>
        <w:spacing w:line="319" w:lineRule="auto"/>
        <w:ind w:right="114" w:firstLine="440"/>
        <w:jc w:val="both"/>
      </w:pPr>
      <w:r>
        <w:rPr>
          <w:color w:val="231F20"/>
          <w:spacing w:val="0"/>
        </w:rPr>
        <w:t>除专用合同条件另有约定外，质量保证金原则上采用上述第</w:t>
      </w:r>
      <w:r>
        <w:rPr>
          <w:color w:val="231F20"/>
        </w:rPr>
        <w:t>（ 1）种方式，且承包人应在</w:t>
      </w:r>
      <w:r>
        <w:rPr>
          <w:color w:val="231F20"/>
          <w:spacing w:val="0"/>
        </w:rPr>
        <w:t>工程竣工验收合格后 </w:t>
      </w:r>
      <w:r>
        <w:rPr>
          <w:color w:val="231F20"/>
        </w:rPr>
        <w:t>7 天内，向发包人提交工程质量保证担保。承包人提交工程质量保证担保时，发包人应同时返还预留的作为质量保证金的工程价款（如有</w:t>
      </w:r>
      <w:r>
        <w:rPr>
          <w:color w:val="231F20"/>
          <w:spacing w:val="-83"/>
        </w:rPr>
        <w:t>）</w:t>
      </w:r>
      <w:r>
        <w:rPr>
          <w:color w:val="231F20"/>
        </w:rPr>
        <w:t>。但不论承包人以何种方式</w:t>
      </w:r>
      <w:r>
        <w:rPr>
          <w:color w:val="231F20"/>
          <w:spacing w:val="-1"/>
        </w:rPr>
        <w:t>提供质量保证金，累计金额均不得高于工程价款结算总额的 </w:t>
      </w:r>
      <w:r>
        <w:rPr>
          <w:color w:val="231F20"/>
        </w:rPr>
        <w:t>3%。</w:t>
      </w:r>
    </w:p>
    <w:p>
      <w:pPr>
        <w:pStyle w:val="ListParagraph"/>
        <w:numPr>
          <w:ilvl w:val="2"/>
          <w:numId w:val="88"/>
        </w:numPr>
        <w:tabs>
          <w:tab w:pos="1157" w:val="left" w:leader="none"/>
        </w:tabs>
        <w:spacing w:line="240" w:lineRule="auto" w:before="25" w:after="0"/>
        <w:ind w:left="1156" w:right="0" w:hanging="599"/>
        <w:jc w:val="left"/>
        <w:rPr>
          <w:sz w:val="22"/>
        </w:rPr>
      </w:pPr>
      <w:r>
        <w:rPr>
          <w:color w:val="231F20"/>
          <w:sz w:val="22"/>
        </w:rPr>
        <w:t>质量保证金的预留</w:t>
      </w:r>
    </w:p>
    <w:p>
      <w:pPr>
        <w:pStyle w:val="BodyText"/>
        <w:spacing w:line="319" w:lineRule="auto" w:before="108"/>
        <w:ind w:firstLine="440"/>
      </w:pPr>
      <w:r>
        <w:rPr>
          <w:color w:val="231F20"/>
        </w:rPr>
        <w:t>双方约定采用预留相应比例的工程款方式提供质量保证金的，质量保证金的预留有以下三种方式：</w:t>
      </w:r>
    </w:p>
    <w:p>
      <w:pPr>
        <w:pStyle w:val="BodyText"/>
        <w:spacing w:line="319" w:lineRule="auto" w:before="25"/>
        <w:ind w:right="112" w:firstLine="330"/>
        <w:jc w:val="both"/>
      </w:pPr>
      <w:r>
        <w:rPr>
          <w:color w:val="231F20"/>
        </w:rPr>
        <w:t>（ 1）按专用合同条件的约定在支付工程进度款时逐次预留，直至预留的质量保证金总额达到专用合同条件约定的金额或比例为止。在此情形下，质量保证金的计算基数不包括预付款的支付、扣回以及价格调整的金额；</w:t>
      </w:r>
    </w:p>
    <w:p>
      <w:pPr>
        <w:pStyle w:val="BodyText"/>
        <w:spacing w:before="25"/>
        <w:ind w:left="447"/>
      </w:pPr>
      <w:r>
        <w:rPr>
          <w:color w:val="231F20"/>
        </w:rPr>
        <w:t>（ 2）工程竣工结算时一次性预留质量保证金；</w:t>
      </w:r>
    </w:p>
    <w:p>
      <w:pPr>
        <w:spacing w:after="0"/>
        <w:sectPr>
          <w:pgSz w:w="11910" w:h="16840"/>
          <w:pgMar w:header="0" w:footer="832" w:top="1580" w:bottom="1020" w:left="1300" w:right="1300"/>
        </w:sectPr>
      </w:pPr>
    </w:p>
    <w:p>
      <w:pPr>
        <w:pStyle w:val="BodyText"/>
        <w:spacing w:before="24"/>
        <w:ind w:left="447"/>
      </w:pPr>
      <w:r>
        <w:rPr>
          <w:color w:val="231F20"/>
        </w:rPr>
        <w:t>（ 3）双方约定的其他预留方式。</w:t>
      </w:r>
    </w:p>
    <w:p>
      <w:pPr>
        <w:pStyle w:val="BodyText"/>
        <w:spacing w:line="319" w:lineRule="auto"/>
        <w:ind w:right="212" w:firstLine="440"/>
        <w:jc w:val="both"/>
      </w:pPr>
      <w:r>
        <w:rPr>
          <w:color w:val="231F20"/>
        </w:rPr>
        <w:t>除专用合同条件另有约定外，质量保证金的预留原则上采用上述第（ 1）种方式。如承包人在发包人签发竣工付款证书后 28 天内提交工程质量保证担保，发包人应同时返还预留的作为质量保证金的工程价款。发包人在返还本条款项下的质量保证金的同时，按照中国人民银行同期同类存款基准利率支付利息。</w:t>
      </w:r>
    </w:p>
    <w:p>
      <w:pPr>
        <w:pStyle w:val="ListParagraph"/>
        <w:numPr>
          <w:ilvl w:val="2"/>
          <w:numId w:val="88"/>
        </w:numPr>
        <w:tabs>
          <w:tab w:pos="1157" w:val="left" w:leader="none"/>
        </w:tabs>
        <w:spacing w:line="240" w:lineRule="auto" w:before="25" w:after="0"/>
        <w:ind w:left="1156" w:right="0" w:hanging="599"/>
        <w:jc w:val="left"/>
        <w:rPr>
          <w:sz w:val="22"/>
        </w:rPr>
      </w:pPr>
      <w:r>
        <w:rPr>
          <w:color w:val="231F20"/>
          <w:sz w:val="22"/>
        </w:rPr>
        <w:t>质量保证金的返还</w:t>
      </w:r>
    </w:p>
    <w:p>
      <w:pPr>
        <w:pStyle w:val="BodyText"/>
        <w:spacing w:before="108"/>
        <w:ind w:left="557"/>
      </w:pPr>
      <w:r>
        <w:rPr>
          <w:color w:val="231F20"/>
        </w:rPr>
        <w:t>缺陷责任期内，承包人认真履行合同约定的责任，缺陷责任期满，发包人根据第 11.6 款</w:t>
      </w:r>
    </w:p>
    <w:p>
      <w:pPr>
        <w:pStyle w:val="BodyText"/>
        <w:spacing w:line="319" w:lineRule="auto" w:before="108"/>
        <w:ind w:right="215"/>
      </w:pPr>
      <w:r>
        <w:rPr>
          <w:color w:val="231F20"/>
        </w:rPr>
        <w:t>[ 缺陷责任期终止证书 ] 向承包人颁发缺陷责任期终止证书后，承包人可向发包人申请返还质量保证金。</w:t>
      </w:r>
    </w:p>
    <w:p>
      <w:pPr>
        <w:pStyle w:val="BodyText"/>
        <w:spacing w:before="25"/>
        <w:ind w:left="557"/>
      </w:pPr>
      <w:r>
        <w:rPr>
          <w:color w:val="231F20"/>
        </w:rPr>
        <w:t>发包人在接到承包人返还质量保证金申请后，应于 7 天内将质量保证金返还承包人，逾期</w:t>
      </w:r>
    </w:p>
    <w:p>
      <w:pPr>
        <w:pStyle w:val="BodyText"/>
        <w:spacing w:line="319" w:lineRule="auto"/>
        <w:ind w:right="215"/>
      </w:pPr>
      <w:r>
        <w:rPr>
          <w:color w:val="231F20"/>
        </w:rPr>
        <w:t>未返还的，应承担违约责任。发包人在接到承包人返还质量保证金申请后 7 天内不予答复，视同认可承包人的返还质量保证金申请。</w:t>
      </w:r>
    </w:p>
    <w:p>
      <w:pPr>
        <w:pStyle w:val="BodyText"/>
        <w:spacing w:before="26"/>
        <w:ind w:left="557"/>
      </w:pPr>
      <w:r>
        <w:rPr>
          <w:color w:val="231F20"/>
        </w:rPr>
        <w:t>发包人和承包人对质量保证金预留、返还以及工程维修质量、费用有争议的，按本合同第</w:t>
      </w:r>
    </w:p>
    <w:p>
      <w:pPr>
        <w:pStyle w:val="BodyText"/>
      </w:pPr>
      <w:r>
        <w:rPr>
          <w:color w:val="231F20"/>
        </w:rPr>
        <w:t>20 条 [ 争议解决 ] 约定的争议和纠纷解决程序处理。</w:t>
      </w:r>
    </w:p>
    <w:p>
      <w:pPr>
        <w:pStyle w:val="ListParagraph"/>
        <w:numPr>
          <w:ilvl w:val="1"/>
          <w:numId w:val="89"/>
        </w:numPr>
        <w:tabs>
          <w:tab w:pos="1046" w:val="left" w:leader="none"/>
        </w:tabs>
        <w:spacing w:line="240" w:lineRule="auto" w:before="102" w:after="0"/>
        <w:ind w:left="1045" w:right="0" w:hanging="488"/>
        <w:jc w:val="left"/>
        <w:rPr>
          <w:rFonts w:ascii="方正黑体_GBK" w:eastAsia="方正黑体_GBK" w:hint="eastAsia"/>
          <w:sz w:val="22"/>
        </w:rPr>
      </w:pPr>
      <w:r>
        <w:rPr>
          <w:rFonts w:ascii="方正黑体_GBK" w:eastAsia="方正黑体_GBK" w:hint="eastAsia"/>
          <w:color w:val="231F20"/>
          <w:sz w:val="22"/>
        </w:rPr>
        <w:t>最终结清</w:t>
      </w:r>
    </w:p>
    <w:p>
      <w:pPr>
        <w:pStyle w:val="ListParagraph"/>
        <w:numPr>
          <w:ilvl w:val="2"/>
          <w:numId w:val="89"/>
        </w:numPr>
        <w:tabs>
          <w:tab w:pos="1157" w:val="left" w:leader="none"/>
        </w:tabs>
        <w:spacing w:line="240" w:lineRule="auto" w:before="121" w:after="0"/>
        <w:ind w:left="1156" w:right="0" w:hanging="599"/>
        <w:jc w:val="left"/>
        <w:rPr>
          <w:sz w:val="22"/>
        </w:rPr>
      </w:pPr>
      <w:r>
        <w:rPr>
          <w:color w:val="231F20"/>
          <w:sz w:val="22"/>
        </w:rPr>
        <w:t>最终结清申请单</w:t>
      </w:r>
    </w:p>
    <w:p>
      <w:pPr>
        <w:pStyle w:val="BodyText"/>
        <w:spacing w:line="319" w:lineRule="auto"/>
        <w:ind w:right="213" w:firstLine="330"/>
        <w:jc w:val="both"/>
      </w:pPr>
      <w:r>
        <w:rPr>
          <w:color w:val="231F20"/>
        </w:rPr>
        <w:t>（ 1）除专用合同条件另有约定外，承包人应在缺陷责任期终止证书颁发后 7 天内，按专用合同条件约定的份数向发包人提交最终结清申请单，并提供相关证明材料。</w:t>
      </w:r>
    </w:p>
    <w:p>
      <w:pPr>
        <w:pStyle w:val="BodyText"/>
        <w:spacing w:line="319" w:lineRule="auto" w:before="26"/>
        <w:ind w:right="215" w:firstLine="440"/>
      </w:pPr>
      <w:r>
        <w:rPr>
          <w:color w:val="231F20"/>
        </w:rPr>
        <w:t>除专用合同条件另有约定外，最终结清申请单应列明质量保证金、应扣除的质量保证金、缺陷责任期内发生的增减费用。</w:t>
      </w:r>
    </w:p>
    <w:p>
      <w:pPr>
        <w:pStyle w:val="BodyText"/>
        <w:spacing w:line="319" w:lineRule="auto" w:before="26"/>
        <w:ind w:right="105" w:firstLine="330"/>
      </w:pPr>
      <w:r>
        <w:rPr>
          <w:color w:val="231F20"/>
        </w:rPr>
        <w:t>（ 2）发包人对最终结清申请单内容有异议的，有权要求承包人进行修正和提供补充资料， 承包人应向发包人提交修正后的最终结清申请单。</w:t>
      </w:r>
    </w:p>
    <w:p>
      <w:pPr>
        <w:pStyle w:val="ListParagraph"/>
        <w:numPr>
          <w:ilvl w:val="2"/>
          <w:numId w:val="89"/>
        </w:numPr>
        <w:tabs>
          <w:tab w:pos="1157" w:val="left" w:leader="none"/>
        </w:tabs>
        <w:spacing w:line="240" w:lineRule="auto" w:before="26" w:after="0"/>
        <w:ind w:left="1156" w:right="0" w:hanging="599"/>
        <w:jc w:val="left"/>
        <w:rPr>
          <w:sz w:val="22"/>
        </w:rPr>
      </w:pPr>
      <w:r>
        <w:rPr>
          <w:color w:val="231F20"/>
          <w:sz w:val="22"/>
        </w:rPr>
        <w:t>最终结清证书和支付</w:t>
      </w:r>
    </w:p>
    <w:p>
      <w:pPr>
        <w:pStyle w:val="BodyText"/>
        <w:spacing w:line="319" w:lineRule="auto"/>
        <w:ind w:right="212" w:firstLine="330"/>
        <w:jc w:val="both"/>
      </w:pPr>
      <w:r>
        <w:rPr>
          <w:color w:val="231F20"/>
        </w:rPr>
        <w:t>（ 1）除专用合同条件另有约定外，发包人应在收到承包人提交的最终结清申请单后 14 天内完成审批并向承包人颁发最终结清证书。发包人逾期未完成审批，又未提出修改意见的，视为发包人同意承包人提交的最终结清申请单，且自发包人收到承包人提交的最终结清申请单后</w:t>
      </w:r>
    </w:p>
    <w:p>
      <w:pPr>
        <w:pStyle w:val="ListParagraph"/>
        <w:numPr>
          <w:ilvl w:val="0"/>
          <w:numId w:val="89"/>
        </w:numPr>
        <w:tabs>
          <w:tab w:pos="391" w:val="left" w:leader="none"/>
        </w:tabs>
        <w:spacing w:line="240" w:lineRule="auto" w:before="26" w:after="0"/>
        <w:ind w:left="390" w:right="0" w:hanging="273"/>
        <w:jc w:val="left"/>
        <w:rPr>
          <w:color w:val="231F20"/>
          <w:sz w:val="22"/>
        </w:rPr>
      </w:pPr>
      <w:r>
        <w:rPr>
          <w:color w:val="231F20"/>
          <w:sz w:val="22"/>
        </w:rPr>
        <w:t>天起视为已颁发最终结清证书。</w:t>
      </w:r>
    </w:p>
    <w:p>
      <w:pPr>
        <w:pStyle w:val="BodyText"/>
        <w:spacing w:line="319" w:lineRule="auto"/>
        <w:ind w:right="213" w:firstLine="330"/>
        <w:jc w:val="both"/>
      </w:pPr>
      <w:r>
        <w:rPr>
          <w:color w:val="231F20"/>
        </w:rPr>
        <w:t>（ </w:t>
      </w:r>
      <w:r>
        <w:rPr>
          <w:color w:val="231F20"/>
          <w:spacing w:val="-19"/>
        </w:rPr>
        <w:t>2）</w:t>
      </w:r>
      <w:r>
        <w:rPr>
          <w:color w:val="231F20"/>
        </w:rPr>
        <w:t>除专用合同条件另有约定外，发包人应在颁发最终结清证书后 7 天内完成支付。发包人逾期支付的，按照贷款市场报价利率（ LPR）</w:t>
      </w:r>
      <w:r>
        <w:rPr>
          <w:color w:val="231F20"/>
          <w:spacing w:val="-8"/>
        </w:rPr>
        <w:t>支付利息；逾期支付超过 </w:t>
      </w:r>
      <w:r>
        <w:rPr>
          <w:color w:val="231F20"/>
        </w:rPr>
        <w:t>56 天的，按照贷款市场报价利率（ LPR）的两倍支付利息。</w:t>
      </w:r>
    </w:p>
    <w:p>
      <w:pPr>
        <w:pStyle w:val="BodyText"/>
        <w:spacing w:before="25"/>
        <w:ind w:left="447"/>
      </w:pPr>
      <w:r>
        <w:rPr>
          <w:color w:val="231F20"/>
        </w:rPr>
        <w:t>（ 3）承包人对发包人颁发的最终结清证书有异议的，按第 20 条 [ 争议解决 ] 的约定办理。</w:t>
      </w:r>
    </w:p>
    <w:p>
      <w:pPr>
        <w:spacing w:after="0"/>
        <w:sectPr>
          <w:pgSz w:w="11910" w:h="16840"/>
          <w:pgMar w:header="0" w:footer="832" w:top="1580" w:bottom="1020" w:left="1300" w:right="1200"/>
        </w:sectPr>
      </w:pPr>
    </w:p>
    <w:p>
      <w:pPr>
        <w:pStyle w:val="BodyText"/>
        <w:tabs>
          <w:tab w:pos="1131" w:val="left" w:leader="none"/>
        </w:tabs>
        <w:spacing w:before="18"/>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15</w:t>
      </w:r>
      <w:r>
        <w:rPr>
          <w:rFonts w:ascii="方正黑体_GBK" w:eastAsia="方正黑体_GBK" w:hint="eastAsia"/>
          <w:color w:val="231F20"/>
          <w:spacing w:val="-7"/>
        </w:rPr>
        <w:t> </w:t>
      </w:r>
      <w:r>
        <w:rPr>
          <w:rFonts w:ascii="方正黑体_GBK" w:eastAsia="方正黑体_GBK" w:hint="eastAsia"/>
          <w:color w:val="231F20"/>
        </w:rPr>
        <w:t>条</w:t>
        <w:tab/>
        <w:t>违约</w:t>
      </w:r>
    </w:p>
    <w:p>
      <w:pPr>
        <w:pStyle w:val="ListParagraph"/>
        <w:numPr>
          <w:ilvl w:val="1"/>
          <w:numId w:val="90"/>
        </w:numPr>
        <w:tabs>
          <w:tab w:pos="1046" w:val="left" w:leader="none"/>
        </w:tabs>
        <w:spacing w:line="240" w:lineRule="auto" w:before="116" w:after="0"/>
        <w:ind w:left="1045" w:right="0" w:hanging="488"/>
        <w:jc w:val="left"/>
        <w:rPr>
          <w:rFonts w:ascii="方正黑体_GBK" w:eastAsia="方正黑体_GBK" w:hint="eastAsia"/>
          <w:sz w:val="22"/>
        </w:rPr>
      </w:pPr>
      <w:r>
        <w:rPr>
          <w:rFonts w:ascii="方正黑体_GBK" w:eastAsia="方正黑体_GBK" w:hint="eastAsia"/>
          <w:color w:val="231F20"/>
          <w:sz w:val="22"/>
        </w:rPr>
        <w:t>发包人违约</w:t>
      </w:r>
    </w:p>
    <w:p>
      <w:pPr>
        <w:pStyle w:val="ListParagraph"/>
        <w:numPr>
          <w:ilvl w:val="2"/>
          <w:numId w:val="90"/>
        </w:numPr>
        <w:tabs>
          <w:tab w:pos="1157" w:val="left" w:leader="none"/>
        </w:tabs>
        <w:spacing w:line="240" w:lineRule="auto" w:before="122" w:after="0"/>
        <w:ind w:left="1156" w:right="0" w:hanging="599"/>
        <w:jc w:val="left"/>
        <w:rPr>
          <w:sz w:val="22"/>
        </w:rPr>
      </w:pPr>
      <w:r>
        <w:rPr>
          <w:color w:val="231F20"/>
          <w:sz w:val="22"/>
        </w:rPr>
        <w:t>发包人违约的情形</w:t>
      </w:r>
    </w:p>
    <w:p>
      <w:pPr>
        <w:pStyle w:val="BodyText"/>
        <w:ind w:left="557"/>
      </w:pPr>
      <w:r>
        <w:rPr>
          <w:color w:val="231F20"/>
        </w:rPr>
        <w:t>除专用合同条件另有约定外，在合同履行过程中发生的下列情形，属于发包人违约：</w:t>
      </w:r>
    </w:p>
    <w:p>
      <w:pPr>
        <w:pStyle w:val="BodyText"/>
        <w:ind w:left="447"/>
      </w:pPr>
      <w:r>
        <w:rPr>
          <w:color w:val="231F20"/>
        </w:rPr>
        <w:t>（ 1）因发包人原因导致开始工作日期延误的；</w:t>
      </w:r>
    </w:p>
    <w:p>
      <w:pPr>
        <w:pStyle w:val="BodyText"/>
        <w:ind w:left="447"/>
      </w:pPr>
      <w:r>
        <w:rPr>
          <w:color w:val="231F20"/>
        </w:rPr>
        <w:t>（ 2）因发包人原因未能按合同约定支付合同价款的；</w:t>
      </w:r>
    </w:p>
    <w:p>
      <w:pPr>
        <w:pStyle w:val="BodyText"/>
        <w:ind w:left="447"/>
      </w:pPr>
      <w:r>
        <w:rPr>
          <w:color w:val="231F20"/>
        </w:rPr>
        <w:t>（ 3）发包人违反第 13.1.1 项约定，自行实施被取消的工作或转由他人实施的；</w:t>
      </w:r>
    </w:p>
    <w:p>
      <w:pPr>
        <w:pStyle w:val="BodyText"/>
        <w:ind w:left="447"/>
      </w:pPr>
      <w:r>
        <w:rPr>
          <w:color w:val="231F20"/>
        </w:rPr>
        <w:t>（ 4）因发包人违反合同约定造成工程暂停施工的；</w:t>
      </w:r>
    </w:p>
    <w:p>
      <w:pPr>
        <w:pStyle w:val="BodyText"/>
        <w:ind w:left="447"/>
      </w:pPr>
      <w:r>
        <w:rPr>
          <w:color w:val="231F20"/>
        </w:rPr>
        <w:t>（ 5）工程师无正当理由没有在约定期限内发出复工指示，导致承包人无法复工的；</w:t>
      </w:r>
    </w:p>
    <w:p>
      <w:pPr>
        <w:pStyle w:val="BodyText"/>
        <w:ind w:left="447"/>
      </w:pPr>
      <w:r>
        <w:rPr>
          <w:color w:val="231F20"/>
        </w:rPr>
        <w:t>（ 6）发包人明确表示或者以其行为表明不履行合同主要义务的；</w:t>
      </w:r>
    </w:p>
    <w:p>
      <w:pPr>
        <w:pStyle w:val="BodyText"/>
        <w:ind w:left="447"/>
      </w:pPr>
      <w:r>
        <w:rPr>
          <w:color w:val="231F20"/>
        </w:rPr>
        <w:t>（ 7）发包人未能按照合同约定履行其他义务的。</w:t>
      </w:r>
    </w:p>
    <w:p>
      <w:pPr>
        <w:pStyle w:val="ListParagraph"/>
        <w:numPr>
          <w:ilvl w:val="2"/>
          <w:numId w:val="90"/>
        </w:numPr>
        <w:tabs>
          <w:tab w:pos="1157" w:val="left" w:leader="none"/>
        </w:tabs>
        <w:spacing w:line="240" w:lineRule="auto" w:before="109" w:after="0"/>
        <w:ind w:left="1156" w:right="0" w:hanging="599"/>
        <w:jc w:val="left"/>
        <w:rPr>
          <w:sz w:val="22"/>
        </w:rPr>
      </w:pPr>
      <w:r>
        <w:rPr>
          <w:color w:val="231F20"/>
          <w:sz w:val="22"/>
        </w:rPr>
        <w:t>通知改正</w:t>
      </w:r>
    </w:p>
    <w:p>
      <w:pPr>
        <w:pStyle w:val="BodyText"/>
        <w:spacing w:line="319" w:lineRule="auto"/>
        <w:ind w:right="92" w:firstLine="440"/>
      </w:pPr>
      <w:r>
        <w:rPr>
          <w:color w:val="231F20"/>
        </w:rPr>
        <w:t>发包人发生除第 15.1.1 项第（ 6）目以外的违约情况时，承包人可向发包人发出通知，要求发包人采取有效措施纠正违约行为。发包人收到承包人通知后 28 天内仍不纠正违约行为的， 承包人有权暂停相应部位工程实施，并通知工程师。</w:t>
      </w:r>
    </w:p>
    <w:p>
      <w:pPr>
        <w:pStyle w:val="ListParagraph"/>
        <w:numPr>
          <w:ilvl w:val="2"/>
          <w:numId w:val="90"/>
        </w:numPr>
        <w:tabs>
          <w:tab w:pos="1157" w:val="left" w:leader="none"/>
        </w:tabs>
        <w:spacing w:line="240" w:lineRule="auto" w:before="26" w:after="0"/>
        <w:ind w:left="1156" w:right="0" w:hanging="599"/>
        <w:jc w:val="left"/>
        <w:rPr>
          <w:sz w:val="22"/>
        </w:rPr>
      </w:pPr>
      <w:r>
        <w:rPr>
          <w:color w:val="231F20"/>
          <w:sz w:val="22"/>
        </w:rPr>
        <w:t>发包人违约的责任</w:t>
      </w:r>
    </w:p>
    <w:p>
      <w:pPr>
        <w:pStyle w:val="BodyText"/>
        <w:spacing w:line="319" w:lineRule="auto"/>
        <w:ind w:right="215" w:firstLine="440"/>
      </w:pPr>
      <w:r>
        <w:rPr>
          <w:color w:val="231F20"/>
        </w:rPr>
        <w:t>发包人应承担因其违约给承包人增加的费用和（或）延误的工期，并支付承包人合理的利润。此外，合同当事人可在专用合同条件中另行约定发包人违约责任的承担方式和计算方法。</w:t>
      </w:r>
    </w:p>
    <w:p>
      <w:pPr>
        <w:pStyle w:val="ListParagraph"/>
        <w:numPr>
          <w:ilvl w:val="1"/>
          <w:numId w:val="91"/>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承包人违约</w:t>
      </w:r>
    </w:p>
    <w:p>
      <w:pPr>
        <w:pStyle w:val="ListParagraph"/>
        <w:numPr>
          <w:ilvl w:val="2"/>
          <w:numId w:val="91"/>
        </w:numPr>
        <w:tabs>
          <w:tab w:pos="1157" w:val="left" w:leader="none"/>
        </w:tabs>
        <w:spacing w:line="240" w:lineRule="auto" w:before="122" w:after="0"/>
        <w:ind w:left="1156" w:right="0" w:hanging="599"/>
        <w:jc w:val="left"/>
        <w:rPr>
          <w:sz w:val="22"/>
        </w:rPr>
      </w:pPr>
      <w:r>
        <w:rPr>
          <w:color w:val="231F20"/>
          <w:sz w:val="22"/>
        </w:rPr>
        <w:t>承包人违约的情形</w:t>
      </w:r>
    </w:p>
    <w:p>
      <w:pPr>
        <w:pStyle w:val="BodyText"/>
        <w:ind w:left="557"/>
      </w:pPr>
      <w:r>
        <w:rPr>
          <w:color w:val="231F20"/>
        </w:rPr>
        <w:t>除专用合同条件另有约定外，在履行合同过程中发生的下列情况之一的，属于承包人违约：</w:t>
      </w:r>
    </w:p>
    <w:p>
      <w:pPr>
        <w:pStyle w:val="BodyText"/>
        <w:spacing w:line="319" w:lineRule="auto"/>
        <w:ind w:right="199" w:firstLine="330"/>
      </w:pPr>
      <w:r>
        <w:rPr>
          <w:color w:val="231F20"/>
        </w:rPr>
        <w:t>（ 1）承包人的原因导致的承包人文件、实施和竣工的工程不符合法律法规、工程质量验收标准以及合同约定；</w:t>
      </w:r>
    </w:p>
    <w:p>
      <w:pPr>
        <w:pStyle w:val="BodyText"/>
        <w:spacing w:before="26"/>
        <w:ind w:left="447"/>
      </w:pPr>
      <w:r>
        <w:rPr>
          <w:color w:val="231F20"/>
        </w:rPr>
        <w:t>（ 2）承包人违反合同约定进行转包或违法分包的；</w:t>
      </w:r>
    </w:p>
    <w:p>
      <w:pPr>
        <w:pStyle w:val="BodyText"/>
        <w:ind w:left="447"/>
      </w:pPr>
      <w:r>
        <w:rPr>
          <w:color w:val="231F20"/>
        </w:rPr>
        <w:t>（ 3）承包人违反约定采购和使用不合格材料或工程设备；</w:t>
      </w:r>
    </w:p>
    <w:p>
      <w:pPr>
        <w:pStyle w:val="BodyText"/>
        <w:ind w:left="447"/>
      </w:pPr>
      <w:r>
        <w:rPr>
          <w:color w:val="231F20"/>
        </w:rPr>
        <w:t>（ 4）因承包人原因导致工程质量不符合合同要求的；</w:t>
      </w:r>
    </w:p>
    <w:p>
      <w:pPr>
        <w:pStyle w:val="BodyText"/>
        <w:spacing w:line="319" w:lineRule="auto"/>
        <w:ind w:right="199" w:firstLine="330"/>
      </w:pPr>
      <w:r>
        <w:rPr>
          <w:color w:val="231F20"/>
        </w:rPr>
        <w:t>（ 5）承包人未经工程师批准，擅自将已按合同约定进入施工现场的施工设备、临时设施或材料撤离施工现场；</w:t>
      </w:r>
    </w:p>
    <w:p>
      <w:pPr>
        <w:pStyle w:val="BodyText"/>
        <w:spacing w:before="25"/>
        <w:ind w:left="447"/>
      </w:pPr>
      <w:r>
        <w:rPr>
          <w:color w:val="231F20"/>
        </w:rPr>
        <w:t>（ 6）承包人未能按项目进度计划及时完成合同约定的工作，造成工期延误；</w:t>
      </w:r>
    </w:p>
    <w:p>
      <w:pPr>
        <w:pStyle w:val="BodyText"/>
        <w:spacing w:before="108"/>
        <w:ind w:left="447"/>
      </w:pPr>
      <w:r>
        <w:rPr>
          <w:color w:val="231F20"/>
        </w:rPr>
        <w:t>（ 7）由于承包人原因未能通过竣工试验或竣工后试验的；</w:t>
      </w:r>
    </w:p>
    <w:p>
      <w:pPr>
        <w:pStyle w:val="BodyText"/>
        <w:spacing w:before="108"/>
        <w:ind w:left="447"/>
      </w:pPr>
      <w:r>
        <w:rPr>
          <w:color w:val="231F20"/>
        </w:rPr>
        <w:t>（ 8）承包人在缺陷责任期及保修期内，未能在合理期限对工程缺陷进行修复，或拒绝按发</w:t>
      </w:r>
    </w:p>
    <w:p>
      <w:pPr>
        <w:spacing w:after="0"/>
        <w:sectPr>
          <w:pgSz w:w="11910" w:h="16840"/>
          <w:pgMar w:header="0" w:footer="832" w:top="1580" w:bottom="1020" w:left="1300" w:right="1200"/>
        </w:sectPr>
      </w:pPr>
    </w:p>
    <w:p>
      <w:pPr>
        <w:pStyle w:val="BodyText"/>
        <w:spacing w:before="24"/>
        <w:jc w:val="both"/>
      </w:pPr>
      <w:r>
        <w:rPr>
          <w:color w:val="231F20"/>
        </w:rPr>
        <w:t>包人指示进行修复的；</w:t>
      </w:r>
    </w:p>
    <w:p>
      <w:pPr>
        <w:pStyle w:val="BodyText"/>
        <w:ind w:left="447"/>
      </w:pPr>
      <w:r>
        <w:rPr>
          <w:color w:val="231F20"/>
        </w:rPr>
        <w:t>（ 9）承包人明确表示或者以其行为表明不履行合同主要义务的；</w:t>
      </w:r>
    </w:p>
    <w:p>
      <w:pPr>
        <w:pStyle w:val="BodyText"/>
        <w:ind w:left="447"/>
      </w:pPr>
      <w:r>
        <w:rPr>
          <w:color w:val="231F20"/>
        </w:rPr>
        <w:t>（ 10）承包人未能按照合同约定履行其他义务的。</w:t>
      </w:r>
    </w:p>
    <w:p>
      <w:pPr>
        <w:pStyle w:val="ListParagraph"/>
        <w:numPr>
          <w:ilvl w:val="2"/>
          <w:numId w:val="91"/>
        </w:numPr>
        <w:tabs>
          <w:tab w:pos="1157" w:val="left" w:leader="none"/>
        </w:tabs>
        <w:spacing w:line="240" w:lineRule="auto" w:before="109" w:after="0"/>
        <w:ind w:left="1156" w:right="0" w:hanging="599"/>
        <w:jc w:val="left"/>
        <w:rPr>
          <w:sz w:val="22"/>
        </w:rPr>
      </w:pPr>
      <w:r>
        <w:rPr>
          <w:color w:val="231F20"/>
          <w:sz w:val="22"/>
        </w:rPr>
        <w:t>通知改正</w:t>
      </w:r>
    </w:p>
    <w:p>
      <w:pPr>
        <w:pStyle w:val="BodyText"/>
        <w:spacing w:line="319" w:lineRule="auto"/>
        <w:ind w:right="153" w:firstLine="440"/>
      </w:pPr>
      <w:r>
        <w:rPr>
          <w:color w:val="231F20"/>
        </w:rPr>
        <w:t>承包人发生除第 15.2.1 项第（ 7）目、第（ 9）目约定以外的其他违约情况时，工程师可在专用合同条件约定的合理期限内向承包人发出整改通知，要求其在指定的期限内改正。</w:t>
      </w:r>
    </w:p>
    <w:p>
      <w:pPr>
        <w:pStyle w:val="ListParagraph"/>
        <w:numPr>
          <w:ilvl w:val="2"/>
          <w:numId w:val="91"/>
        </w:numPr>
        <w:tabs>
          <w:tab w:pos="1157" w:val="left" w:leader="none"/>
        </w:tabs>
        <w:spacing w:line="240" w:lineRule="auto" w:before="26" w:after="0"/>
        <w:ind w:left="1156" w:right="0" w:hanging="599"/>
        <w:jc w:val="left"/>
        <w:rPr>
          <w:sz w:val="22"/>
        </w:rPr>
      </w:pPr>
      <w:r>
        <w:rPr>
          <w:color w:val="231F20"/>
          <w:sz w:val="22"/>
        </w:rPr>
        <w:t>承包人违约的责任</w:t>
      </w:r>
    </w:p>
    <w:p>
      <w:pPr>
        <w:pStyle w:val="BodyText"/>
        <w:spacing w:line="319" w:lineRule="auto"/>
        <w:ind w:right="215" w:firstLine="440"/>
      </w:pPr>
      <w:r>
        <w:rPr>
          <w:color w:val="231F20"/>
        </w:rPr>
        <w:t>承包人应承担因其违约行为而增加的费用和（或）延误的工期。此外，合同当事人可在专用合同条件中另行约定承包人违约责任的承担方式和计算方法。</w:t>
      </w:r>
    </w:p>
    <w:p>
      <w:pPr>
        <w:pStyle w:val="BodyText"/>
        <w:spacing w:before="19"/>
        <w:ind w:left="557"/>
        <w:rPr>
          <w:rFonts w:ascii="方正黑体_GBK" w:eastAsia="方正黑体_GBK" w:hint="eastAsia"/>
        </w:rPr>
      </w:pPr>
      <w:r>
        <w:rPr>
          <w:rFonts w:ascii="方正黑体_GBK" w:eastAsia="方正黑体_GBK" w:hint="eastAsia"/>
          <w:color w:val="231F20"/>
        </w:rPr>
        <w:t>15.3 第三人造成的违约</w:t>
      </w:r>
    </w:p>
    <w:p>
      <w:pPr>
        <w:pStyle w:val="BodyText"/>
        <w:spacing w:line="319" w:lineRule="auto" w:before="122"/>
        <w:ind w:right="215" w:firstLine="440"/>
      </w:pPr>
      <w:r>
        <w:rPr>
          <w:color w:val="231F20"/>
        </w:rPr>
        <w:t>在履行合同过程中，一方当事人因第三人的原因造成违约的，应当向对方当事人承担违约责任。一方当事人和第三人之间的纠纷，依照法律规定或者按照约定解决。</w:t>
      </w:r>
    </w:p>
    <w:p>
      <w:pPr>
        <w:pStyle w:val="BodyText"/>
        <w:tabs>
          <w:tab w:pos="1131" w:val="left" w:leader="none"/>
        </w:tabs>
        <w:spacing w:before="20"/>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16</w:t>
      </w:r>
      <w:r>
        <w:rPr>
          <w:rFonts w:ascii="方正黑体_GBK" w:eastAsia="方正黑体_GBK" w:hint="eastAsia"/>
          <w:color w:val="231F20"/>
          <w:spacing w:val="-7"/>
        </w:rPr>
        <w:t> </w:t>
      </w:r>
      <w:r>
        <w:rPr>
          <w:rFonts w:ascii="方正黑体_GBK" w:eastAsia="方正黑体_GBK" w:hint="eastAsia"/>
          <w:color w:val="231F20"/>
        </w:rPr>
        <w:t>条</w:t>
        <w:tab/>
        <w:t>合同解除</w:t>
      </w:r>
    </w:p>
    <w:p>
      <w:pPr>
        <w:pStyle w:val="ListParagraph"/>
        <w:numPr>
          <w:ilvl w:val="1"/>
          <w:numId w:val="92"/>
        </w:numPr>
        <w:tabs>
          <w:tab w:pos="1046" w:val="left" w:leader="none"/>
        </w:tabs>
        <w:spacing w:line="240" w:lineRule="auto" w:before="116" w:after="0"/>
        <w:ind w:left="1045" w:right="0" w:hanging="488"/>
        <w:jc w:val="left"/>
        <w:rPr>
          <w:rFonts w:ascii="方正黑体_GBK" w:eastAsia="方正黑体_GBK" w:hint="eastAsia"/>
          <w:sz w:val="22"/>
        </w:rPr>
      </w:pPr>
      <w:r>
        <w:rPr>
          <w:rFonts w:ascii="方正黑体_GBK" w:eastAsia="方正黑体_GBK" w:hint="eastAsia"/>
          <w:color w:val="231F20"/>
          <w:sz w:val="22"/>
        </w:rPr>
        <w:t>由发包人解除合同</w:t>
      </w:r>
    </w:p>
    <w:p>
      <w:pPr>
        <w:pStyle w:val="ListParagraph"/>
        <w:numPr>
          <w:ilvl w:val="2"/>
          <w:numId w:val="92"/>
        </w:numPr>
        <w:tabs>
          <w:tab w:pos="1157" w:val="left" w:leader="none"/>
        </w:tabs>
        <w:spacing w:line="240" w:lineRule="auto" w:before="122" w:after="0"/>
        <w:ind w:left="557" w:right="0" w:firstLine="0"/>
        <w:jc w:val="left"/>
        <w:rPr>
          <w:sz w:val="22"/>
        </w:rPr>
      </w:pPr>
      <w:r>
        <w:rPr>
          <w:color w:val="231F20"/>
          <w:sz w:val="22"/>
        </w:rPr>
        <w:t>因承包人违约解除合同</w:t>
      </w:r>
    </w:p>
    <w:p>
      <w:pPr>
        <w:pStyle w:val="BodyText"/>
        <w:spacing w:line="319" w:lineRule="auto"/>
        <w:ind w:right="215" w:firstLine="440"/>
      </w:pPr>
      <w:r>
        <w:rPr>
          <w:color w:val="231F20"/>
        </w:rPr>
        <w:t>除专用合同条件另有约定外，发包人有权基于下列原因，以书面形式通知承包人解除合同，解除通知中应注明是根据第 16.1.1 项发出的，发包人应在发出正式解除合同通知 14 天前</w:t>
      </w:r>
    </w:p>
    <w:p>
      <w:pPr>
        <w:pStyle w:val="BodyText"/>
        <w:spacing w:line="319" w:lineRule="auto" w:before="25"/>
        <w:ind w:right="212"/>
        <w:jc w:val="both"/>
      </w:pPr>
      <w:r>
        <w:rPr>
          <w:color w:val="231F20"/>
        </w:rPr>
        <w:t>告知承包人其解除合同意向，除非承包人在收到该解除合同意向通知后 14 天内采取了补救措施，否则发包人可向承包人发出正式解除合同通知立即解除合同。解除日期应为承包人收到正式解除合同通知的日期，但在第（ 5）目的情况下，发包人无须提前告知承包人其解除合同意向，可直接发出正式解除合同通知立即解除合同：</w:t>
      </w:r>
    </w:p>
    <w:p>
      <w:pPr>
        <w:pStyle w:val="BodyText"/>
        <w:spacing w:before="25"/>
        <w:ind w:left="447"/>
      </w:pPr>
      <w:r>
        <w:rPr>
          <w:color w:val="231F20"/>
        </w:rPr>
        <w:t>（ 1）承包人未能遵守第 4.2 款 [ 履约担保 ] 的约定；</w:t>
      </w:r>
    </w:p>
    <w:p>
      <w:pPr>
        <w:pStyle w:val="BodyText"/>
        <w:ind w:left="447"/>
      </w:pPr>
      <w:r>
        <w:rPr>
          <w:color w:val="231F20"/>
        </w:rPr>
        <w:t>（ 2）承包人未能遵守第 4.5 款 [ 分包 ] 有关分包和转包的约定；</w:t>
      </w:r>
    </w:p>
    <w:p>
      <w:pPr>
        <w:pStyle w:val="BodyText"/>
        <w:ind w:left="447"/>
      </w:pPr>
      <w:r>
        <w:rPr>
          <w:color w:val="231F20"/>
          <w:spacing w:val="17"/>
        </w:rPr>
        <w:t>（</w:t>
      </w:r>
      <w:r>
        <w:rPr>
          <w:color w:val="231F20"/>
          <w:spacing w:val="-9"/>
        </w:rPr>
        <w:t>3</w:t>
      </w:r>
      <w:r>
        <w:rPr>
          <w:color w:val="231F20"/>
          <w:spacing w:val="-74"/>
        </w:rPr>
        <w:t>）</w:t>
      </w:r>
      <w:r>
        <w:rPr>
          <w:color w:val="231F20"/>
          <w:spacing w:val="-9"/>
        </w:rPr>
        <w:t>承包人实际进度明显落后于进度计划，并且未按发包人的指令采取措施并修正进度计划；</w:t>
      </w:r>
    </w:p>
    <w:p>
      <w:pPr>
        <w:pStyle w:val="BodyText"/>
        <w:ind w:left="447"/>
      </w:pPr>
      <w:r>
        <w:rPr>
          <w:color w:val="231F20"/>
        </w:rPr>
        <w:t>（ 4）工程质量有严重缺陷，承包人无正当理由使修复开始日期拖延达 28 天以上；</w:t>
      </w:r>
    </w:p>
    <w:p>
      <w:pPr>
        <w:pStyle w:val="BodyText"/>
        <w:spacing w:line="319" w:lineRule="auto"/>
        <w:ind w:right="105" w:firstLine="330"/>
      </w:pPr>
      <w:r>
        <w:rPr>
          <w:color w:val="231F20"/>
        </w:rPr>
        <w:t>（ 5）承包人破产、停业清理或进入清算程序，或情况表明承包人将进入破产和（或）清算程序，已有对其财产的接管令或管理令，与债权人达成和解，或为其债权人的利益在财产接管人、受托人或管理人的监督下营业，或采取了任何行动或发生任何事件（根据有关适用法律） 具有与前述行动或事件相似的效果；</w:t>
      </w:r>
    </w:p>
    <w:p>
      <w:pPr>
        <w:pStyle w:val="BodyText"/>
        <w:spacing w:line="319" w:lineRule="auto" w:before="25"/>
        <w:ind w:right="199" w:firstLine="330"/>
      </w:pPr>
      <w:r>
        <w:rPr>
          <w:color w:val="231F20"/>
        </w:rPr>
        <w:t>（ 6）承包人明确表示或以自己的行为表明不履行合同、或经发包人以书面形式通知其履约后仍未能依约履行合同、或以不适当的方式履行合同；</w:t>
      </w:r>
    </w:p>
    <w:p>
      <w:pPr>
        <w:spacing w:after="0" w:line="319" w:lineRule="auto"/>
        <w:sectPr>
          <w:footerReference w:type="even" r:id="rId32"/>
          <w:footerReference w:type="default" r:id="rId33"/>
          <w:pgSz w:w="11910" w:h="16840"/>
          <w:pgMar w:footer="832" w:header="0" w:top="1580" w:bottom="1020" w:left="1300" w:right="1200"/>
        </w:sectPr>
      </w:pPr>
    </w:p>
    <w:p>
      <w:pPr>
        <w:pStyle w:val="BodyText"/>
        <w:spacing w:line="319" w:lineRule="auto" w:before="24"/>
        <w:ind w:right="199" w:firstLine="330"/>
      </w:pPr>
      <w:r>
        <w:rPr>
          <w:color w:val="231F20"/>
        </w:rPr>
        <w:t>（ 7）未能通过的竣工试验、未能通过的竣工后试验，使工程的任何部分和（或）整个工程丧失了主要使用功能、生产功能；</w:t>
      </w:r>
    </w:p>
    <w:p>
      <w:pPr>
        <w:pStyle w:val="BodyText"/>
        <w:spacing w:line="319" w:lineRule="auto" w:before="26"/>
        <w:ind w:right="215" w:firstLine="330"/>
      </w:pPr>
      <w:r>
        <w:rPr>
          <w:color w:val="231F20"/>
        </w:rPr>
        <w:t>（ 8）因承包人的原因暂停工作超过 56 天且暂停影响到整个工程，或因承包人的原因暂停工作超过 182 天；</w:t>
      </w:r>
    </w:p>
    <w:p>
      <w:pPr>
        <w:pStyle w:val="BodyText"/>
        <w:spacing w:before="26"/>
        <w:ind w:left="447"/>
      </w:pPr>
      <w:r>
        <w:rPr>
          <w:color w:val="231F20"/>
        </w:rPr>
        <w:t>（ 9）承包人未能遵守第 8.2 款 [ 竣工日期 ] 规定，延误超过 182 天；</w:t>
      </w:r>
    </w:p>
    <w:p>
      <w:pPr>
        <w:pStyle w:val="BodyText"/>
        <w:spacing w:line="319" w:lineRule="auto"/>
        <w:ind w:right="200" w:firstLine="330"/>
      </w:pPr>
      <w:r>
        <w:rPr>
          <w:color w:val="231F20"/>
        </w:rPr>
        <w:t>（ 10）工程师根据第 15.2.2 项 [ 通知改正 ] 发出整改通知后，承包人在指定的合理期限内仍不纠正违约行为并致使合同目的不能实现的。</w:t>
      </w:r>
    </w:p>
    <w:p>
      <w:pPr>
        <w:pStyle w:val="ListParagraph"/>
        <w:numPr>
          <w:ilvl w:val="2"/>
          <w:numId w:val="92"/>
        </w:numPr>
        <w:tabs>
          <w:tab w:pos="1157" w:val="left" w:leader="none"/>
        </w:tabs>
        <w:spacing w:line="319" w:lineRule="auto" w:before="25" w:after="0"/>
        <w:ind w:left="557" w:right="4507" w:firstLine="0"/>
        <w:jc w:val="left"/>
        <w:rPr>
          <w:sz w:val="22"/>
        </w:rPr>
      </w:pPr>
      <w:r>
        <w:rPr>
          <w:color w:val="231F20"/>
          <w:sz w:val="22"/>
        </w:rPr>
        <w:t>因承包人违约解除合同后承包人的义务合同解除后，承包人应按以下约定执行：</w:t>
      </w:r>
    </w:p>
    <w:p>
      <w:pPr>
        <w:pStyle w:val="BodyText"/>
        <w:spacing w:line="319" w:lineRule="auto" w:before="25"/>
        <w:ind w:right="199" w:firstLine="330"/>
      </w:pPr>
      <w:r>
        <w:rPr>
          <w:color w:val="231F20"/>
        </w:rPr>
        <w:t>（ 1）除了为保护生命、财产或工程安全、清理和必须执行的工作外，停止执行所有被通知解除的工作，并将相关人员撤离现场；</w:t>
      </w:r>
    </w:p>
    <w:p>
      <w:pPr>
        <w:pStyle w:val="BodyText"/>
        <w:spacing w:line="319" w:lineRule="auto" w:before="25"/>
        <w:ind w:right="215" w:firstLine="330"/>
      </w:pPr>
      <w:r>
        <w:rPr>
          <w:color w:val="231F20"/>
        </w:rPr>
        <w:t>（ </w:t>
      </w:r>
      <w:r>
        <w:rPr>
          <w:color w:val="231F20"/>
          <w:spacing w:val="-26"/>
        </w:rPr>
        <w:t>2）</w:t>
      </w:r>
      <w:r>
        <w:rPr>
          <w:color w:val="231F20"/>
          <w:spacing w:val="-5"/>
        </w:rPr>
        <w:t>经发包人批准，承包人应将与被解除合同相关的和正在执行的分包合同及相关的责任和义务转让至发包人和（或）发包人指定方的名下，包括永久性工程及工程物资，以及相关工作；</w:t>
      </w:r>
    </w:p>
    <w:p>
      <w:pPr>
        <w:pStyle w:val="BodyText"/>
        <w:spacing w:line="319" w:lineRule="auto" w:before="25"/>
        <w:ind w:right="199" w:firstLine="330"/>
      </w:pPr>
      <w:r>
        <w:rPr>
          <w:color w:val="231F20"/>
        </w:rPr>
        <w:t>（ 3）移交已完成的永久性工程及负责已运抵现场的工程物资。在移交前，妥善做好己完工程和已运抵现场的工程物资的保管、维护和保养；</w:t>
      </w:r>
    </w:p>
    <w:p>
      <w:pPr>
        <w:pStyle w:val="BodyText"/>
        <w:spacing w:line="319" w:lineRule="auto" w:before="25"/>
        <w:ind w:right="212" w:firstLine="330"/>
        <w:jc w:val="both"/>
      </w:pPr>
      <w:r>
        <w:rPr>
          <w:color w:val="231F20"/>
        </w:rPr>
        <w:t>（ 4）将发包人提供的所有信息及承包人为本工程编制的设计文件、技术资料及其它文件移交给发包人。在承包人留有的资料文件中，销毁与发包人提供的所有信息相关的数据及资料的备份；</w:t>
      </w:r>
    </w:p>
    <w:p>
      <w:pPr>
        <w:pStyle w:val="BodyText"/>
        <w:spacing w:line="319" w:lineRule="auto" w:before="25"/>
        <w:ind w:right="199" w:firstLine="330"/>
      </w:pPr>
      <w:r>
        <w:rPr>
          <w:color w:val="231F20"/>
        </w:rPr>
        <w:t>（ 5）移交相应实施阶段已经付款的并已完成的和尚待完成的设计文件、图纸、资料、操作维修手册、施工组织设计、质检资料、竣工资料等；</w:t>
      </w:r>
    </w:p>
    <w:p>
      <w:pPr>
        <w:pStyle w:val="ListParagraph"/>
        <w:numPr>
          <w:ilvl w:val="2"/>
          <w:numId w:val="92"/>
        </w:numPr>
        <w:tabs>
          <w:tab w:pos="1157" w:val="left" w:leader="none"/>
        </w:tabs>
        <w:spacing w:line="240" w:lineRule="auto" w:before="25" w:after="0"/>
        <w:ind w:left="557" w:right="0" w:firstLine="0"/>
        <w:jc w:val="left"/>
        <w:rPr>
          <w:sz w:val="22"/>
        </w:rPr>
      </w:pPr>
      <w:r>
        <w:rPr>
          <w:color w:val="231F20"/>
          <w:sz w:val="22"/>
        </w:rPr>
        <w:t>因承包人违约解除合同后的估价、付款和结算</w:t>
      </w:r>
    </w:p>
    <w:p>
      <w:pPr>
        <w:pStyle w:val="BodyText"/>
        <w:spacing w:line="319" w:lineRule="auto" w:before="108"/>
        <w:ind w:right="215" w:firstLine="440"/>
      </w:pPr>
      <w:r>
        <w:rPr>
          <w:color w:val="231F20"/>
        </w:rPr>
        <w:t>因承包人原因导致合同解除的，则合同当事人应在合同解除后 28 天内完成估价、付款和清算，并按以下约定执行：</w:t>
      </w:r>
    </w:p>
    <w:p>
      <w:pPr>
        <w:pStyle w:val="BodyText"/>
        <w:spacing w:line="319" w:lineRule="auto" w:before="25"/>
        <w:ind w:right="142" w:firstLine="330"/>
      </w:pPr>
      <w:r>
        <w:rPr>
          <w:color w:val="231F20"/>
        </w:rPr>
        <w:t>（ 1）合同解除后，按第 3.6 款 [ 商定或确定 ] 商定或确定承包人实际完成工作对应的合同价款，以及承包人已提供的材料、工程设备、施工设备和临时工程等的价值；</w:t>
      </w:r>
    </w:p>
    <w:p>
      <w:pPr>
        <w:pStyle w:val="BodyText"/>
        <w:spacing w:before="25"/>
        <w:ind w:left="447"/>
      </w:pPr>
      <w:r>
        <w:rPr>
          <w:color w:val="231F20"/>
        </w:rPr>
        <w:t>（ 2）合同解除后，承包人应支付的违约金；</w:t>
      </w:r>
    </w:p>
    <w:p>
      <w:pPr>
        <w:pStyle w:val="BodyText"/>
        <w:spacing w:before="108"/>
        <w:ind w:left="447"/>
      </w:pPr>
      <w:r>
        <w:rPr>
          <w:color w:val="231F20"/>
        </w:rPr>
        <w:t>（ 3）合同解除后，因解除合同给发包人造成的损失；</w:t>
      </w:r>
    </w:p>
    <w:p>
      <w:pPr>
        <w:pStyle w:val="BodyText"/>
        <w:spacing w:before="108"/>
        <w:ind w:left="447"/>
      </w:pPr>
      <w:r>
        <w:rPr>
          <w:color w:val="231F20"/>
        </w:rPr>
        <w:t>（ 4）合同解除后，承包人应按照发包人的指示完成现场的清理和撤离；</w:t>
      </w:r>
    </w:p>
    <w:p>
      <w:pPr>
        <w:pStyle w:val="BodyText"/>
        <w:spacing w:line="319" w:lineRule="auto" w:before="108"/>
        <w:ind w:left="557" w:right="105" w:hanging="110"/>
      </w:pPr>
      <w:r>
        <w:rPr>
          <w:color w:val="231F20"/>
        </w:rPr>
        <w:t>（ 5）发包人和承包人应在合同解除后进行清算，出具最终结清付款证书，结清全部款项。因承包人违约解除合同的，发包人有权暂停对承包人的付款，查清各项付款和已扣款项，</w:t>
      </w:r>
    </w:p>
    <w:p>
      <w:pPr>
        <w:pStyle w:val="BodyText"/>
        <w:spacing w:before="25"/>
      </w:pPr>
      <w:r>
        <w:rPr>
          <w:color w:val="231F20"/>
        </w:rPr>
        <w:t>发包人和承包人未能就合同解除后的清算和款项支付达成一致的，按照第 20 条 [ 争议解决 ] 的</w:t>
      </w:r>
    </w:p>
    <w:p>
      <w:pPr>
        <w:spacing w:after="0"/>
        <w:sectPr>
          <w:pgSz w:w="11910" w:h="16840"/>
          <w:pgMar w:header="0" w:footer="832" w:top="1580" w:bottom="1020" w:left="1300" w:right="1200"/>
        </w:sectPr>
      </w:pPr>
    </w:p>
    <w:p>
      <w:pPr>
        <w:pStyle w:val="BodyText"/>
        <w:spacing w:before="24"/>
        <w:ind w:left="217"/>
      </w:pPr>
      <w:r>
        <w:rPr>
          <w:color w:val="231F20"/>
        </w:rPr>
        <w:t>约定处理。</w:t>
      </w:r>
    </w:p>
    <w:p>
      <w:pPr>
        <w:pStyle w:val="ListParagraph"/>
        <w:numPr>
          <w:ilvl w:val="2"/>
          <w:numId w:val="92"/>
        </w:numPr>
        <w:tabs>
          <w:tab w:pos="1257" w:val="left" w:leader="none"/>
        </w:tabs>
        <w:spacing w:line="240" w:lineRule="auto" w:before="109" w:after="0"/>
        <w:ind w:left="1256" w:right="0" w:hanging="599"/>
        <w:jc w:val="left"/>
        <w:rPr>
          <w:sz w:val="22"/>
        </w:rPr>
      </w:pPr>
      <w:r>
        <w:rPr>
          <w:color w:val="231F20"/>
          <w:sz w:val="22"/>
        </w:rPr>
        <w:t>因承包人违约解除合同的合同权益转让</w:t>
      </w:r>
    </w:p>
    <w:p>
      <w:pPr>
        <w:pStyle w:val="BodyText"/>
        <w:spacing w:line="319" w:lineRule="auto"/>
        <w:ind w:left="217" w:right="214" w:firstLine="440"/>
        <w:jc w:val="both"/>
      </w:pPr>
      <w:r>
        <w:rPr>
          <w:color w:val="231F20"/>
          <w:spacing w:val="-5"/>
        </w:rPr>
        <w:t>合同解除后，发包人可以继续完成工程，和（或）安排第三人完成。发包人有权要求承包人将其为实施合同而订立的材料和设备的订货合同或任何服务合同利益转让给发包人，并在承包人</w:t>
      </w:r>
      <w:r>
        <w:rPr>
          <w:color w:val="231F20"/>
          <w:spacing w:val="-2"/>
        </w:rPr>
        <w:t>收到解除合同通知后的 </w:t>
      </w:r>
      <w:r>
        <w:rPr>
          <w:color w:val="231F20"/>
          <w:spacing w:val="-3"/>
        </w:rPr>
        <w:t>14</w:t>
      </w:r>
      <w:r>
        <w:rPr>
          <w:color w:val="231F20"/>
          <w:spacing w:val="-5"/>
        </w:rPr>
        <w:t> 天内，依法办理转让手续。发包人和</w:t>
      </w:r>
      <w:r>
        <w:rPr>
          <w:color w:val="231F20"/>
        </w:rPr>
        <w:t>（或）第三人有权使用承包人在</w:t>
      </w:r>
      <w:r>
        <w:rPr>
          <w:color w:val="231F20"/>
          <w:spacing w:val="-5"/>
        </w:rPr>
        <w:t>施工现场的材料、设备、临时工程、承包人文件和由承包人或以其名义编制的其他文件。</w:t>
      </w:r>
    </w:p>
    <w:p>
      <w:pPr>
        <w:pStyle w:val="ListParagraph"/>
        <w:numPr>
          <w:ilvl w:val="1"/>
          <w:numId w:val="93"/>
        </w:numPr>
        <w:tabs>
          <w:tab w:pos="1146" w:val="left" w:leader="none"/>
        </w:tabs>
        <w:spacing w:line="240" w:lineRule="auto" w:before="19" w:after="0"/>
        <w:ind w:left="1145" w:right="0" w:hanging="488"/>
        <w:jc w:val="left"/>
        <w:rPr>
          <w:rFonts w:ascii="方正黑体_GBK" w:eastAsia="方正黑体_GBK" w:hint="eastAsia"/>
          <w:sz w:val="22"/>
        </w:rPr>
      </w:pPr>
      <w:r>
        <w:rPr>
          <w:rFonts w:ascii="方正黑体_GBK" w:eastAsia="方正黑体_GBK" w:hint="eastAsia"/>
          <w:color w:val="231F20"/>
          <w:sz w:val="22"/>
        </w:rPr>
        <w:t>由承包人解除合同</w:t>
      </w:r>
    </w:p>
    <w:p>
      <w:pPr>
        <w:pStyle w:val="ListParagraph"/>
        <w:numPr>
          <w:ilvl w:val="2"/>
          <w:numId w:val="93"/>
        </w:numPr>
        <w:tabs>
          <w:tab w:pos="1257" w:val="left" w:leader="none"/>
        </w:tabs>
        <w:spacing w:line="240" w:lineRule="auto" w:before="121" w:after="0"/>
        <w:ind w:left="557" w:right="0" w:firstLine="100"/>
        <w:jc w:val="left"/>
        <w:rPr>
          <w:sz w:val="22"/>
        </w:rPr>
      </w:pPr>
      <w:r>
        <w:rPr>
          <w:color w:val="231F20"/>
          <w:sz w:val="22"/>
        </w:rPr>
        <w:t>因发包人违约解除合同</w:t>
      </w:r>
    </w:p>
    <w:p>
      <w:pPr>
        <w:pStyle w:val="BodyText"/>
        <w:spacing w:line="319" w:lineRule="auto"/>
        <w:ind w:left="217" w:right="92" w:firstLine="440"/>
      </w:pPr>
      <w:r>
        <w:rPr>
          <w:color w:val="231F20"/>
        </w:rPr>
        <w:t>除专用合同条件另有约定外，承包人有权基于下列原因，以书面形式通知发包人解除合同，解除通知中应注明是根据第 16.2.1 项发出的，承包人应在发出正式解除合同通知 14 天前</w:t>
      </w:r>
    </w:p>
    <w:p>
      <w:pPr>
        <w:pStyle w:val="BodyText"/>
        <w:spacing w:line="319" w:lineRule="auto" w:before="26"/>
        <w:ind w:left="217" w:right="212"/>
        <w:jc w:val="both"/>
      </w:pPr>
      <w:r>
        <w:rPr>
          <w:color w:val="231F20"/>
        </w:rPr>
        <w:t>告知发包人其解除合同意向，除非发包人在收到该解除合同意向通知后 14 天内采取了补救措施，否则承包人可向发包人发出正式解除合同通知立即解除合同。解除日期应为发包人收到正式解除合同通知的日期，但在第（ 5）目的情况下，承包人无须提前告知发包人其解除合同意向，可直接发出正式解除合同通知立即解除合同：</w:t>
      </w:r>
    </w:p>
    <w:p>
      <w:pPr>
        <w:pStyle w:val="BodyText"/>
        <w:spacing w:line="319" w:lineRule="auto" w:before="26"/>
        <w:ind w:left="217" w:right="209" w:firstLine="330"/>
      </w:pPr>
      <w:r>
        <w:rPr>
          <w:color w:val="231F20"/>
        </w:rPr>
        <w:t>（ 1）承包人就发包人未能遵守第 2.5.2 项关于发包人的资金安排发出通知后 42 天内，仍未收到合理的证明；</w:t>
      </w:r>
    </w:p>
    <w:p>
      <w:pPr>
        <w:pStyle w:val="BodyText"/>
        <w:spacing w:before="26"/>
        <w:ind w:left="547"/>
      </w:pPr>
      <w:r>
        <w:rPr>
          <w:color w:val="231F20"/>
        </w:rPr>
        <w:t>（ 2）在第 14 条规定的付款时间到期后 42 天内，承包人仍未收到应付款项；</w:t>
      </w:r>
    </w:p>
    <w:p>
      <w:pPr>
        <w:pStyle w:val="BodyText"/>
        <w:ind w:left="547"/>
      </w:pPr>
      <w:r>
        <w:rPr>
          <w:color w:val="231F20"/>
        </w:rPr>
        <w:t>（ 3）发包人实质上未能根据合同约定履行其义务，构成根本性违约；</w:t>
      </w:r>
    </w:p>
    <w:p>
      <w:pPr>
        <w:pStyle w:val="BodyText"/>
        <w:spacing w:line="319" w:lineRule="auto"/>
        <w:ind w:left="217" w:right="204" w:firstLine="330"/>
      </w:pPr>
      <w:r>
        <w:rPr>
          <w:color w:val="231F20"/>
        </w:rPr>
        <w:t>（ 4）发承包双方订立本合同协议书后的 84 天内，承包人未收到根据第 8.1 款 [ 开始工作 ] 的开始工作通知；</w:t>
      </w:r>
    </w:p>
    <w:p>
      <w:pPr>
        <w:pStyle w:val="BodyText"/>
        <w:spacing w:line="319" w:lineRule="auto" w:before="26"/>
        <w:ind w:left="217" w:right="214" w:firstLine="330"/>
        <w:jc w:val="both"/>
      </w:pPr>
      <w:r>
        <w:rPr>
          <w:color w:val="231F20"/>
        </w:rPr>
        <w:t>（ 5）发包人破产、停业清理或进入清算程序，或情况表明发包人将进入破产和（或）清算程序或发包人资信严重恶化，已有对其财产的接管令或管理令，与债权人达成和解，或为其债权人的利益在财产接管人、受托人或管理人的监督下营业，或采取了任何行动或发生任何事件</w:t>
      </w:r>
    </w:p>
    <w:p>
      <w:pPr>
        <w:pStyle w:val="BodyText"/>
        <w:spacing w:before="26"/>
        <w:ind w:left="107"/>
      </w:pPr>
      <w:r>
        <w:rPr>
          <w:color w:val="231F20"/>
        </w:rPr>
        <w:t>（根据有关适用法律）具有与前述行动或事件相似的效果；</w:t>
      </w:r>
    </w:p>
    <w:p>
      <w:pPr>
        <w:pStyle w:val="BodyText"/>
        <w:ind w:left="547"/>
      </w:pPr>
      <w:r>
        <w:rPr>
          <w:color w:val="231F20"/>
        </w:rPr>
        <w:t>（ 6）发包人未能遵守第 2.5.3 项的约定提交支付担保；</w:t>
      </w:r>
    </w:p>
    <w:p>
      <w:pPr>
        <w:pStyle w:val="BodyText"/>
        <w:ind w:left="547"/>
      </w:pPr>
      <w:r>
        <w:rPr>
          <w:color w:val="231F20"/>
        </w:rPr>
        <w:t>（ 7）发包人未能执行第 15.1.2 项 [ 通知改正 ] 的约定，致使合同目的不能实现的；</w:t>
      </w:r>
    </w:p>
    <w:p>
      <w:pPr>
        <w:pStyle w:val="BodyText"/>
        <w:spacing w:line="319" w:lineRule="auto"/>
        <w:ind w:left="217" w:right="204" w:firstLine="330"/>
      </w:pPr>
      <w:r>
        <w:rPr>
          <w:color w:val="231F20"/>
        </w:rPr>
        <w:t>（ 8）因发包人的原因暂停工作超过 56 天且暂停影响到整个工程，或因发包人的原因暂停工作超过 182 天的；</w:t>
      </w:r>
    </w:p>
    <w:p>
      <w:pPr>
        <w:pStyle w:val="BodyText"/>
        <w:spacing w:line="319" w:lineRule="auto" w:before="26"/>
        <w:ind w:left="217" w:right="199" w:firstLine="330"/>
      </w:pPr>
      <w:r>
        <w:rPr>
          <w:color w:val="231F20"/>
        </w:rPr>
        <w:t>（ 9）因发包人原因造成开始工作日期迟于承包人收到中标通知书（或在无中标通知书的情况下，订立本合同之日）后第 84 天的。</w:t>
      </w:r>
    </w:p>
    <w:p>
      <w:pPr>
        <w:pStyle w:val="BodyText"/>
        <w:spacing w:before="26"/>
        <w:ind w:left="657"/>
      </w:pPr>
      <w:r>
        <w:rPr>
          <w:color w:val="231F20"/>
        </w:rPr>
        <w:t>发包人接到承包人解除合同意向通知后 14 天内，发包人随后给予了付款，或同意复工、</w:t>
      </w:r>
    </w:p>
    <w:p>
      <w:pPr>
        <w:spacing w:after="0"/>
        <w:sectPr>
          <w:footerReference w:type="even" r:id="rId34"/>
          <w:footerReference w:type="default" r:id="rId35"/>
          <w:pgSz w:w="11910" w:h="16840"/>
          <w:pgMar w:footer="832" w:header="0" w:top="1580" w:bottom="1020" w:left="1200" w:right="1200"/>
          <w:pgNumType w:start="72"/>
        </w:sectPr>
      </w:pPr>
    </w:p>
    <w:p>
      <w:pPr>
        <w:pStyle w:val="BodyText"/>
        <w:spacing w:line="319" w:lineRule="auto" w:before="24"/>
        <w:ind w:right="215"/>
      </w:pPr>
      <w:r>
        <w:rPr>
          <w:color w:val="231F20"/>
        </w:rPr>
        <w:t>或继续履行其义务、或提供了支付担保等，承包人应尽快安排并恢复正常工作；因此造成工期延误的，竣工日期顺延；承包人因此增加的费用，由发包人承担。</w:t>
      </w:r>
    </w:p>
    <w:p>
      <w:pPr>
        <w:pStyle w:val="ListParagraph"/>
        <w:numPr>
          <w:ilvl w:val="2"/>
          <w:numId w:val="93"/>
        </w:numPr>
        <w:tabs>
          <w:tab w:pos="1157" w:val="left" w:leader="none"/>
        </w:tabs>
        <w:spacing w:line="319" w:lineRule="auto" w:before="26" w:after="0"/>
        <w:ind w:left="557" w:right="4507" w:firstLine="0"/>
        <w:jc w:val="left"/>
        <w:rPr>
          <w:sz w:val="22"/>
        </w:rPr>
      </w:pPr>
      <w:r>
        <w:rPr>
          <w:color w:val="231F20"/>
          <w:sz w:val="22"/>
        </w:rPr>
        <w:t>因发包人违约解除合同后承包人的义务合同解除后，承包人应按以下约定执行：</w:t>
      </w:r>
    </w:p>
    <w:p>
      <w:pPr>
        <w:pStyle w:val="BodyText"/>
        <w:spacing w:line="319" w:lineRule="auto" w:before="26"/>
        <w:ind w:right="199" w:firstLine="330"/>
      </w:pPr>
      <w:r>
        <w:rPr>
          <w:color w:val="231F20"/>
        </w:rPr>
        <w:t>（ 1）除为保护生命、财产、工程安全的工作外，停止所有进一步的工作；承包人因执行该保护工作而产生费用的，由发包人承担；</w:t>
      </w:r>
    </w:p>
    <w:p>
      <w:pPr>
        <w:pStyle w:val="BodyText"/>
        <w:spacing w:before="26"/>
        <w:ind w:left="447"/>
      </w:pPr>
      <w:r>
        <w:rPr>
          <w:color w:val="231F20"/>
        </w:rPr>
        <w:t>（ 2）向发包人移交承包人已获得支付的承包人文件、生产设备、材料和其他工作；</w:t>
      </w:r>
    </w:p>
    <w:p>
      <w:pPr>
        <w:pStyle w:val="BodyText"/>
        <w:ind w:left="447"/>
      </w:pPr>
      <w:r>
        <w:rPr>
          <w:color w:val="231F20"/>
        </w:rPr>
        <w:t>（ 3）从现场运走除为了安全需要以外的所有属于承包人的其他货物，并撤离现场。</w:t>
      </w:r>
    </w:p>
    <w:p>
      <w:pPr>
        <w:pStyle w:val="ListParagraph"/>
        <w:numPr>
          <w:ilvl w:val="2"/>
          <w:numId w:val="93"/>
        </w:numPr>
        <w:tabs>
          <w:tab w:pos="1157" w:val="left" w:leader="none"/>
        </w:tabs>
        <w:spacing w:line="240" w:lineRule="auto" w:before="109" w:after="0"/>
        <w:ind w:left="1156" w:right="0" w:hanging="599"/>
        <w:jc w:val="left"/>
        <w:rPr>
          <w:sz w:val="22"/>
        </w:rPr>
      </w:pPr>
      <w:r>
        <w:rPr>
          <w:color w:val="231F20"/>
          <w:sz w:val="22"/>
        </w:rPr>
        <w:t>因发包人违约解除合同后的付款</w:t>
      </w:r>
    </w:p>
    <w:p>
      <w:pPr>
        <w:pStyle w:val="BodyText"/>
        <w:spacing w:line="319" w:lineRule="auto"/>
        <w:ind w:right="215" w:firstLine="440"/>
      </w:pPr>
      <w:r>
        <w:rPr>
          <w:color w:val="231F20"/>
        </w:rPr>
        <w:t>承包人按照本款约定解除合同的，发包人应在解除合同后 28 天内支付下列款项，并退还履约担保：</w:t>
      </w:r>
    </w:p>
    <w:p>
      <w:pPr>
        <w:pStyle w:val="BodyText"/>
        <w:spacing w:before="25"/>
        <w:ind w:left="447"/>
      </w:pPr>
      <w:r>
        <w:rPr>
          <w:color w:val="231F20"/>
        </w:rPr>
        <w:t>（ 1）合同解除前所完成工作的价款；</w:t>
      </w:r>
    </w:p>
    <w:p>
      <w:pPr>
        <w:pStyle w:val="BodyText"/>
        <w:spacing w:line="319" w:lineRule="auto"/>
        <w:ind w:right="93" w:firstLine="330"/>
      </w:pPr>
      <w:r>
        <w:rPr>
          <w:color w:val="231F20"/>
        </w:rPr>
        <w:t>（ </w:t>
      </w:r>
      <w:r>
        <w:rPr>
          <w:color w:val="231F20"/>
          <w:spacing w:val="-19"/>
        </w:rPr>
        <w:t>2）</w:t>
      </w:r>
      <w:r>
        <w:rPr>
          <w:color w:val="231F20"/>
          <w:spacing w:val="-2"/>
        </w:rPr>
        <w:t>承包人为工程施工订购并已付款的材料、工程设备和其他物品的价款；发包人付款后， 该材料、工程设备和其他物品归发包人所有；</w:t>
      </w:r>
    </w:p>
    <w:p>
      <w:pPr>
        <w:pStyle w:val="BodyText"/>
        <w:spacing w:before="26"/>
        <w:ind w:left="447"/>
      </w:pPr>
      <w:r>
        <w:rPr>
          <w:color w:val="231F20"/>
        </w:rPr>
        <w:t>（ 3）承包人为完成工程所发生的，而发包人未支付的金额；</w:t>
      </w:r>
    </w:p>
    <w:p>
      <w:pPr>
        <w:pStyle w:val="BodyText"/>
        <w:ind w:left="447"/>
      </w:pPr>
      <w:r>
        <w:rPr>
          <w:color w:val="231F20"/>
        </w:rPr>
        <w:t>（ 4）承包人撤离施工现场以及遣散承包人人员的款项；</w:t>
      </w:r>
    </w:p>
    <w:p>
      <w:pPr>
        <w:pStyle w:val="BodyText"/>
        <w:ind w:left="447"/>
      </w:pPr>
      <w:r>
        <w:rPr>
          <w:color w:val="231F20"/>
        </w:rPr>
        <w:t>（ 5）按照合同约定在合同解除前应支付的违约金；</w:t>
      </w:r>
    </w:p>
    <w:p>
      <w:pPr>
        <w:pStyle w:val="BodyText"/>
        <w:ind w:left="447"/>
      </w:pPr>
      <w:r>
        <w:rPr>
          <w:color w:val="231F20"/>
        </w:rPr>
        <w:t>（ 6）按照合同约定应当支付给承包人的其他款项；</w:t>
      </w:r>
    </w:p>
    <w:p>
      <w:pPr>
        <w:pStyle w:val="BodyText"/>
        <w:ind w:left="447"/>
      </w:pPr>
      <w:r>
        <w:rPr>
          <w:color w:val="231F20"/>
        </w:rPr>
        <w:t>（ 7）按照合同约定应返还的质量保证金；</w:t>
      </w:r>
    </w:p>
    <w:p>
      <w:pPr>
        <w:pStyle w:val="BodyText"/>
        <w:ind w:left="447"/>
      </w:pPr>
      <w:r>
        <w:rPr>
          <w:color w:val="231F20"/>
        </w:rPr>
        <w:t>（ 8）因解除合同给承包人造成的损失。</w:t>
      </w:r>
    </w:p>
    <w:p>
      <w:pPr>
        <w:pStyle w:val="BodyText"/>
        <w:spacing w:line="319" w:lineRule="auto"/>
        <w:ind w:right="215" w:firstLine="440"/>
      </w:pPr>
      <w:r>
        <w:rPr>
          <w:color w:val="231F20"/>
        </w:rPr>
        <w:t>承包人应妥善做好已完工程和与工程有关的已购材料、工程设备的保护和移交工作，并将施工设备和人员撤出施工现场，发包人应为承包人撤出提供必要条件。</w:t>
      </w:r>
    </w:p>
    <w:p>
      <w:pPr>
        <w:pStyle w:val="ListParagraph"/>
        <w:numPr>
          <w:ilvl w:val="1"/>
          <w:numId w:val="94"/>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合同解除后的事项</w:t>
      </w:r>
    </w:p>
    <w:p>
      <w:pPr>
        <w:pStyle w:val="ListParagraph"/>
        <w:numPr>
          <w:ilvl w:val="2"/>
          <w:numId w:val="94"/>
        </w:numPr>
        <w:tabs>
          <w:tab w:pos="1157" w:val="left" w:leader="none"/>
        </w:tabs>
        <w:spacing w:line="240" w:lineRule="auto" w:before="121" w:after="0"/>
        <w:ind w:left="1156" w:right="0" w:hanging="599"/>
        <w:jc w:val="left"/>
        <w:rPr>
          <w:sz w:val="22"/>
        </w:rPr>
      </w:pPr>
      <w:r>
        <w:rPr>
          <w:color w:val="231F20"/>
          <w:sz w:val="22"/>
        </w:rPr>
        <w:t>结算约定依然有效</w:t>
      </w:r>
    </w:p>
    <w:p>
      <w:pPr>
        <w:pStyle w:val="BodyText"/>
        <w:spacing w:line="319" w:lineRule="auto"/>
        <w:ind w:right="215" w:firstLine="440"/>
      </w:pPr>
      <w:r>
        <w:rPr>
          <w:color w:val="231F20"/>
        </w:rPr>
        <w:t>合同解除后，由发包人或由承包人解除合同的结算及结算后的付款约定仍然有效，直至解除合同的结算工作结清。</w:t>
      </w:r>
    </w:p>
    <w:p>
      <w:pPr>
        <w:pStyle w:val="ListParagraph"/>
        <w:numPr>
          <w:ilvl w:val="2"/>
          <w:numId w:val="94"/>
        </w:numPr>
        <w:tabs>
          <w:tab w:pos="1157" w:val="left" w:leader="none"/>
        </w:tabs>
        <w:spacing w:line="240" w:lineRule="auto" w:before="26" w:after="0"/>
        <w:ind w:left="1156" w:right="0" w:hanging="599"/>
        <w:jc w:val="left"/>
        <w:rPr>
          <w:sz w:val="22"/>
        </w:rPr>
      </w:pPr>
      <w:r>
        <w:rPr>
          <w:color w:val="231F20"/>
          <w:sz w:val="22"/>
        </w:rPr>
        <w:t>解除合同的争议</w:t>
      </w:r>
    </w:p>
    <w:p>
      <w:pPr>
        <w:pStyle w:val="BodyText"/>
        <w:ind w:left="557"/>
      </w:pPr>
      <w:r>
        <w:rPr>
          <w:color w:val="231F20"/>
        </w:rPr>
        <w:t>双方对解除合同或解除合同后的结算有争议的，按照第 20 条 [ 争议解决 ] 的约定处理。</w:t>
      </w:r>
    </w:p>
    <w:p>
      <w:pPr>
        <w:pStyle w:val="BodyText"/>
        <w:tabs>
          <w:tab w:pos="1131" w:val="left" w:leader="none"/>
        </w:tabs>
        <w:spacing w:before="103"/>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17</w:t>
      </w:r>
      <w:r>
        <w:rPr>
          <w:rFonts w:ascii="方正黑体_GBK" w:eastAsia="方正黑体_GBK" w:hint="eastAsia"/>
          <w:color w:val="231F20"/>
          <w:spacing w:val="-7"/>
        </w:rPr>
        <w:t> </w:t>
      </w:r>
      <w:r>
        <w:rPr>
          <w:rFonts w:ascii="方正黑体_GBK" w:eastAsia="方正黑体_GBK" w:hint="eastAsia"/>
          <w:color w:val="231F20"/>
        </w:rPr>
        <w:t>条</w:t>
        <w:tab/>
        <w:t>不可抗力</w:t>
      </w:r>
    </w:p>
    <w:p>
      <w:pPr>
        <w:pStyle w:val="ListParagraph"/>
        <w:numPr>
          <w:ilvl w:val="1"/>
          <w:numId w:val="95"/>
        </w:numPr>
        <w:tabs>
          <w:tab w:pos="1046" w:val="left" w:leader="none"/>
        </w:tabs>
        <w:spacing w:line="240" w:lineRule="auto" w:before="116" w:after="0"/>
        <w:ind w:left="1045" w:right="0" w:hanging="488"/>
        <w:jc w:val="left"/>
        <w:rPr>
          <w:rFonts w:ascii="方正黑体_GBK" w:eastAsia="方正黑体_GBK" w:hint="eastAsia"/>
          <w:sz w:val="22"/>
        </w:rPr>
      </w:pPr>
      <w:r>
        <w:rPr>
          <w:rFonts w:ascii="方正黑体_GBK" w:eastAsia="方正黑体_GBK" w:hint="eastAsia"/>
          <w:color w:val="231F20"/>
          <w:sz w:val="22"/>
        </w:rPr>
        <w:t>不可抗力的定义</w:t>
      </w:r>
    </w:p>
    <w:p>
      <w:pPr>
        <w:pStyle w:val="BodyText"/>
        <w:spacing w:before="122"/>
        <w:ind w:left="557"/>
      </w:pPr>
      <w:r>
        <w:rPr>
          <w:color w:val="231F20"/>
        </w:rPr>
        <w:t>不可抗力是指合同当事人在订立合同时不可预见，在合同履行过程中不可避免、不能克服</w:t>
      </w:r>
    </w:p>
    <w:p>
      <w:pPr>
        <w:spacing w:after="0"/>
        <w:sectPr>
          <w:pgSz w:w="11910" w:h="16840"/>
          <w:pgMar w:header="0" w:footer="832" w:top="1580" w:bottom="1020" w:left="1300" w:right="1200"/>
        </w:sectPr>
      </w:pPr>
    </w:p>
    <w:p>
      <w:pPr>
        <w:pStyle w:val="BodyText"/>
        <w:spacing w:line="319" w:lineRule="auto" w:before="24"/>
      </w:pPr>
      <w:r>
        <w:rPr>
          <w:color w:val="231F20"/>
        </w:rPr>
        <w:t>且不能提前防备的自然灾害和社会性突发事件，如地震、海啸、瘟疫、骚乱、戒严、暴动、战争和专用合同条件中约定的其他情形。</w:t>
      </w:r>
    </w:p>
    <w:p>
      <w:pPr>
        <w:pStyle w:val="ListParagraph"/>
        <w:numPr>
          <w:ilvl w:val="1"/>
          <w:numId w:val="95"/>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不可抗力的通知</w:t>
      </w:r>
    </w:p>
    <w:p>
      <w:pPr>
        <w:pStyle w:val="BodyText"/>
        <w:spacing w:line="319" w:lineRule="auto" w:before="121"/>
        <w:ind w:right="113" w:firstLine="440"/>
        <w:jc w:val="right"/>
      </w:pPr>
      <w:r>
        <w:rPr>
          <w:color w:val="231F20"/>
          <w:spacing w:val="-5"/>
        </w:rPr>
        <w:t>合同一方当事人觉察或发现不可抗力事件发生，使其履行合同义务受到阻碍时，有义务立即通知合同另一方当事人和工程师，书面说明不可抗力和受阻碍的详细情况，并提供必要的证明。</w:t>
      </w:r>
      <w:r>
        <w:rPr>
          <w:color w:val="231F20"/>
          <w:spacing w:val="0"/>
        </w:rPr>
        <w:t>不可抗力持续发生的，合同一方当事人应每隔 </w:t>
      </w:r>
      <w:r>
        <w:rPr>
          <w:color w:val="231F20"/>
        </w:rPr>
        <w:t>28</w:t>
      </w:r>
      <w:r>
        <w:rPr>
          <w:color w:val="231F20"/>
          <w:spacing w:val="2"/>
        </w:rPr>
        <w:t> 天向合同另一方当事人和工程师提交中</w:t>
      </w:r>
    </w:p>
    <w:p>
      <w:pPr>
        <w:pStyle w:val="BodyText"/>
        <w:spacing w:line="319" w:lineRule="auto" w:before="25"/>
        <w:ind w:right="95"/>
      </w:pPr>
      <w:r>
        <w:rPr>
          <w:color w:val="231F20"/>
        </w:rPr>
        <w:t>间报告，说明不可抗力和履行合同受阻的情况，并于不可抗力事件结束后 28 天内提交最终报告及有关资料。</w:t>
      </w:r>
    </w:p>
    <w:p>
      <w:pPr>
        <w:pStyle w:val="ListParagraph"/>
        <w:numPr>
          <w:ilvl w:val="1"/>
          <w:numId w:val="95"/>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将损失减至最小的义务</w:t>
      </w:r>
    </w:p>
    <w:p>
      <w:pPr>
        <w:pStyle w:val="BodyText"/>
        <w:spacing w:line="319" w:lineRule="auto" w:before="122"/>
        <w:ind w:right="117" w:firstLine="440"/>
        <w:jc w:val="both"/>
      </w:pPr>
      <w:r>
        <w:rPr>
          <w:color w:val="231F20"/>
        </w:rPr>
        <w:t>不可抗力发生后，合同当事人均应采取措施尽量避免和减少损失的扩大，使不可抗力对履行合同造成的损失减至最小。另一方全力协助并采取措施，需暂停实施的工作，立即停止。任何一方当事人没有采取有效措施导致损失扩大的，应对扩大的损失承担责任。</w:t>
      </w:r>
    </w:p>
    <w:p>
      <w:pPr>
        <w:pStyle w:val="ListParagraph"/>
        <w:numPr>
          <w:ilvl w:val="1"/>
          <w:numId w:val="95"/>
        </w:numPr>
        <w:tabs>
          <w:tab w:pos="1046" w:val="left" w:leader="none"/>
        </w:tabs>
        <w:spacing w:line="240" w:lineRule="auto" w:before="20" w:after="0"/>
        <w:ind w:left="1045" w:right="0" w:hanging="488"/>
        <w:jc w:val="left"/>
        <w:rPr>
          <w:rFonts w:ascii="方正黑体_GBK" w:eastAsia="方正黑体_GBK" w:hint="eastAsia"/>
          <w:sz w:val="22"/>
        </w:rPr>
      </w:pPr>
      <w:r>
        <w:rPr>
          <w:rFonts w:ascii="方正黑体_GBK" w:eastAsia="方正黑体_GBK" w:hint="eastAsia"/>
          <w:color w:val="231F20"/>
          <w:sz w:val="22"/>
        </w:rPr>
        <w:t>不可抗力后果的承担</w:t>
      </w:r>
    </w:p>
    <w:p>
      <w:pPr>
        <w:pStyle w:val="BodyText"/>
        <w:spacing w:line="319" w:lineRule="auto" w:before="122"/>
        <w:ind w:firstLine="440"/>
      </w:pPr>
      <w:r>
        <w:rPr>
          <w:color w:val="231F20"/>
        </w:rPr>
        <w:t>不可抗力导致的人员伤亡、财产损失、费用增加和（或）工期延误等后果，由合同当事人按以下原则承担：</w:t>
      </w:r>
    </w:p>
    <w:p>
      <w:pPr>
        <w:pStyle w:val="BodyText"/>
        <w:spacing w:line="319" w:lineRule="auto" w:before="25"/>
        <w:ind w:right="99" w:firstLine="330"/>
      </w:pPr>
      <w:r>
        <w:rPr>
          <w:color w:val="231F20"/>
        </w:rPr>
        <w:t>（ 1）永久工程，包括已运至施工现场的材料和工程设备的损害，以及因工程损害造成的第三人人员伤亡和财产损失由发包人承担；</w:t>
      </w:r>
    </w:p>
    <w:p>
      <w:pPr>
        <w:pStyle w:val="BodyText"/>
        <w:spacing w:before="25"/>
        <w:ind w:left="447"/>
      </w:pPr>
      <w:r>
        <w:rPr>
          <w:color w:val="231F20"/>
        </w:rPr>
        <w:t>（ 2）承包人提供的施工设备的损坏由承包人承担；</w:t>
      </w:r>
    </w:p>
    <w:p>
      <w:pPr>
        <w:pStyle w:val="BodyText"/>
        <w:ind w:left="447"/>
      </w:pPr>
      <w:r>
        <w:rPr>
          <w:color w:val="231F20"/>
        </w:rPr>
        <w:t>（ 3）发包人和承包人各自承担其人员伤亡及其他财产损失；</w:t>
      </w:r>
    </w:p>
    <w:p>
      <w:pPr>
        <w:pStyle w:val="BodyText"/>
        <w:spacing w:line="319" w:lineRule="auto"/>
        <w:ind w:right="114" w:firstLine="330"/>
        <w:jc w:val="both"/>
      </w:pPr>
      <w:r>
        <w:rPr>
          <w:color w:val="231F20"/>
        </w:rPr>
        <w:t>（ 4）因不可抗力影响承包人履行合同约定的义务，已经引起或将引起工期延误的，应当顺延工期，由此导致承包人停工的费用损失由发包人和承包人合理分担，停工期间必须支付的现场必要的工人工资由发包人承担；</w:t>
      </w:r>
    </w:p>
    <w:p>
      <w:pPr>
        <w:pStyle w:val="BodyText"/>
        <w:spacing w:line="319" w:lineRule="auto" w:before="25"/>
        <w:ind w:right="99" w:firstLine="330"/>
      </w:pPr>
      <w:r>
        <w:rPr>
          <w:color w:val="231F20"/>
        </w:rPr>
        <w:t>（ 5）因不可抗力引起或将引起工期延误，发包人指示赶工的，由此增加的赶工费用由发包人承担；</w:t>
      </w:r>
    </w:p>
    <w:p>
      <w:pPr>
        <w:pStyle w:val="BodyText"/>
        <w:spacing w:line="319" w:lineRule="auto" w:before="25"/>
        <w:ind w:right="99" w:firstLine="330"/>
      </w:pPr>
      <w:r>
        <w:rPr>
          <w:color w:val="231F20"/>
        </w:rPr>
        <w:t>（ 6）承包人在停工期间按照工程师或发包人要求照管、清理和修复工程的费用由发包人承担。</w:t>
      </w:r>
    </w:p>
    <w:p>
      <w:pPr>
        <w:pStyle w:val="BodyText"/>
        <w:spacing w:line="319" w:lineRule="auto" w:before="25"/>
        <w:ind w:firstLine="440"/>
      </w:pPr>
      <w:r>
        <w:rPr>
          <w:color w:val="231F20"/>
        </w:rPr>
        <w:t>不可抗力引起的后果及造成的损失由合同当事人按照法律规定及合同约定各自承担。不可抗力发生前已完成的工程应当按照合同约定进行支付。</w:t>
      </w:r>
    </w:p>
    <w:p>
      <w:pPr>
        <w:pStyle w:val="ListParagraph"/>
        <w:numPr>
          <w:ilvl w:val="1"/>
          <w:numId w:val="95"/>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不可抗力影响分包人</w:t>
      </w:r>
    </w:p>
    <w:p>
      <w:pPr>
        <w:pStyle w:val="BodyText"/>
        <w:spacing w:line="319" w:lineRule="auto" w:before="122"/>
        <w:ind w:firstLine="440"/>
      </w:pPr>
      <w:r>
        <w:rPr>
          <w:color w:val="231F20"/>
        </w:rPr>
        <w:t>分包人根据分包合同的约定，有权获得更多或者更广的不可抗力而免除某些义务时，承包人不得以分包合同中不可抗力约定向发包人抗辩免除其义务。</w:t>
      </w:r>
    </w:p>
    <w:p>
      <w:pPr>
        <w:spacing w:after="0" w:line="319" w:lineRule="auto"/>
        <w:sectPr>
          <w:pgSz w:w="11910" w:h="16840"/>
          <w:pgMar w:header="0" w:footer="832" w:top="1580" w:bottom="1020" w:left="1300" w:right="1300"/>
        </w:sectPr>
      </w:pPr>
    </w:p>
    <w:p>
      <w:pPr>
        <w:pStyle w:val="ListParagraph"/>
        <w:numPr>
          <w:ilvl w:val="1"/>
          <w:numId w:val="95"/>
        </w:numPr>
        <w:tabs>
          <w:tab w:pos="1046" w:val="left" w:leader="none"/>
        </w:tabs>
        <w:spacing w:line="240" w:lineRule="auto" w:before="18" w:after="0"/>
        <w:ind w:left="1045" w:right="0" w:hanging="488"/>
        <w:jc w:val="left"/>
        <w:rPr>
          <w:rFonts w:ascii="方正黑体_GBK" w:eastAsia="方正黑体_GBK" w:hint="eastAsia"/>
          <w:sz w:val="22"/>
        </w:rPr>
      </w:pPr>
      <w:r>
        <w:rPr>
          <w:rFonts w:ascii="方正黑体_GBK" w:eastAsia="方正黑体_GBK" w:hint="eastAsia"/>
          <w:color w:val="231F20"/>
          <w:sz w:val="22"/>
        </w:rPr>
        <w:t>因不可抗力解除合同</w:t>
      </w:r>
    </w:p>
    <w:p>
      <w:pPr>
        <w:pStyle w:val="BodyText"/>
        <w:spacing w:line="319" w:lineRule="auto" w:before="122"/>
        <w:ind w:right="114" w:firstLine="440"/>
        <w:jc w:val="both"/>
      </w:pPr>
      <w:r>
        <w:rPr>
          <w:color w:val="231F20"/>
        </w:rPr>
        <w:t>因单次不可抗力导致合同无法履行连续超过 84 天或累计超过 140 天的，发包人和承包人均有权解除合同。合同解除后，承包人应按照第 10.5 款 [ 竣工退场 ] 的规定进行。由双方当事人按照第 3.6 款 [ 商定或确定 ] 商定或确定发包人应支付的款项，该款项包括：</w:t>
      </w:r>
    </w:p>
    <w:p>
      <w:pPr>
        <w:pStyle w:val="BodyText"/>
        <w:spacing w:before="25"/>
        <w:ind w:left="447"/>
      </w:pPr>
      <w:r>
        <w:rPr>
          <w:color w:val="231F20"/>
        </w:rPr>
        <w:t>（ 1）合同解除前承包人已完成工作的价款；</w:t>
      </w:r>
    </w:p>
    <w:p>
      <w:pPr>
        <w:pStyle w:val="BodyText"/>
        <w:spacing w:line="319" w:lineRule="auto" w:before="108"/>
        <w:ind w:right="112" w:firstLine="330"/>
        <w:jc w:val="both"/>
      </w:pPr>
      <w:r>
        <w:rPr>
          <w:color w:val="231F20"/>
        </w:rPr>
        <w:t>（ </w:t>
      </w:r>
      <w:r>
        <w:rPr>
          <w:color w:val="231F20"/>
          <w:spacing w:val="-19"/>
        </w:rPr>
        <w:t>2）</w:t>
      </w:r>
      <w:r>
        <w:rPr>
          <w:color w:val="231F20"/>
        </w:rPr>
        <w:t>承包人为工程订购的并已交付给承包人，或承包人有责任接受交付的材料、工程设备</w:t>
      </w:r>
      <w:r>
        <w:rPr>
          <w:color w:val="231F20"/>
          <w:spacing w:val="-6"/>
        </w:rPr>
        <w:t>和其他物品的价款；当发包人支付上述费用后，此项材料、工程设备与其他物品应成为发包人的财产，承包人应将其交由发包人处理；</w:t>
      </w:r>
    </w:p>
    <w:p>
      <w:pPr>
        <w:pStyle w:val="BodyText"/>
        <w:spacing w:line="319" w:lineRule="auto" w:before="25"/>
        <w:ind w:right="99" w:firstLine="330"/>
      </w:pPr>
      <w:r>
        <w:rPr>
          <w:color w:val="231F20"/>
        </w:rPr>
        <w:t>（ 3）发包人指示承包人退货或解除订货合同而产生的费用，或因不能退货或解除合同而产生的损失；</w:t>
      </w:r>
    </w:p>
    <w:p>
      <w:pPr>
        <w:pStyle w:val="BodyText"/>
        <w:spacing w:before="25"/>
        <w:ind w:left="447"/>
      </w:pPr>
      <w:r>
        <w:rPr>
          <w:color w:val="231F20"/>
        </w:rPr>
        <w:t>（ 4）承包人撤离施工现场以及遣散承包人人员的费用；</w:t>
      </w:r>
    </w:p>
    <w:p>
      <w:pPr>
        <w:pStyle w:val="BodyText"/>
        <w:spacing w:before="108"/>
        <w:ind w:left="447"/>
      </w:pPr>
      <w:r>
        <w:rPr>
          <w:color w:val="231F20"/>
        </w:rPr>
        <w:t>（ 5）按照合同约定在合同解除前应支付给承包人的其他款项；</w:t>
      </w:r>
    </w:p>
    <w:p>
      <w:pPr>
        <w:pStyle w:val="BodyText"/>
        <w:spacing w:before="108"/>
        <w:ind w:left="447"/>
      </w:pPr>
      <w:r>
        <w:rPr>
          <w:color w:val="231F20"/>
        </w:rPr>
        <w:t>（ 6）扣减承包人按照合同约定应向发包人支付的款项；</w:t>
      </w:r>
    </w:p>
    <w:p>
      <w:pPr>
        <w:pStyle w:val="BodyText"/>
        <w:spacing w:before="108"/>
        <w:ind w:left="447"/>
      </w:pPr>
      <w:r>
        <w:rPr>
          <w:color w:val="231F20"/>
        </w:rPr>
        <w:t>（ 7）双方商定或确定的其他款项。</w:t>
      </w:r>
    </w:p>
    <w:p>
      <w:pPr>
        <w:pStyle w:val="BodyText"/>
        <w:spacing w:line="319" w:lineRule="auto" w:before="108"/>
        <w:ind w:right="110" w:firstLine="440"/>
        <w:jc w:val="both"/>
      </w:pPr>
      <w:r>
        <w:rPr>
          <w:color w:val="231F20"/>
        </w:rPr>
        <w:t>除专用合同条件另有约定外，合同解除后，发包人应当在商定或确定上述款项后 28 天内完成上述款项的支付。</w:t>
      </w:r>
    </w:p>
    <w:p>
      <w:pPr>
        <w:pStyle w:val="BodyText"/>
        <w:tabs>
          <w:tab w:pos="1131" w:val="left" w:leader="none"/>
        </w:tabs>
        <w:spacing w:before="19"/>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18</w:t>
      </w:r>
      <w:r>
        <w:rPr>
          <w:rFonts w:ascii="方正黑体_GBK" w:eastAsia="方正黑体_GBK" w:hint="eastAsia"/>
          <w:color w:val="231F20"/>
          <w:spacing w:val="-7"/>
        </w:rPr>
        <w:t> </w:t>
      </w:r>
      <w:r>
        <w:rPr>
          <w:rFonts w:ascii="方正黑体_GBK" w:eastAsia="方正黑体_GBK" w:hint="eastAsia"/>
          <w:color w:val="231F20"/>
        </w:rPr>
        <w:t>条</w:t>
        <w:tab/>
        <w:t>保险</w:t>
      </w:r>
    </w:p>
    <w:p>
      <w:pPr>
        <w:pStyle w:val="ListParagraph"/>
        <w:numPr>
          <w:ilvl w:val="1"/>
          <w:numId w:val="96"/>
        </w:numPr>
        <w:tabs>
          <w:tab w:pos="1046" w:val="left" w:leader="none"/>
        </w:tabs>
        <w:spacing w:line="240" w:lineRule="auto" w:before="116" w:after="0"/>
        <w:ind w:left="1045" w:right="0" w:hanging="488"/>
        <w:jc w:val="left"/>
        <w:rPr>
          <w:rFonts w:ascii="方正黑体_GBK" w:eastAsia="方正黑体_GBK" w:hint="eastAsia"/>
          <w:sz w:val="22"/>
        </w:rPr>
      </w:pPr>
      <w:r>
        <w:rPr>
          <w:rFonts w:ascii="方正黑体_GBK" w:eastAsia="方正黑体_GBK" w:hint="eastAsia"/>
          <w:color w:val="231F20"/>
          <w:sz w:val="22"/>
        </w:rPr>
        <w:t>设计和工程保险</w:t>
      </w:r>
    </w:p>
    <w:p>
      <w:pPr>
        <w:pStyle w:val="ListParagraph"/>
        <w:numPr>
          <w:ilvl w:val="2"/>
          <w:numId w:val="96"/>
        </w:numPr>
        <w:tabs>
          <w:tab w:pos="1178" w:val="left" w:leader="none"/>
        </w:tabs>
        <w:spacing w:line="319" w:lineRule="auto" w:before="122" w:after="0"/>
        <w:ind w:left="117" w:right="110" w:firstLine="440"/>
        <w:jc w:val="both"/>
        <w:rPr>
          <w:sz w:val="22"/>
        </w:rPr>
      </w:pPr>
      <w:r>
        <w:rPr>
          <w:color w:val="231F20"/>
          <w:sz w:val="22"/>
        </w:rPr>
        <w:t>双方应按照专用合同条件的约定向双方同意的保险人投保建设工程设计责任险、建筑安装工程一切险等保险。具体的投保险种、保险范围、保险金额、保险费率、保险期限等有关内容应当在专用合同条件中明确约定。</w:t>
      </w:r>
    </w:p>
    <w:p>
      <w:pPr>
        <w:pStyle w:val="ListParagraph"/>
        <w:numPr>
          <w:ilvl w:val="2"/>
          <w:numId w:val="96"/>
        </w:numPr>
        <w:tabs>
          <w:tab w:pos="1178" w:val="left" w:leader="none"/>
        </w:tabs>
        <w:spacing w:line="319" w:lineRule="auto" w:before="25" w:after="0"/>
        <w:ind w:left="117" w:right="114" w:firstLine="440"/>
        <w:jc w:val="both"/>
        <w:rPr>
          <w:sz w:val="22"/>
        </w:rPr>
      </w:pPr>
      <w:r>
        <w:rPr>
          <w:color w:val="231F20"/>
          <w:sz w:val="22"/>
        </w:rPr>
        <w:t>双方应按照专用合同条件的约定投保第三者责任险，并在缺陷责任期终止证书颁发前维持其持续有效。第三者责任险最低投保额应在专用合同条件内约定。</w:t>
      </w:r>
    </w:p>
    <w:p>
      <w:pPr>
        <w:pStyle w:val="ListParagraph"/>
        <w:numPr>
          <w:ilvl w:val="1"/>
          <w:numId w:val="97"/>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工伤和意外伤害保险</w:t>
      </w:r>
    </w:p>
    <w:p>
      <w:pPr>
        <w:pStyle w:val="ListParagraph"/>
        <w:numPr>
          <w:ilvl w:val="2"/>
          <w:numId w:val="97"/>
        </w:numPr>
        <w:tabs>
          <w:tab w:pos="1209" w:val="left" w:leader="none"/>
        </w:tabs>
        <w:spacing w:line="319" w:lineRule="auto" w:before="122" w:after="0"/>
        <w:ind w:left="117" w:right="105" w:firstLine="440"/>
        <w:jc w:val="both"/>
        <w:rPr>
          <w:sz w:val="22"/>
        </w:rPr>
      </w:pPr>
      <w:r>
        <w:rPr>
          <w:color w:val="231F20"/>
          <w:spacing w:val="5"/>
          <w:sz w:val="22"/>
        </w:rPr>
        <w:t>发包人应依照法律规定为其在施工现场的雇用人员办理工伤保险，缴纳工伤保险</w:t>
      </w:r>
      <w:r>
        <w:rPr>
          <w:color w:val="231F20"/>
          <w:spacing w:val="-1"/>
          <w:sz w:val="22"/>
        </w:rPr>
        <w:t>费；并要求工程师及由发包人为履行合同聘请的第三方在施工现场的雇用人员依法办理工伤</w:t>
      </w:r>
      <w:r>
        <w:rPr>
          <w:color w:val="231F20"/>
          <w:spacing w:val="2"/>
          <w:sz w:val="22"/>
        </w:rPr>
        <w:t>保险。</w:t>
      </w:r>
    </w:p>
    <w:p>
      <w:pPr>
        <w:pStyle w:val="ListParagraph"/>
        <w:numPr>
          <w:ilvl w:val="2"/>
          <w:numId w:val="97"/>
        </w:numPr>
        <w:tabs>
          <w:tab w:pos="1178" w:val="left" w:leader="none"/>
        </w:tabs>
        <w:spacing w:line="319" w:lineRule="auto" w:before="26" w:after="0"/>
        <w:ind w:left="117" w:right="114" w:firstLine="440"/>
        <w:jc w:val="both"/>
        <w:rPr>
          <w:sz w:val="22"/>
        </w:rPr>
      </w:pPr>
      <w:r>
        <w:rPr>
          <w:color w:val="231F20"/>
          <w:sz w:val="22"/>
        </w:rPr>
        <w:t>承包人应依照法律规定为其履行合同雇用的全部人员办理工伤保险，缴纳工伤保险费，并要求分包人及由承包人为履行合同聘请的第三方雇用的全部人员依法办理工伤保险。</w:t>
      </w:r>
    </w:p>
    <w:p>
      <w:pPr>
        <w:pStyle w:val="ListParagraph"/>
        <w:numPr>
          <w:ilvl w:val="2"/>
          <w:numId w:val="97"/>
        </w:numPr>
        <w:tabs>
          <w:tab w:pos="1178" w:val="left" w:leader="none"/>
        </w:tabs>
        <w:spacing w:line="319" w:lineRule="auto" w:before="26" w:after="0"/>
        <w:ind w:left="117" w:right="114" w:firstLine="440"/>
        <w:jc w:val="both"/>
        <w:rPr>
          <w:sz w:val="22"/>
        </w:rPr>
      </w:pPr>
      <w:r>
        <w:rPr>
          <w:color w:val="231F20"/>
          <w:sz w:val="22"/>
        </w:rPr>
        <w:t>发包人和承包人可以为其施工现场的全部人员办理意外伤害保险并支付保险费，包括其员工及为履行合同聘请的第三方的人员，具体事项由合同当事人在专用合同条件约定。</w:t>
      </w:r>
    </w:p>
    <w:p>
      <w:pPr>
        <w:spacing w:after="0" w:line="319" w:lineRule="auto"/>
        <w:jc w:val="both"/>
        <w:rPr>
          <w:sz w:val="22"/>
        </w:rPr>
        <w:sectPr>
          <w:pgSz w:w="11910" w:h="16840"/>
          <w:pgMar w:header="0" w:footer="832" w:top="1580" w:bottom="1020" w:left="1300" w:right="1300"/>
        </w:sectPr>
      </w:pPr>
    </w:p>
    <w:p>
      <w:pPr>
        <w:pStyle w:val="ListParagraph"/>
        <w:numPr>
          <w:ilvl w:val="1"/>
          <w:numId w:val="98"/>
        </w:numPr>
        <w:tabs>
          <w:tab w:pos="1046" w:val="left" w:leader="none"/>
        </w:tabs>
        <w:spacing w:line="240" w:lineRule="auto" w:before="18" w:after="0"/>
        <w:ind w:left="1045" w:right="0" w:hanging="488"/>
        <w:jc w:val="left"/>
        <w:rPr>
          <w:rFonts w:ascii="方正黑体_GBK" w:eastAsia="方正黑体_GBK" w:hint="eastAsia"/>
          <w:sz w:val="22"/>
        </w:rPr>
      </w:pPr>
      <w:r>
        <w:rPr>
          <w:rFonts w:ascii="方正黑体_GBK" w:eastAsia="方正黑体_GBK" w:hint="eastAsia"/>
          <w:color w:val="231F20"/>
          <w:sz w:val="22"/>
        </w:rPr>
        <w:t>货物保险</w:t>
      </w:r>
    </w:p>
    <w:p>
      <w:pPr>
        <w:pStyle w:val="BodyText"/>
        <w:spacing w:line="319" w:lineRule="auto" w:before="122"/>
        <w:ind w:firstLine="440"/>
      </w:pPr>
      <w:r>
        <w:rPr>
          <w:color w:val="231F20"/>
        </w:rPr>
        <w:t>承包人应按照专用合同条件的约定为运抵现场的施工设备、材料、工程设备和临时工程等办理财产保险，保险期限自上述货物运抵现场至其不再为工程所需要为止。</w:t>
      </w:r>
    </w:p>
    <w:p>
      <w:pPr>
        <w:pStyle w:val="ListParagraph"/>
        <w:numPr>
          <w:ilvl w:val="1"/>
          <w:numId w:val="98"/>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其他保险</w:t>
      </w:r>
    </w:p>
    <w:p>
      <w:pPr>
        <w:pStyle w:val="BodyText"/>
        <w:spacing w:line="319" w:lineRule="auto" w:before="121"/>
        <w:ind w:right="114" w:firstLine="440"/>
        <w:jc w:val="both"/>
      </w:pPr>
      <w:r>
        <w:rPr>
          <w:color w:val="231F20"/>
        </w:rPr>
        <w:t>发包人应按照工程总承包模式所适用的法律法规和专用合同条件约定，投保其他保险并保持保险有效，其投保费用发包人自行承担。承包人应按照工程总承包模式所适用法律法规和专用合同条件约定投保相应保险并保持保险有效，其投保费用包含在合同价格中，但在合同执行过程中，新颁布适用的法律法规规定由承包人投保的强制保险，应根据本合同第 13 条[ 变更与调整 ] 的约定增加合同价款。</w:t>
      </w:r>
    </w:p>
    <w:p>
      <w:pPr>
        <w:pStyle w:val="ListParagraph"/>
        <w:numPr>
          <w:ilvl w:val="1"/>
          <w:numId w:val="98"/>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对各项保险的一般要求</w:t>
      </w:r>
    </w:p>
    <w:p>
      <w:pPr>
        <w:pStyle w:val="ListParagraph"/>
        <w:numPr>
          <w:ilvl w:val="2"/>
          <w:numId w:val="98"/>
        </w:numPr>
        <w:tabs>
          <w:tab w:pos="1157" w:val="left" w:leader="none"/>
        </w:tabs>
        <w:spacing w:line="240" w:lineRule="auto" w:before="122" w:after="0"/>
        <w:ind w:left="1156" w:right="0" w:hanging="599"/>
        <w:jc w:val="left"/>
        <w:rPr>
          <w:sz w:val="22"/>
        </w:rPr>
      </w:pPr>
      <w:r>
        <w:rPr>
          <w:color w:val="231F20"/>
          <w:sz w:val="22"/>
        </w:rPr>
        <w:t>持续保险</w:t>
      </w:r>
    </w:p>
    <w:p>
      <w:pPr>
        <w:pStyle w:val="BodyText"/>
        <w:spacing w:line="319" w:lineRule="auto"/>
        <w:ind w:firstLine="440"/>
      </w:pPr>
      <w:r>
        <w:rPr>
          <w:color w:val="231F20"/>
        </w:rPr>
        <w:t>合同当事人应与保险人保持联系，使保险人能够随时了解工程实施中的变动，并确保按保险合同条款要求持续保险。</w:t>
      </w:r>
    </w:p>
    <w:p>
      <w:pPr>
        <w:pStyle w:val="ListParagraph"/>
        <w:numPr>
          <w:ilvl w:val="2"/>
          <w:numId w:val="98"/>
        </w:numPr>
        <w:tabs>
          <w:tab w:pos="1157" w:val="left" w:leader="none"/>
        </w:tabs>
        <w:spacing w:line="240" w:lineRule="auto" w:before="25" w:after="0"/>
        <w:ind w:left="1156" w:right="0" w:hanging="599"/>
        <w:jc w:val="left"/>
        <w:rPr>
          <w:sz w:val="22"/>
        </w:rPr>
      </w:pPr>
      <w:r>
        <w:rPr>
          <w:color w:val="231F20"/>
          <w:sz w:val="22"/>
        </w:rPr>
        <w:t>保险凭证</w:t>
      </w:r>
    </w:p>
    <w:p>
      <w:pPr>
        <w:pStyle w:val="BodyText"/>
        <w:spacing w:line="319" w:lineRule="auto" w:before="108"/>
        <w:ind w:firstLine="440"/>
      </w:pPr>
      <w:r>
        <w:rPr>
          <w:color w:val="231F20"/>
        </w:rPr>
        <w:t>合同当事人应及时向另一方当事人提交其已投保的各项保险的凭证和保险单复印件，保险单必须与专用合同条件约定的条件保持一致。</w:t>
      </w:r>
    </w:p>
    <w:p>
      <w:pPr>
        <w:pStyle w:val="ListParagraph"/>
        <w:numPr>
          <w:ilvl w:val="2"/>
          <w:numId w:val="98"/>
        </w:numPr>
        <w:tabs>
          <w:tab w:pos="1157" w:val="left" w:leader="none"/>
        </w:tabs>
        <w:spacing w:line="240" w:lineRule="auto" w:before="25" w:after="0"/>
        <w:ind w:left="1156" w:right="0" w:hanging="599"/>
        <w:jc w:val="left"/>
        <w:rPr>
          <w:sz w:val="22"/>
        </w:rPr>
      </w:pPr>
      <w:r>
        <w:rPr>
          <w:color w:val="231F20"/>
          <w:sz w:val="22"/>
        </w:rPr>
        <w:t>未按约定投保的补救</w:t>
      </w:r>
    </w:p>
    <w:p>
      <w:pPr>
        <w:pStyle w:val="BodyText"/>
        <w:spacing w:line="319" w:lineRule="auto"/>
        <w:ind w:firstLine="440"/>
      </w:pPr>
      <w:r>
        <w:rPr>
          <w:color w:val="231F20"/>
        </w:rPr>
        <w:t>负有投保义务的一方当事人未按合同约定办理保险，或未能使保险持续有效的，则另一方当事人可代为办理，所需费用由负有投保义务的一方当事人承担。</w:t>
      </w:r>
    </w:p>
    <w:p>
      <w:pPr>
        <w:pStyle w:val="BodyText"/>
        <w:spacing w:line="319" w:lineRule="auto" w:before="26"/>
        <w:ind w:firstLine="440"/>
      </w:pPr>
      <w:r>
        <w:rPr>
          <w:color w:val="231F20"/>
        </w:rPr>
        <w:t>负有投保义务的一方当事人未按合同约定办理某项保险，导致受益人未能得到足额赔偿的，由负有投保义务的一方当事人负责按照原应从该项保险得到的保险金数额进行补足。</w:t>
      </w:r>
    </w:p>
    <w:p>
      <w:pPr>
        <w:pStyle w:val="ListParagraph"/>
        <w:numPr>
          <w:ilvl w:val="2"/>
          <w:numId w:val="98"/>
        </w:numPr>
        <w:tabs>
          <w:tab w:pos="1157" w:val="left" w:leader="none"/>
        </w:tabs>
        <w:spacing w:line="240" w:lineRule="auto" w:before="26" w:after="0"/>
        <w:ind w:left="1156" w:right="0" w:hanging="599"/>
        <w:jc w:val="left"/>
        <w:rPr>
          <w:sz w:val="22"/>
        </w:rPr>
      </w:pPr>
      <w:r>
        <w:rPr>
          <w:color w:val="231F20"/>
          <w:sz w:val="22"/>
        </w:rPr>
        <w:t>通知义务</w:t>
      </w:r>
    </w:p>
    <w:p>
      <w:pPr>
        <w:pStyle w:val="BodyText"/>
        <w:spacing w:line="319" w:lineRule="auto"/>
        <w:ind w:firstLine="440"/>
      </w:pPr>
      <w:r>
        <w:rPr>
          <w:color w:val="231F20"/>
        </w:rPr>
        <w:t>除专用合同条件另有约定外，任何一方当事人变更除工伤保险之外的保险合同时，应事先征得另一方当事人同意，并通知工程师。</w:t>
      </w:r>
    </w:p>
    <w:p>
      <w:pPr>
        <w:pStyle w:val="BodyText"/>
        <w:spacing w:line="319" w:lineRule="auto" w:before="25"/>
        <w:ind w:firstLine="440"/>
      </w:pPr>
      <w:r>
        <w:rPr>
          <w:color w:val="231F20"/>
        </w:rPr>
        <w:t>保险事故发生时，投保人应按照保险合同规定的条件和期限及时向保险人报告。发包人和承包人应当在知道保险事故发生后及时通知对方。</w:t>
      </w:r>
    </w:p>
    <w:p>
      <w:pPr>
        <w:pStyle w:val="BodyText"/>
        <w:spacing w:before="25"/>
        <w:ind w:left="557"/>
      </w:pPr>
      <w:r>
        <w:rPr>
          <w:color w:val="231F20"/>
        </w:rPr>
        <w:t>双方按本条规定投保不减少双方在合同下的其他义务。</w:t>
      </w:r>
    </w:p>
    <w:p>
      <w:pPr>
        <w:pStyle w:val="BodyText"/>
        <w:tabs>
          <w:tab w:pos="1131" w:val="left" w:leader="none"/>
        </w:tabs>
        <w:spacing w:before="103"/>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19</w:t>
      </w:r>
      <w:r>
        <w:rPr>
          <w:rFonts w:ascii="方正黑体_GBK" w:eastAsia="方正黑体_GBK" w:hint="eastAsia"/>
          <w:color w:val="231F20"/>
          <w:spacing w:val="-7"/>
        </w:rPr>
        <w:t> </w:t>
      </w:r>
      <w:r>
        <w:rPr>
          <w:rFonts w:ascii="方正黑体_GBK" w:eastAsia="方正黑体_GBK" w:hint="eastAsia"/>
          <w:color w:val="231F20"/>
        </w:rPr>
        <w:t>条</w:t>
        <w:tab/>
        <w:t>索赔</w:t>
      </w:r>
    </w:p>
    <w:p>
      <w:pPr>
        <w:pStyle w:val="ListParagraph"/>
        <w:numPr>
          <w:ilvl w:val="1"/>
          <w:numId w:val="99"/>
        </w:numPr>
        <w:tabs>
          <w:tab w:pos="1046" w:val="left" w:leader="none"/>
        </w:tabs>
        <w:spacing w:line="240" w:lineRule="auto" w:before="116" w:after="0"/>
        <w:ind w:left="1045" w:right="0" w:hanging="488"/>
        <w:jc w:val="left"/>
        <w:rPr>
          <w:rFonts w:ascii="方正黑体_GBK" w:eastAsia="方正黑体_GBK" w:hint="eastAsia"/>
          <w:sz w:val="22"/>
        </w:rPr>
      </w:pPr>
      <w:r>
        <w:rPr>
          <w:rFonts w:ascii="方正黑体_GBK" w:eastAsia="方正黑体_GBK" w:hint="eastAsia"/>
          <w:color w:val="231F20"/>
          <w:sz w:val="22"/>
        </w:rPr>
        <w:t>索赔的提出</w:t>
      </w:r>
    </w:p>
    <w:p>
      <w:pPr>
        <w:pStyle w:val="BodyText"/>
        <w:spacing w:line="319" w:lineRule="auto" w:before="122"/>
        <w:ind w:right="95" w:firstLine="440"/>
      </w:pPr>
      <w:r>
        <w:rPr>
          <w:color w:val="231F20"/>
        </w:rPr>
        <w:t>根据合同约定，任意一方认为有权得到追加 / 减少付款、延长缺陷责任期和（或）延长工期的，应按以下程序向对方提出索赔：</w:t>
      </w:r>
    </w:p>
    <w:p>
      <w:pPr>
        <w:spacing w:after="0" w:line="319" w:lineRule="auto"/>
        <w:sectPr>
          <w:pgSz w:w="11910" w:h="16840"/>
          <w:pgMar w:header="0" w:footer="832" w:top="1580" w:bottom="1020" w:left="1300" w:right="1300"/>
        </w:sectPr>
      </w:pPr>
    </w:p>
    <w:p>
      <w:pPr>
        <w:pStyle w:val="BodyText"/>
        <w:spacing w:line="319" w:lineRule="auto" w:before="24"/>
        <w:ind w:right="215" w:firstLine="330"/>
      </w:pPr>
      <w:r>
        <w:rPr>
          <w:color w:val="231F20"/>
        </w:rPr>
        <w:t>（ 1）索赔方应在知道或应当知道索赔事件发生后 28 天内，向对方递交索赔意向通知书， 并说明发生索赔事件的事由；索赔方未在前述 28 天内发出索赔意向通知书的，丧失要求追加 / 减少付款、延长缺陷责任期和（或）延长工期的权利；</w:t>
      </w:r>
    </w:p>
    <w:p>
      <w:pPr>
        <w:pStyle w:val="BodyText"/>
        <w:spacing w:line="319" w:lineRule="auto" w:before="26"/>
        <w:ind w:right="216" w:firstLine="330"/>
        <w:jc w:val="both"/>
      </w:pPr>
      <w:r>
        <w:rPr>
          <w:color w:val="231F20"/>
        </w:rPr>
        <w:t>（ </w:t>
      </w:r>
      <w:r>
        <w:rPr>
          <w:color w:val="231F20"/>
          <w:spacing w:val="-19"/>
        </w:rPr>
        <w:t>2）</w:t>
      </w:r>
      <w:r>
        <w:rPr>
          <w:color w:val="231F20"/>
        </w:rPr>
        <w:t>索赔方应在发出索赔意向通知书后 28</w:t>
      </w:r>
      <w:r>
        <w:rPr>
          <w:color w:val="231F20"/>
          <w:spacing w:val="-4"/>
        </w:rPr>
        <w:t> 天内，向对方正式递交索赔报告；索赔报告应详细说明索赔理由以及要求追加的付款金额、延长缺陷责任期和（或）延长的工期，并附必要的记录和证明材料；</w:t>
      </w:r>
    </w:p>
    <w:p>
      <w:pPr>
        <w:pStyle w:val="BodyText"/>
        <w:spacing w:line="319" w:lineRule="auto" w:before="26"/>
        <w:ind w:right="214" w:firstLine="330"/>
        <w:jc w:val="both"/>
      </w:pPr>
      <w:r>
        <w:rPr>
          <w:color w:val="231F20"/>
        </w:rPr>
        <w:t>（ 3）索赔事件具有持续影响的，索赔方应每月递交延续索赔通知，说明持续影响的实际情况和记录，列出累计的追加付款金额、延长缺陷责任期和（或）工期延长天数；</w:t>
      </w:r>
    </w:p>
    <w:p>
      <w:pPr>
        <w:pStyle w:val="BodyText"/>
        <w:spacing w:line="319" w:lineRule="auto" w:before="26"/>
        <w:ind w:right="212" w:firstLine="330"/>
        <w:jc w:val="both"/>
      </w:pPr>
      <w:r>
        <w:rPr>
          <w:color w:val="231F20"/>
        </w:rPr>
        <w:t>（ 4）在索赔事件影响结束后 28 天内，索赔方应向对方递交最终索赔报告，说明最终要求索赔的追加付款金额、延长缺陷责任期和（或）延长的工期，并附必要的记录和证明材料。</w:t>
      </w:r>
    </w:p>
    <w:p>
      <w:pPr>
        <w:pStyle w:val="BodyText"/>
        <w:spacing w:line="319" w:lineRule="auto" w:before="26"/>
        <w:ind w:right="205" w:firstLine="330"/>
        <w:jc w:val="both"/>
      </w:pPr>
      <w:r>
        <w:rPr>
          <w:color w:val="231F20"/>
        </w:rPr>
        <w:t>（ </w:t>
      </w:r>
      <w:r>
        <w:rPr>
          <w:color w:val="231F20"/>
          <w:spacing w:val="-15"/>
        </w:rPr>
        <w:t>5）</w:t>
      </w:r>
      <w:r>
        <w:rPr>
          <w:color w:val="231F20"/>
          <w:spacing w:val="5"/>
        </w:rPr>
        <w:t>承包人作为索赔方时，其索赔意向通知书、索赔报告及相关索赔文件应向工程师提</w:t>
      </w:r>
      <w:r>
        <w:rPr>
          <w:color w:val="231F20"/>
          <w:spacing w:val="-8"/>
        </w:rPr>
        <w:t>出；发包人作为索赔方时，其索赔意向通知书、索赔报告及相关索赔文件可自行向承包人提出或由工程师向承包人提出。</w:t>
      </w:r>
    </w:p>
    <w:p>
      <w:pPr>
        <w:pStyle w:val="ListParagraph"/>
        <w:numPr>
          <w:ilvl w:val="1"/>
          <w:numId w:val="99"/>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承包人索赔的处理程序</w:t>
      </w:r>
    </w:p>
    <w:p>
      <w:pPr>
        <w:pStyle w:val="BodyText"/>
        <w:spacing w:line="319" w:lineRule="auto" w:before="121"/>
        <w:ind w:right="214" w:firstLine="330"/>
        <w:jc w:val="both"/>
      </w:pPr>
      <w:r>
        <w:rPr>
          <w:color w:val="231F20"/>
        </w:rPr>
        <w:t>（ 1）工程师收到承包人提交的索赔报告后，应及时审查索赔报告的内容、查验承包人的记录和证明材料，必要时工程师可要求承包人提交全部原始记录副本。</w:t>
      </w:r>
    </w:p>
    <w:p>
      <w:pPr>
        <w:pStyle w:val="BodyText"/>
        <w:spacing w:line="319" w:lineRule="auto" w:before="25"/>
        <w:ind w:right="209" w:firstLine="330"/>
        <w:jc w:val="both"/>
      </w:pPr>
      <w:r>
        <w:rPr>
          <w:color w:val="231F20"/>
        </w:rPr>
        <w:t>（ </w:t>
      </w:r>
      <w:r>
        <w:rPr>
          <w:color w:val="231F20"/>
          <w:spacing w:val="-20"/>
        </w:rPr>
        <w:t>2）</w:t>
      </w:r>
      <w:r>
        <w:rPr>
          <w:color w:val="231F20"/>
          <w:spacing w:val="-1"/>
        </w:rPr>
        <w:t>工程师应按第 </w:t>
      </w:r>
      <w:r>
        <w:rPr>
          <w:color w:val="231F20"/>
        </w:rPr>
        <w:t>3.6</w:t>
      </w:r>
      <w:r>
        <w:rPr>
          <w:color w:val="231F20"/>
          <w:spacing w:val="-1"/>
        </w:rPr>
        <w:t> 款 [ 商定或确定 ] 商定或确定追加的付款和</w:t>
      </w:r>
      <w:r>
        <w:rPr>
          <w:color w:val="231F20"/>
        </w:rPr>
        <w:t>（或）延长的工期，并在</w:t>
      </w:r>
      <w:r>
        <w:rPr>
          <w:color w:val="231F20"/>
          <w:spacing w:val="0"/>
        </w:rPr>
        <w:t>收到上述索赔报告或有关索赔的进一步证明材料后及时书面告知发包人，并在 </w:t>
      </w:r>
      <w:r>
        <w:rPr>
          <w:color w:val="231F20"/>
        </w:rPr>
        <w:t>42</w:t>
      </w:r>
      <w:r>
        <w:rPr>
          <w:color w:val="231F20"/>
          <w:spacing w:val="2"/>
        </w:rPr>
        <w:t> 天内，将发</w:t>
      </w:r>
      <w:r>
        <w:rPr>
          <w:color w:val="231F20"/>
        </w:rPr>
        <w:t>包人书面认可的索赔处理结果答复承包人。工程师在收到索赔报告或有关索赔的进一步证明材</w:t>
      </w:r>
      <w:r>
        <w:rPr>
          <w:color w:val="231F20"/>
          <w:spacing w:val="-1"/>
        </w:rPr>
        <w:t>料后的 </w:t>
      </w:r>
      <w:r>
        <w:rPr>
          <w:color w:val="231F20"/>
        </w:rPr>
        <w:t>42</w:t>
      </w:r>
      <w:r>
        <w:rPr>
          <w:color w:val="231F20"/>
          <w:spacing w:val="-1"/>
        </w:rPr>
        <w:t> 天内不予答复的，视为认可索赔。</w:t>
      </w:r>
    </w:p>
    <w:p>
      <w:pPr>
        <w:pStyle w:val="BodyText"/>
        <w:spacing w:line="319" w:lineRule="auto" w:before="25"/>
        <w:ind w:right="93" w:firstLine="330"/>
      </w:pPr>
      <w:r>
        <w:rPr>
          <w:color w:val="231F20"/>
        </w:rPr>
        <w:t>（ 3）承包人接受索赔处理结果的，发包人应在作出索赔处理结果答复后 28 天内完成支付。承包人不接受索赔处理结果的，按照第 20 条 [ 争议解决 ] 约定处理。</w:t>
      </w:r>
    </w:p>
    <w:p>
      <w:pPr>
        <w:pStyle w:val="ListParagraph"/>
        <w:numPr>
          <w:ilvl w:val="1"/>
          <w:numId w:val="99"/>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发包人索赔的处理程序</w:t>
      </w:r>
    </w:p>
    <w:p>
      <w:pPr>
        <w:pStyle w:val="BodyText"/>
        <w:spacing w:before="122"/>
        <w:ind w:left="447"/>
      </w:pPr>
      <w:r>
        <w:rPr>
          <w:color w:val="231F20"/>
        </w:rPr>
        <w:t>（ </w:t>
      </w:r>
      <w:r>
        <w:rPr>
          <w:color w:val="231F20"/>
          <w:spacing w:val="-28"/>
        </w:rPr>
        <w:t>1）</w:t>
      </w:r>
      <w:r>
        <w:rPr>
          <w:color w:val="231F20"/>
          <w:spacing w:val="-14"/>
        </w:rPr>
        <w:t>承包人收到发包人提交的索赔报告后，应及时审查索赔报告的内容、查验发包人证明材料；</w:t>
      </w:r>
    </w:p>
    <w:p>
      <w:pPr>
        <w:pStyle w:val="BodyText"/>
        <w:spacing w:line="319" w:lineRule="auto"/>
        <w:ind w:right="207" w:firstLine="330"/>
        <w:jc w:val="both"/>
      </w:pPr>
      <w:r>
        <w:rPr>
          <w:color w:val="231F20"/>
        </w:rPr>
        <w:t>（ 2）承包人应在收到上述索赔报告或有关索赔的进一步证明材料后 42 天内，将索赔处理结果答复发包人。承包人在收到索赔通知书或有关索赔的进一步证明材料后的 42 天内不予答复的，视为认可索赔。</w:t>
      </w:r>
    </w:p>
    <w:p>
      <w:pPr>
        <w:pStyle w:val="BodyText"/>
        <w:spacing w:line="319" w:lineRule="auto" w:before="25"/>
        <w:ind w:right="212" w:firstLine="330"/>
        <w:jc w:val="both"/>
      </w:pPr>
      <w:r>
        <w:rPr>
          <w:color w:val="231F20"/>
        </w:rPr>
        <w:t>（ 3）发包人接受索赔处理结果的，发包人可从应支付给承包人的合同价款中扣除赔付的金额或延长缺陷责任期；发包人不接受索赔处理结果的，按第 20 条 [ 争议解决 ] 约定处理。</w:t>
      </w:r>
    </w:p>
    <w:p>
      <w:pPr>
        <w:pStyle w:val="ListParagraph"/>
        <w:numPr>
          <w:ilvl w:val="1"/>
          <w:numId w:val="99"/>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提出索赔的期限</w:t>
      </w:r>
    </w:p>
    <w:p>
      <w:pPr>
        <w:pStyle w:val="BodyText"/>
        <w:spacing w:before="122"/>
        <w:ind w:left="447"/>
      </w:pPr>
      <w:r>
        <w:rPr>
          <w:color w:val="231F20"/>
        </w:rPr>
        <w:t>（ 1）承包人按第 14.5 款 [ 竣工结算 ] 约定接收竣工付款证书后，应被认为已无权再提出在</w:t>
      </w:r>
    </w:p>
    <w:p>
      <w:pPr>
        <w:spacing w:after="0"/>
        <w:sectPr>
          <w:pgSz w:w="11910" w:h="16840"/>
          <w:pgMar w:header="0" w:footer="832" w:top="1580" w:bottom="1020" w:left="1300" w:right="1200"/>
        </w:sectPr>
      </w:pPr>
    </w:p>
    <w:p>
      <w:pPr>
        <w:pStyle w:val="BodyText"/>
        <w:spacing w:before="24"/>
      </w:pPr>
      <w:r>
        <w:rPr>
          <w:color w:val="231F20"/>
        </w:rPr>
        <w:t>合同工程接收证书颁发前所发生的任何索赔。</w:t>
      </w:r>
    </w:p>
    <w:p>
      <w:pPr>
        <w:pStyle w:val="BodyText"/>
        <w:spacing w:line="319" w:lineRule="auto"/>
        <w:ind w:firstLine="330"/>
      </w:pPr>
      <w:r>
        <w:rPr>
          <w:color w:val="231F20"/>
        </w:rPr>
        <w:t>（ 2）承包人按第 14.7 款 [ 最终结清 ] 提交的最终结清申请单中，只限于提出工程接收证书颁发后发生的索赔。提出索赔的期限均自接受最终结清证书时终止。</w:t>
      </w:r>
    </w:p>
    <w:p>
      <w:pPr>
        <w:pStyle w:val="BodyText"/>
        <w:tabs>
          <w:tab w:pos="1131" w:val="left" w:leader="none"/>
        </w:tabs>
        <w:spacing w:before="19"/>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20</w:t>
      </w:r>
      <w:r>
        <w:rPr>
          <w:rFonts w:ascii="方正黑体_GBK" w:eastAsia="方正黑体_GBK" w:hint="eastAsia"/>
          <w:color w:val="231F20"/>
          <w:spacing w:val="-7"/>
        </w:rPr>
        <w:t> </w:t>
      </w:r>
      <w:r>
        <w:rPr>
          <w:rFonts w:ascii="方正黑体_GBK" w:eastAsia="方正黑体_GBK" w:hint="eastAsia"/>
          <w:color w:val="231F20"/>
        </w:rPr>
        <w:t>条</w:t>
        <w:tab/>
        <w:t>争议解决</w:t>
      </w:r>
    </w:p>
    <w:p>
      <w:pPr>
        <w:pStyle w:val="ListParagraph"/>
        <w:numPr>
          <w:ilvl w:val="1"/>
          <w:numId w:val="100"/>
        </w:numPr>
        <w:tabs>
          <w:tab w:pos="1046" w:val="left" w:leader="none"/>
        </w:tabs>
        <w:spacing w:line="240" w:lineRule="auto" w:before="115" w:after="0"/>
        <w:ind w:left="1045" w:right="0" w:hanging="488"/>
        <w:jc w:val="left"/>
        <w:rPr>
          <w:rFonts w:ascii="方正黑体_GBK" w:eastAsia="方正黑体_GBK" w:hint="eastAsia"/>
          <w:sz w:val="22"/>
        </w:rPr>
      </w:pPr>
      <w:r>
        <w:rPr>
          <w:rFonts w:ascii="方正黑体_GBK" w:eastAsia="方正黑体_GBK" w:hint="eastAsia"/>
          <w:color w:val="231F20"/>
          <w:sz w:val="22"/>
        </w:rPr>
        <w:t>和解</w:t>
      </w:r>
    </w:p>
    <w:p>
      <w:pPr>
        <w:pStyle w:val="BodyText"/>
        <w:spacing w:line="319" w:lineRule="auto" w:before="121"/>
        <w:ind w:firstLine="440"/>
      </w:pPr>
      <w:r>
        <w:rPr>
          <w:color w:val="231F20"/>
        </w:rPr>
        <w:t>合同当事人可以就争议自行和解，自行和解达成协议的经双方签字并盖章后作为合同补充文件，双方均应遵照执行。</w:t>
      </w:r>
    </w:p>
    <w:p>
      <w:pPr>
        <w:pStyle w:val="ListParagraph"/>
        <w:numPr>
          <w:ilvl w:val="1"/>
          <w:numId w:val="100"/>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调解</w:t>
      </w:r>
    </w:p>
    <w:p>
      <w:pPr>
        <w:pStyle w:val="BodyText"/>
        <w:spacing w:line="319" w:lineRule="auto" w:before="122"/>
        <w:ind w:firstLine="440"/>
      </w:pPr>
      <w:r>
        <w:rPr>
          <w:color w:val="231F20"/>
        </w:rPr>
        <w:t>合同当事人可以就争议请求建设行政主管部门、行业协会或其他第三方进行调解，调解达成协议的，经双方签字盖章后作为合同补充文件，双方均应遵照执行。</w:t>
      </w:r>
    </w:p>
    <w:p>
      <w:pPr>
        <w:pStyle w:val="ListParagraph"/>
        <w:numPr>
          <w:ilvl w:val="1"/>
          <w:numId w:val="100"/>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争议评审</w:t>
      </w:r>
    </w:p>
    <w:p>
      <w:pPr>
        <w:pStyle w:val="BodyText"/>
        <w:spacing w:line="319" w:lineRule="auto" w:before="121"/>
        <w:ind w:firstLine="440"/>
      </w:pPr>
      <w:r>
        <w:rPr>
          <w:color w:val="231F20"/>
        </w:rPr>
        <w:t>合同当事人在专用合同条件中约定采取争议评审方式及评审规则解决争议的，按下列约定执行：</w:t>
      </w:r>
    </w:p>
    <w:p>
      <w:pPr>
        <w:pStyle w:val="ListParagraph"/>
        <w:numPr>
          <w:ilvl w:val="2"/>
          <w:numId w:val="100"/>
        </w:numPr>
        <w:tabs>
          <w:tab w:pos="1157" w:val="left" w:leader="none"/>
        </w:tabs>
        <w:spacing w:line="240" w:lineRule="auto" w:before="25" w:after="0"/>
        <w:ind w:left="1156" w:right="0" w:hanging="599"/>
        <w:jc w:val="left"/>
        <w:rPr>
          <w:sz w:val="22"/>
        </w:rPr>
      </w:pPr>
      <w:r>
        <w:rPr>
          <w:color w:val="231F20"/>
          <w:sz w:val="22"/>
        </w:rPr>
        <w:t>争议评审小组的确定</w:t>
      </w:r>
    </w:p>
    <w:p>
      <w:pPr>
        <w:pStyle w:val="BodyText"/>
        <w:spacing w:line="319" w:lineRule="auto"/>
        <w:ind w:right="116" w:firstLine="440"/>
        <w:jc w:val="both"/>
      </w:pPr>
      <w:r>
        <w:rPr>
          <w:color w:val="231F20"/>
        </w:rPr>
        <w:t>合同当事人可以共同选择一名或三名争议评审员，组成争议评审小组。如专用合同条件未对成员人数进行约定，则应由三名成员组成。除专用合同条件另有约定外，合同当事人应当自合同订立后 28 天内，或者争议发生后 14 天内，选定争议评审员。</w:t>
      </w:r>
    </w:p>
    <w:p>
      <w:pPr>
        <w:pStyle w:val="BodyText"/>
        <w:spacing w:line="319" w:lineRule="auto" w:before="26"/>
        <w:ind w:right="104" w:firstLine="440"/>
        <w:jc w:val="both"/>
      </w:pPr>
      <w:r>
        <w:rPr>
          <w:color w:val="231F20"/>
        </w:rPr>
        <w:t>选择一名争议评审员的，由合同当事人共同确定；选择三名争议评审员的，各自选定一名，第三名成员由合同当事人共同确定或由合同当事人委托已选定的争议评审员共同确定，为首席争议评审员。争议评审员为一人且合同当事人未能达成一致的，或争议评审员为三人且合同当事人就首席争议评审员未能达成一致的，由专用合同条件约定的评审机构指定。</w:t>
      </w:r>
    </w:p>
    <w:p>
      <w:pPr>
        <w:pStyle w:val="BodyText"/>
        <w:spacing w:before="26"/>
        <w:ind w:left="557"/>
      </w:pPr>
      <w:r>
        <w:rPr>
          <w:color w:val="231F20"/>
        </w:rPr>
        <w:t>除专用合同条件另有约定外，争议评审员报酬由发包人和承包人各承担一半。</w:t>
      </w:r>
    </w:p>
    <w:p>
      <w:pPr>
        <w:pStyle w:val="ListParagraph"/>
        <w:numPr>
          <w:ilvl w:val="2"/>
          <w:numId w:val="100"/>
        </w:numPr>
        <w:tabs>
          <w:tab w:pos="1157" w:val="left" w:leader="none"/>
        </w:tabs>
        <w:spacing w:line="240" w:lineRule="auto" w:before="109" w:after="0"/>
        <w:ind w:left="1156" w:right="0" w:hanging="599"/>
        <w:jc w:val="left"/>
        <w:rPr>
          <w:sz w:val="22"/>
        </w:rPr>
      </w:pPr>
      <w:r>
        <w:rPr>
          <w:color w:val="231F20"/>
          <w:sz w:val="22"/>
        </w:rPr>
        <w:t>争议的避免</w:t>
      </w:r>
    </w:p>
    <w:p>
      <w:pPr>
        <w:pStyle w:val="BodyText"/>
        <w:spacing w:line="319" w:lineRule="auto"/>
        <w:ind w:firstLine="440"/>
      </w:pPr>
      <w:r>
        <w:rPr>
          <w:color w:val="231F20"/>
        </w:rPr>
        <w:t>合同当事人协商一致，可以共同书面请求争议评审小组，就合同履行过程中可能出现争议的情况提供协助或进行非正式讨论，争议评审小组应给出公正的意见或建议。</w:t>
      </w:r>
    </w:p>
    <w:p>
      <w:pPr>
        <w:pStyle w:val="BodyText"/>
        <w:spacing w:line="319" w:lineRule="auto" w:before="26"/>
        <w:ind w:firstLine="440"/>
      </w:pPr>
      <w:r>
        <w:rPr>
          <w:color w:val="231F20"/>
        </w:rPr>
        <w:t>此类协助或非正式讨论可在任何会议、施工现场视察或其他场合进行，并且除专用合同条件另有约定外，发包人和承包人均应出席。</w:t>
      </w:r>
    </w:p>
    <w:p>
      <w:pPr>
        <w:pStyle w:val="BodyText"/>
        <w:spacing w:line="319" w:lineRule="auto" w:before="26"/>
        <w:ind w:right="95" w:firstLine="440"/>
      </w:pPr>
      <w:r>
        <w:rPr>
          <w:color w:val="231F20"/>
          <w:spacing w:val="-17"/>
        </w:rPr>
        <w:t>争议评审小组在此类非正式讨论上给出的任何意见或建议，无论是口头还是书面的，对发包人和</w:t>
      </w:r>
      <w:r>
        <w:rPr>
          <w:color w:val="231F20"/>
          <w:spacing w:val="-18"/>
        </w:rPr>
        <w:t>承包人不具有约束力，争议评审小组在之后的争议评审程序或决定中也不受此类意见或建议的约束。</w:t>
      </w:r>
    </w:p>
    <w:p>
      <w:pPr>
        <w:pStyle w:val="ListParagraph"/>
        <w:numPr>
          <w:ilvl w:val="2"/>
          <w:numId w:val="100"/>
        </w:numPr>
        <w:tabs>
          <w:tab w:pos="1157" w:val="left" w:leader="none"/>
        </w:tabs>
        <w:spacing w:line="240" w:lineRule="auto" w:before="26" w:after="0"/>
        <w:ind w:left="1156" w:right="0" w:hanging="599"/>
        <w:jc w:val="left"/>
        <w:rPr>
          <w:sz w:val="22"/>
        </w:rPr>
      </w:pPr>
      <w:r>
        <w:rPr>
          <w:color w:val="231F20"/>
          <w:sz w:val="22"/>
        </w:rPr>
        <w:t>争议评审小组的决定</w:t>
      </w:r>
    </w:p>
    <w:p>
      <w:pPr>
        <w:pStyle w:val="BodyText"/>
        <w:ind w:left="557"/>
      </w:pPr>
      <w:r>
        <w:rPr>
          <w:color w:val="231F20"/>
          <w:spacing w:val="-5"/>
        </w:rPr>
        <w:t>合同当事人可在任何时间将与合同有关的任何争议共同提请争议评审小组进行评审。争议评</w:t>
      </w:r>
    </w:p>
    <w:p>
      <w:pPr>
        <w:spacing w:after="0"/>
        <w:sectPr>
          <w:pgSz w:w="11910" w:h="16840"/>
          <w:pgMar w:header="0" w:footer="832" w:top="1580" w:bottom="1020" w:left="1300" w:right="1300"/>
        </w:sectPr>
      </w:pPr>
    </w:p>
    <w:p>
      <w:pPr>
        <w:pStyle w:val="BodyText"/>
        <w:spacing w:line="319" w:lineRule="auto" w:before="24"/>
        <w:ind w:right="115"/>
        <w:jc w:val="both"/>
      </w:pPr>
      <w:r>
        <w:rPr>
          <w:color w:val="231F20"/>
          <w:spacing w:val="-5"/>
        </w:rPr>
        <w:t>审小组应秉持客观、公正原则，充分听取合同当事人的意见，依据相关法律、规范、标准、案例</w:t>
      </w:r>
      <w:r>
        <w:rPr>
          <w:color w:val="231F20"/>
          <w:spacing w:val="-7"/>
        </w:rPr>
        <w:t>经验及商业惯例等，自收到争议评审申请报告后 </w:t>
      </w:r>
      <w:r>
        <w:rPr>
          <w:color w:val="231F20"/>
          <w:spacing w:val="-3"/>
        </w:rPr>
        <w:t>14</w:t>
      </w:r>
      <w:r>
        <w:rPr>
          <w:color w:val="231F20"/>
          <w:spacing w:val="-6"/>
        </w:rPr>
        <w:t> 天或争议评审小组建议并经双方同意的其他</w:t>
      </w:r>
      <w:r>
        <w:rPr>
          <w:color w:val="231F20"/>
          <w:spacing w:val="-5"/>
        </w:rPr>
        <w:t>期限内作出书面决定，并说明理由。合同当事人可以在专用合同条件中对本项事项另行约定。</w:t>
      </w:r>
    </w:p>
    <w:p>
      <w:pPr>
        <w:pStyle w:val="ListParagraph"/>
        <w:numPr>
          <w:ilvl w:val="2"/>
          <w:numId w:val="100"/>
        </w:numPr>
        <w:tabs>
          <w:tab w:pos="1157" w:val="left" w:leader="none"/>
        </w:tabs>
        <w:spacing w:line="240" w:lineRule="auto" w:before="26" w:after="0"/>
        <w:ind w:left="1156" w:right="0" w:hanging="599"/>
        <w:jc w:val="left"/>
        <w:rPr>
          <w:sz w:val="22"/>
        </w:rPr>
      </w:pPr>
      <w:r>
        <w:rPr>
          <w:color w:val="231F20"/>
          <w:sz w:val="22"/>
        </w:rPr>
        <w:t>争议评审小组决定的效力</w:t>
      </w:r>
    </w:p>
    <w:p>
      <w:pPr>
        <w:pStyle w:val="BodyText"/>
        <w:spacing w:line="319" w:lineRule="auto"/>
        <w:ind w:firstLine="440"/>
      </w:pPr>
      <w:r>
        <w:rPr>
          <w:color w:val="231F20"/>
        </w:rPr>
        <w:t>争议评审小组作出的书面决定经合同当事人签字确认后，对双方具有约束力，双方应遵照执行。</w:t>
      </w:r>
    </w:p>
    <w:p>
      <w:pPr>
        <w:pStyle w:val="BodyText"/>
        <w:spacing w:line="319" w:lineRule="auto" w:before="25"/>
        <w:ind w:firstLine="440"/>
      </w:pPr>
      <w:r>
        <w:rPr>
          <w:color w:val="231F20"/>
        </w:rPr>
        <w:t>任何一方当事人不接受争议评审小组决定或不履行争议评审小组决定的，双方可选择采用其他争议解决方式。</w:t>
      </w:r>
    </w:p>
    <w:p>
      <w:pPr>
        <w:pStyle w:val="BodyText"/>
        <w:spacing w:line="319" w:lineRule="auto" w:before="25"/>
        <w:ind w:firstLine="440"/>
      </w:pPr>
      <w:r>
        <w:rPr>
          <w:color w:val="231F20"/>
        </w:rPr>
        <w:t>任何一方当事人不接受争议评审小组的决定，并不影响暂时执行争议评审小组的决定，直到在后续的采用其他争议解决方式中对争议评审小组的决定进行了改变。</w:t>
      </w:r>
    </w:p>
    <w:p>
      <w:pPr>
        <w:pStyle w:val="ListParagraph"/>
        <w:numPr>
          <w:ilvl w:val="1"/>
          <w:numId w:val="101"/>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仲裁或诉讼</w:t>
      </w:r>
    </w:p>
    <w:p>
      <w:pPr>
        <w:pStyle w:val="BodyText"/>
        <w:spacing w:line="319" w:lineRule="auto" w:before="122"/>
        <w:ind w:firstLine="440"/>
      </w:pPr>
      <w:r>
        <w:rPr>
          <w:color w:val="231F20"/>
        </w:rPr>
        <w:t>因合同及合同有关事项产生的争议，合同当事人可以在专用合同条件中约定以下一种方式解决争议：</w:t>
      </w:r>
    </w:p>
    <w:p>
      <w:pPr>
        <w:pStyle w:val="BodyText"/>
        <w:spacing w:before="26"/>
        <w:ind w:left="447"/>
      </w:pPr>
      <w:r>
        <w:rPr>
          <w:color w:val="231F20"/>
        </w:rPr>
        <w:t>（ 1）向约定的仲裁委员会申请仲裁；</w:t>
      </w:r>
    </w:p>
    <w:p>
      <w:pPr>
        <w:pStyle w:val="BodyText"/>
        <w:ind w:left="447"/>
      </w:pPr>
      <w:r>
        <w:rPr>
          <w:color w:val="231F20"/>
        </w:rPr>
        <w:t>（ 2）向有管辖权的人民法院起诉。</w:t>
      </w:r>
    </w:p>
    <w:p>
      <w:pPr>
        <w:pStyle w:val="ListParagraph"/>
        <w:numPr>
          <w:ilvl w:val="1"/>
          <w:numId w:val="101"/>
        </w:numPr>
        <w:tabs>
          <w:tab w:pos="1046" w:val="left" w:leader="none"/>
        </w:tabs>
        <w:spacing w:line="240" w:lineRule="auto" w:before="103" w:after="0"/>
        <w:ind w:left="1045" w:right="0" w:hanging="488"/>
        <w:jc w:val="left"/>
        <w:rPr>
          <w:rFonts w:ascii="方正黑体_GBK" w:eastAsia="方正黑体_GBK" w:hint="eastAsia"/>
          <w:sz w:val="22"/>
        </w:rPr>
      </w:pPr>
      <w:r>
        <w:rPr>
          <w:rFonts w:ascii="方正黑体_GBK" w:eastAsia="方正黑体_GBK" w:hint="eastAsia"/>
          <w:color w:val="231F20"/>
          <w:sz w:val="22"/>
        </w:rPr>
        <w:t>争议解决条款效力</w:t>
      </w:r>
    </w:p>
    <w:p>
      <w:pPr>
        <w:pStyle w:val="BodyText"/>
        <w:spacing w:line="319" w:lineRule="auto" w:before="122"/>
        <w:ind w:firstLine="440"/>
      </w:pPr>
      <w:r>
        <w:rPr>
          <w:color w:val="231F20"/>
        </w:rPr>
        <w:t>合同有关争议解决的条款独立存在，合同的不生效、无效、被撤销或者终止的，不影响合同中有关争议解决条款的效力。</w:t>
      </w:r>
    </w:p>
    <w:p>
      <w:pPr>
        <w:spacing w:after="0" w:line="319" w:lineRule="auto"/>
        <w:sectPr>
          <w:pgSz w:w="11910" w:h="16840"/>
          <w:pgMar w:header="0" w:footer="832" w:top="1580" w:bottom="1020" w:left="1300" w:right="1300"/>
        </w:sectPr>
      </w:pPr>
    </w:p>
    <w:p>
      <w:pPr>
        <w:pStyle w:val="BodyText"/>
        <w:spacing w:before="0"/>
        <w:ind w:left="0"/>
        <w:rPr>
          <w:sz w:val="20"/>
        </w:rPr>
      </w:pPr>
    </w:p>
    <w:p>
      <w:pPr>
        <w:pStyle w:val="BodyText"/>
        <w:spacing w:before="0"/>
        <w:ind w:left="0"/>
        <w:rPr>
          <w:sz w:val="20"/>
        </w:rPr>
      </w:pPr>
    </w:p>
    <w:p>
      <w:pPr>
        <w:pStyle w:val="Heading1"/>
        <w:tabs>
          <w:tab w:pos="4512" w:val="left" w:leader="none"/>
        </w:tabs>
        <w:ind w:left="3112"/>
        <w:jc w:val="left"/>
      </w:pPr>
      <w:r>
        <w:rPr>
          <w:color w:val="231F20"/>
        </w:rPr>
        <w:t>第三部分</w:t>
        <w:tab/>
        <w:t>专用合同条件</w:t>
      </w:r>
    </w:p>
    <w:p>
      <w:pPr>
        <w:pStyle w:val="BodyText"/>
        <w:spacing w:before="8"/>
        <w:ind w:left="0"/>
        <w:rPr>
          <w:rFonts w:ascii="方正黑体_GBK"/>
          <w:sz w:val="26"/>
        </w:rPr>
      </w:pPr>
    </w:p>
    <w:p>
      <w:pPr>
        <w:pStyle w:val="BodyText"/>
        <w:tabs>
          <w:tab w:pos="1009" w:val="left" w:leader="none"/>
        </w:tabs>
        <w:spacing w:before="0"/>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w:t>
      </w:r>
      <w:r>
        <w:rPr>
          <w:rFonts w:ascii="方正黑体_GBK" w:eastAsia="方正黑体_GBK" w:hint="eastAsia"/>
          <w:color w:val="231F20"/>
          <w:spacing w:val="-7"/>
        </w:rPr>
        <w:t> </w:t>
      </w:r>
      <w:r>
        <w:rPr>
          <w:rFonts w:ascii="方正黑体_GBK" w:eastAsia="方正黑体_GBK" w:hint="eastAsia"/>
          <w:color w:val="231F20"/>
        </w:rPr>
        <w:t>条</w:t>
        <w:tab/>
        <w:t>一般约定</w:t>
      </w:r>
    </w:p>
    <w:p>
      <w:pPr>
        <w:pStyle w:val="BodyText"/>
        <w:spacing w:before="115"/>
        <w:ind w:left="557"/>
        <w:rPr>
          <w:rFonts w:ascii="方正黑体_GBK" w:eastAsia="方正黑体_GBK" w:hint="eastAsia"/>
        </w:rPr>
      </w:pPr>
      <w:r>
        <w:rPr>
          <w:rFonts w:ascii="方正黑体_GBK" w:eastAsia="方正黑体_GBK" w:hint="eastAsia"/>
          <w:color w:val="231F20"/>
        </w:rPr>
        <w:t>1.1 词语定义和解释</w:t>
      </w:r>
    </w:p>
    <w:p>
      <w:pPr>
        <w:pStyle w:val="BodyText"/>
        <w:spacing w:before="121"/>
        <w:ind w:left="557"/>
      </w:pPr>
      <w:r>
        <w:rPr>
          <w:color w:val="231F20"/>
        </w:rPr>
        <w:t>1.1.1 合同</w:t>
      </w:r>
    </w:p>
    <w:p>
      <w:pPr>
        <w:pStyle w:val="BodyText"/>
        <w:tabs>
          <w:tab w:pos="9078" w:val="left" w:leader="none"/>
        </w:tabs>
        <w:spacing w:before="108"/>
        <w:ind w:left="557"/>
      </w:pPr>
      <w:r>
        <w:rPr>
          <w:color w:val="231F20"/>
        </w:rPr>
        <w:t>1.1.1.10</w:t>
      </w:r>
      <w:r>
        <w:rPr>
          <w:color w:val="231F20"/>
          <w:spacing w:val="-3"/>
        </w:rPr>
        <w:t> </w:t>
      </w:r>
      <w:r>
        <w:rPr>
          <w:color w:val="231F20"/>
        </w:rPr>
        <w:t>其他合同文件：</w:t>
        <w:tab/>
        <w:t>。</w:t>
      </w:r>
    </w:p>
    <w:p>
      <w:pPr>
        <w:pStyle w:val="BodyText"/>
        <w:spacing w:line="20" w:lineRule="exact" w:before="0"/>
        <w:ind w:left="2749"/>
        <w:rPr>
          <w:sz w:val="2"/>
        </w:rPr>
      </w:pPr>
      <w:r>
        <w:rPr>
          <w:sz w:val="2"/>
        </w:rPr>
        <w:pict>
          <v:group style="width:316.45pt;height:.3pt;mso-position-horizontal-relative:char;mso-position-vertical-relative:line" coordorigin="0,0" coordsize="6329,6">
            <v:line style="position:absolute" from="0,3" to="6329,3" stroked="true" strokeweight=".283pt" strokecolor="#231f20">
              <v:stroke dashstyle="solid"/>
            </v:line>
          </v:group>
        </w:pict>
      </w:r>
      <w:r>
        <w:rPr>
          <w:sz w:val="2"/>
        </w:rPr>
      </w:r>
    </w:p>
    <w:p>
      <w:pPr>
        <w:pStyle w:val="BodyText"/>
        <w:spacing w:before="88"/>
        <w:ind w:left="557"/>
      </w:pPr>
      <w:r>
        <w:rPr>
          <w:color w:val="231F20"/>
        </w:rPr>
        <w:t>1.1.3 工程和设备</w:t>
      </w:r>
    </w:p>
    <w:p>
      <w:pPr>
        <w:pStyle w:val="BodyText"/>
        <w:tabs>
          <w:tab w:pos="9078" w:val="left" w:leader="none"/>
        </w:tabs>
        <w:spacing w:before="108"/>
        <w:ind w:left="557"/>
      </w:pPr>
      <w:r>
        <w:rPr>
          <w:color w:val="231F20"/>
        </w:rPr>
        <w:t>1.1.3.5</w:t>
      </w:r>
      <w:r>
        <w:rPr>
          <w:color w:val="231F20"/>
          <w:spacing w:val="-2"/>
        </w:rPr>
        <w:t> </w:t>
      </w:r>
      <w:r>
        <w:rPr>
          <w:color w:val="231F20"/>
        </w:rPr>
        <w:t>单位</w:t>
      </w:r>
      <w:r>
        <w:rPr>
          <w:color w:val="231F20"/>
          <w:spacing w:val="-1"/>
        </w:rPr>
        <w:t> </w:t>
      </w:r>
      <w:r>
        <w:rPr>
          <w:color w:val="231F20"/>
        </w:rPr>
        <w:t>/</w:t>
      </w:r>
      <w:r>
        <w:rPr>
          <w:color w:val="231F20"/>
          <w:spacing w:val="-1"/>
        </w:rPr>
        <w:t> </w:t>
      </w:r>
      <w:r>
        <w:rPr>
          <w:color w:val="231F20"/>
        </w:rPr>
        <w:t>区段工程的范围</w:t>
      </w:r>
      <w:r>
        <w:rPr>
          <w:color w:val="231F20"/>
          <w:u w:val="single" w:color="231F20"/>
        </w:rPr>
        <w:t>：</w:t>
        <w:tab/>
      </w:r>
      <w:r>
        <w:rPr>
          <w:color w:val="231F20"/>
        </w:rPr>
        <w:t>。</w:t>
      </w:r>
    </w:p>
    <w:p>
      <w:pPr>
        <w:pStyle w:val="ListParagraph"/>
        <w:numPr>
          <w:ilvl w:val="3"/>
          <w:numId w:val="102"/>
        </w:numPr>
        <w:tabs>
          <w:tab w:pos="1211" w:val="left" w:leader="none"/>
          <w:tab w:pos="9078" w:val="left" w:leader="none"/>
        </w:tabs>
        <w:spacing w:line="240" w:lineRule="auto" w:before="108" w:after="0"/>
        <w:ind w:left="1210" w:right="0" w:hanging="653"/>
        <w:jc w:val="left"/>
        <w:rPr>
          <w:sz w:val="22"/>
        </w:rPr>
      </w:pPr>
      <w:r>
        <w:rPr>
          <w:color w:val="231F20"/>
          <w:sz w:val="22"/>
        </w:rPr>
        <w:t>作为施工场所组成部分的其他场所包括</w:t>
      </w:r>
      <w:r>
        <w:rPr>
          <w:color w:val="231F20"/>
          <w:sz w:val="22"/>
          <w:u w:val="single" w:color="231F20"/>
        </w:rPr>
        <w:t>：</w:t>
        <w:tab/>
      </w:r>
      <w:r>
        <w:rPr>
          <w:color w:val="231F20"/>
          <w:sz w:val="22"/>
        </w:rPr>
        <w:t>。</w:t>
      </w:r>
    </w:p>
    <w:p>
      <w:pPr>
        <w:pStyle w:val="ListParagraph"/>
        <w:numPr>
          <w:ilvl w:val="3"/>
          <w:numId w:val="102"/>
        </w:numPr>
        <w:tabs>
          <w:tab w:pos="1320" w:val="left" w:leader="none"/>
          <w:tab w:pos="9078" w:val="left" w:leader="none"/>
        </w:tabs>
        <w:spacing w:line="240" w:lineRule="auto" w:before="108" w:after="0"/>
        <w:ind w:left="1319" w:right="0" w:hanging="762"/>
        <w:jc w:val="left"/>
        <w:rPr>
          <w:sz w:val="22"/>
        </w:rPr>
      </w:pPr>
      <w:r>
        <w:rPr>
          <w:color w:val="231F20"/>
          <w:sz w:val="22"/>
        </w:rPr>
        <w:t>永久占地包括：</w:t>
        <w:tab/>
        <w:t>。</w:t>
      </w:r>
    </w:p>
    <w:p>
      <w:pPr>
        <w:pStyle w:val="BodyText"/>
        <w:spacing w:line="20" w:lineRule="exact" w:before="0"/>
        <w:ind w:left="2749"/>
        <w:rPr>
          <w:sz w:val="2"/>
        </w:rPr>
      </w:pPr>
      <w:r>
        <w:rPr>
          <w:sz w:val="2"/>
        </w:rPr>
        <w:pict>
          <v:group style="width:316.45pt;height:.3pt;mso-position-horizontal-relative:char;mso-position-vertical-relative:line" coordorigin="0,0" coordsize="6329,6">
            <v:line style="position:absolute" from="0,3" to="6329,3" stroked="true" strokeweight=".283pt" strokecolor="#231f20">
              <v:stroke dashstyle="solid"/>
            </v:line>
          </v:group>
        </w:pict>
      </w:r>
      <w:r>
        <w:rPr>
          <w:sz w:val="2"/>
        </w:rPr>
      </w:r>
    </w:p>
    <w:p>
      <w:pPr>
        <w:pStyle w:val="ListParagraph"/>
        <w:numPr>
          <w:ilvl w:val="3"/>
          <w:numId w:val="102"/>
        </w:numPr>
        <w:tabs>
          <w:tab w:pos="1320" w:val="left" w:leader="none"/>
          <w:tab w:pos="9078" w:val="left" w:leader="none"/>
        </w:tabs>
        <w:spacing w:line="240" w:lineRule="auto" w:before="88" w:after="0"/>
        <w:ind w:left="1319" w:right="0" w:hanging="762"/>
        <w:jc w:val="left"/>
        <w:rPr>
          <w:sz w:val="22"/>
        </w:rPr>
      </w:pPr>
      <w:r>
        <w:rPr>
          <w:color w:val="231F20"/>
          <w:sz w:val="22"/>
        </w:rPr>
        <w:t>临时占地包括：</w:t>
        <w:tab/>
        <w:t>。</w:t>
      </w:r>
    </w:p>
    <w:p>
      <w:pPr>
        <w:pStyle w:val="BodyText"/>
        <w:spacing w:line="20" w:lineRule="exact" w:before="0"/>
        <w:ind w:left="2749"/>
        <w:rPr>
          <w:sz w:val="2"/>
        </w:rPr>
      </w:pPr>
      <w:r>
        <w:rPr>
          <w:sz w:val="2"/>
        </w:rPr>
        <w:pict>
          <v:group style="width:316.45pt;height:.3pt;mso-position-horizontal-relative:char;mso-position-vertical-relative:line" coordorigin="0,0" coordsize="6329,6">
            <v:line style="position:absolute" from="0,3" to="6329,3" stroked="true" strokeweight=".283pt" strokecolor="#231f20">
              <v:stroke dashstyle="solid"/>
            </v:line>
          </v:group>
        </w:pict>
      </w:r>
      <w:r>
        <w:rPr>
          <w:sz w:val="2"/>
        </w:rPr>
      </w:r>
    </w:p>
    <w:p>
      <w:pPr>
        <w:pStyle w:val="ListParagraph"/>
        <w:numPr>
          <w:ilvl w:val="1"/>
          <w:numId w:val="103"/>
        </w:numPr>
        <w:tabs>
          <w:tab w:pos="924" w:val="left" w:leader="none"/>
        </w:tabs>
        <w:spacing w:line="240" w:lineRule="auto" w:before="82" w:after="0"/>
        <w:ind w:left="923" w:right="0" w:hanging="366"/>
        <w:jc w:val="left"/>
        <w:rPr>
          <w:rFonts w:ascii="方正黑体_GBK" w:eastAsia="方正黑体_GBK" w:hint="eastAsia"/>
          <w:sz w:val="22"/>
        </w:rPr>
      </w:pPr>
      <w:r>
        <w:rPr>
          <w:rFonts w:ascii="方正黑体_GBK" w:eastAsia="方正黑体_GBK" w:hint="eastAsia"/>
          <w:color w:val="231F20"/>
          <w:sz w:val="22"/>
        </w:rPr>
        <w:t>语言文字</w:t>
      </w:r>
    </w:p>
    <w:p>
      <w:pPr>
        <w:pStyle w:val="BodyText"/>
        <w:tabs>
          <w:tab w:pos="6497" w:val="left" w:leader="none"/>
        </w:tabs>
        <w:spacing w:before="121"/>
        <w:ind w:left="557"/>
      </w:pPr>
      <w:r>
        <w:rPr>
          <w:color w:val="231F20"/>
        </w:rPr>
        <w:t>本合同除使用汉语外，还使用</w:t>
      </w:r>
      <w:r>
        <w:rPr>
          <w:color w:val="231F20"/>
          <w:u w:val="single" w:color="231F20"/>
        </w:rPr>
        <w:t> </w:t>
        <w:tab/>
      </w:r>
      <w:r>
        <w:rPr>
          <w:color w:val="231F20"/>
        </w:rPr>
        <w:t>语言。</w:t>
      </w:r>
    </w:p>
    <w:p>
      <w:pPr>
        <w:pStyle w:val="ListParagraph"/>
        <w:numPr>
          <w:ilvl w:val="1"/>
          <w:numId w:val="103"/>
        </w:numPr>
        <w:tabs>
          <w:tab w:pos="924" w:val="left" w:leader="none"/>
        </w:tabs>
        <w:spacing w:line="240" w:lineRule="auto" w:before="102" w:after="0"/>
        <w:ind w:left="923" w:right="0" w:hanging="366"/>
        <w:jc w:val="left"/>
        <w:rPr>
          <w:rFonts w:ascii="方正黑体_GBK" w:eastAsia="方正黑体_GBK" w:hint="eastAsia"/>
          <w:sz w:val="22"/>
        </w:rPr>
      </w:pPr>
      <w:r>
        <w:rPr>
          <w:rFonts w:ascii="方正黑体_GBK" w:eastAsia="方正黑体_GBK" w:hint="eastAsia"/>
          <w:color w:val="231F20"/>
          <w:sz w:val="22"/>
        </w:rPr>
        <w:t>法律</w:t>
      </w:r>
    </w:p>
    <w:p>
      <w:pPr>
        <w:pStyle w:val="BodyText"/>
        <w:tabs>
          <w:tab w:pos="9078" w:val="left" w:leader="none"/>
        </w:tabs>
        <w:spacing w:before="121"/>
        <w:ind w:left="557"/>
      </w:pPr>
      <w:r>
        <w:rPr>
          <w:color w:val="231F20"/>
        </w:rPr>
        <w:t>适用于合同的其他规范性文件</w:t>
      </w:r>
      <w:r>
        <w:rPr>
          <w:color w:val="231F20"/>
          <w:u w:val="single" w:color="231F20"/>
        </w:rPr>
        <w:t>：</w:t>
        <w:tab/>
      </w:r>
      <w:r>
        <w:rPr>
          <w:color w:val="231F20"/>
        </w:rPr>
        <w:t>。</w:t>
      </w:r>
    </w:p>
    <w:p>
      <w:pPr>
        <w:pStyle w:val="ListParagraph"/>
        <w:numPr>
          <w:ilvl w:val="1"/>
          <w:numId w:val="103"/>
        </w:numPr>
        <w:tabs>
          <w:tab w:pos="924" w:val="left" w:leader="none"/>
        </w:tabs>
        <w:spacing w:line="240" w:lineRule="auto" w:before="102" w:after="0"/>
        <w:ind w:left="923" w:right="0" w:hanging="366"/>
        <w:jc w:val="left"/>
        <w:rPr>
          <w:rFonts w:ascii="方正黑体_GBK" w:eastAsia="方正黑体_GBK" w:hint="eastAsia"/>
          <w:sz w:val="22"/>
        </w:rPr>
      </w:pPr>
      <w:r>
        <w:rPr>
          <w:rFonts w:ascii="方正黑体_GBK" w:eastAsia="方正黑体_GBK" w:hint="eastAsia"/>
          <w:color w:val="231F20"/>
          <w:sz w:val="22"/>
        </w:rPr>
        <w:t>标准和规范</w:t>
      </w:r>
    </w:p>
    <w:p>
      <w:pPr>
        <w:pStyle w:val="ListParagraph"/>
        <w:numPr>
          <w:ilvl w:val="2"/>
          <w:numId w:val="103"/>
        </w:numPr>
        <w:tabs>
          <w:tab w:pos="1048" w:val="left" w:leader="none"/>
          <w:tab w:pos="8472" w:val="left" w:leader="none"/>
        </w:tabs>
        <w:spacing w:line="240" w:lineRule="auto" w:before="121" w:after="0"/>
        <w:ind w:left="117" w:right="0" w:firstLine="440"/>
        <w:jc w:val="left"/>
        <w:rPr>
          <w:sz w:val="22"/>
        </w:rPr>
      </w:pPr>
      <w:r>
        <w:rPr>
          <w:color w:val="231F20"/>
          <w:sz w:val="22"/>
        </w:rPr>
        <w:t>适用于本合同的标准、规范（名称）包括</w:t>
      </w:r>
      <w:r>
        <w:rPr>
          <w:color w:val="231F20"/>
          <w:sz w:val="22"/>
          <w:u w:val="single" w:color="231F20"/>
        </w:rPr>
        <w:t>：</w:t>
        <w:tab/>
      </w:r>
      <w:r>
        <w:rPr>
          <w:color w:val="231F20"/>
          <w:sz w:val="22"/>
        </w:rPr>
        <w:t>。</w:t>
      </w:r>
    </w:p>
    <w:p>
      <w:pPr>
        <w:pStyle w:val="ListParagraph"/>
        <w:numPr>
          <w:ilvl w:val="2"/>
          <w:numId w:val="103"/>
        </w:numPr>
        <w:tabs>
          <w:tab w:pos="1048" w:val="left" w:leader="none"/>
          <w:tab w:pos="3582" w:val="left" w:leader="none"/>
          <w:tab w:pos="6685" w:val="left" w:leader="none"/>
          <w:tab w:pos="9027" w:val="left" w:leader="none"/>
        </w:tabs>
        <w:spacing w:line="319" w:lineRule="auto" w:before="108" w:after="0"/>
        <w:ind w:left="117" w:right="105" w:firstLine="440"/>
        <w:jc w:val="left"/>
        <w:rPr>
          <w:sz w:val="22"/>
        </w:rPr>
      </w:pPr>
      <w:r>
        <w:rPr>
          <w:color w:val="231F20"/>
          <w:sz w:val="22"/>
        </w:rPr>
        <w:t>发包人提供的国外标准、规范的名称</w:t>
      </w:r>
      <w:r>
        <w:rPr>
          <w:color w:val="231F20"/>
          <w:sz w:val="22"/>
          <w:u w:val="single" w:color="231F20"/>
        </w:rPr>
        <w:t>：</w:t>
        <w:tab/>
      </w:r>
      <w:r>
        <w:rPr>
          <w:color w:val="231F20"/>
          <w:spacing w:val="-55"/>
          <w:sz w:val="22"/>
        </w:rPr>
        <w:t>；</w:t>
      </w:r>
      <w:r>
        <w:rPr>
          <w:color w:val="231F20"/>
          <w:sz w:val="22"/>
        </w:rPr>
        <w:t>发包人提供的国外标准、规范的份数</w:t>
      </w:r>
      <w:r>
        <w:rPr>
          <w:color w:val="231F20"/>
          <w:sz w:val="22"/>
          <w:u w:val="single" w:color="231F20"/>
        </w:rPr>
        <w:t>：</w:t>
        <w:tab/>
      </w:r>
      <w:r>
        <w:rPr>
          <w:color w:val="231F20"/>
          <w:spacing w:val="-55"/>
          <w:sz w:val="22"/>
        </w:rPr>
        <w:t>；</w:t>
      </w:r>
      <w:r>
        <w:rPr>
          <w:color w:val="231F20"/>
          <w:sz w:val="22"/>
        </w:rPr>
        <w:t>发包人提供的国外标准、规范的时间</w:t>
      </w:r>
      <w:r>
        <w:rPr>
          <w:color w:val="231F20"/>
          <w:sz w:val="22"/>
          <w:u w:val="single" w:color="231F20"/>
        </w:rPr>
        <w:t>：</w:t>
        <w:tab/>
      </w:r>
      <w:r>
        <w:rPr>
          <w:color w:val="231F20"/>
          <w:sz w:val="22"/>
        </w:rPr>
        <w:t>。</w:t>
      </w:r>
    </w:p>
    <w:p>
      <w:pPr>
        <w:pStyle w:val="ListParagraph"/>
        <w:numPr>
          <w:ilvl w:val="2"/>
          <w:numId w:val="103"/>
        </w:numPr>
        <w:tabs>
          <w:tab w:pos="1048" w:val="left" w:leader="none"/>
          <w:tab w:pos="7152" w:val="left" w:leader="none"/>
        </w:tabs>
        <w:spacing w:line="240" w:lineRule="auto" w:before="25" w:after="0"/>
        <w:ind w:left="117" w:right="0" w:firstLine="440"/>
        <w:jc w:val="left"/>
        <w:rPr>
          <w:sz w:val="22"/>
        </w:rPr>
      </w:pPr>
      <w:r>
        <w:rPr>
          <w:color w:val="231F20"/>
          <w:sz w:val="22"/>
        </w:rPr>
        <w:t>没有成文规范、标准规定的约定</w:t>
      </w:r>
      <w:r>
        <w:rPr>
          <w:color w:val="231F20"/>
          <w:sz w:val="22"/>
          <w:u w:val="single" w:color="231F20"/>
        </w:rPr>
        <w:t>：</w:t>
        <w:tab/>
      </w:r>
      <w:r>
        <w:rPr>
          <w:color w:val="231F20"/>
          <w:sz w:val="22"/>
        </w:rPr>
        <w:t>。</w:t>
      </w:r>
    </w:p>
    <w:p>
      <w:pPr>
        <w:pStyle w:val="ListParagraph"/>
        <w:numPr>
          <w:ilvl w:val="2"/>
          <w:numId w:val="103"/>
        </w:numPr>
        <w:tabs>
          <w:tab w:pos="1048" w:val="left" w:leader="none"/>
          <w:tab w:pos="7152" w:val="left" w:leader="none"/>
        </w:tabs>
        <w:spacing w:line="240" w:lineRule="auto" w:before="109" w:after="0"/>
        <w:ind w:left="117" w:right="0" w:firstLine="440"/>
        <w:jc w:val="left"/>
        <w:rPr>
          <w:sz w:val="22"/>
        </w:rPr>
      </w:pPr>
      <w:r>
        <w:rPr>
          <w:color w:val="231F20"/>
          <w:sz w:val="22"/>
        </w:rPr>
        <w:t>发包人对于工程的技术标准、功能要求</w:t>
      </w:r>
      <w:r>
        <w:rPr>
          <w:color w:val="231F20"/>
          <w:sz w:val="22"/>
          <w:u w:val="single" w:color="231F20"/>
        </w:rPr>
        <w:t>：</w:t>
        <w:tab/>
      </w:r>
      <w:r>
        <w:rPr>
          <w:color w:val="231F20"/>
          <w:sz w:val="22"/>
        </w:rPr>
        <w:t>。</w:t>
      </w:r>
    </w:p>
    <w:p>
      <w:pPr>
        <w:pStyle w:val="ListParagraph"/>
        <w:numPr>
          <w:ilvl w:val="1"/>
          <w:numId w:val="103"/>
        </w:numPr>
        <w:tabs>
          <w:tab w:pos="924" w:val="left" w:leader="none"/>
        </w:tabs>
        <w:spacing w:line="240" w:lineRule="auto" w:before="103" w:after="0"/>
        <w:ind w:left="923" w:right="0" w:hanging="366"/>
        <w:jc w:val="left"/>
        <w:rPr>
          <w:rFonts w:ascii="方正黑体_GBK" w:eastAsia="方正黑体_GBK" w:hint="eastAsia"/>
          <w:sz w:val="22"/>
        </w:rPr>
      </w:pPr>
      <w:r>
        <w:rPr>
          <w:rFonts w:ascii="方正黑体_GBK" w:eastAsia="方正黑体_GBK" w:hint="eastAsia"/>
          <w:color w:val="231F20"/>
          <w:sz w:val="22"/>
        </w:rPr>
        <w:t>合同文件的优先顺序</w:t>
      </w:r>
    </w:p>
    <w:p>
      <w:pPr>
        <w:pStyle w:val="BodyText"/>
        <w:tabs>
          <w:tab w:pos="9078" w:val="left" w:leader="none"/>
        </w:tabs>
        <w:spacing w:before="122"/>
        <w:ind w:left="557"/>
      </w:pPr>
      <w:r>
        <w:rPr>
          <w:color w:val="231F20"/>
        </w:rPr>
        <w:t>合同文件组成及优先顺序为</w:t>
      </w:r>
      <w:r>
        <w:rPr>
          <w:color w:val="231F20"/>
          <w:u w:val="single" w:color="231F20"/>
        </w:rPr>
        <w:t>：</w:t>
        <w:tab/>
      </w:r>
      <w:r>
        <w:rPr>
          <w:color w:val="231F20"/>
        </w:rPr>
        <w:t>。</w:t>
      </w:r>
    </w:p>
    <w:p>
      <w:pPr>
        <w:pStyle w:val="ListParagraph"/>
        <w:numPr>
          <w:ilvl w:val="1"/>
          <w:numId w:val="103"/>
        </w:numPr>
        <w:tabs>
          <w:tab w:pos="924" w:val="left" w:leader="none"/>
        </w:tabs>
        <w:spacing w:line="240" w:lineRule="auto" w:before="103" w:after="0"/>
        <w:ind w:left="923" w:right="0" w:hanging="366"/>
        <w:jc w:val="left"/>
        <w:rPr>
          <w:rFonts w:ascii="方正黑体_GBK" w:eastAsia="方正黑体_GBK" w:hint="eastAsia"/>
          <w:sz w:val="22"/>
        </w:rPr>
      </w:pPr>
      <w:r>
        <w:rPr>
          <w:rFonts w:ascii="方正黑体_GBK" w:eastAsia="方正黑体_GBK" w:hint="eastAsia"/>
          <w:color w:val="231F20"/>
          <w:sz w:val="22"/>
        </w:rPr>
        <w:t>文件的提供和照管</w:t>
      </w:r>
    </w:p>
    <w:p>
      <w:pPr>
        <w:pStyle w:val="ListParagraph"/>
        <w:numPr>
          <w:ilvl w:val="2"/>
          <w:numId w:val="103"/>
        </w:numPr>
        <w:tabs>
          <w:tab w:pos="1048" w:val="left" w:leader="none"/>
        </w:tabs>
        <w:spacing w:line="240" w:lineRule="auto" w:before="122" w:after="0"/>
        <w:ind w:left="1047" w:right="0" w:hanging="490"/>
        <w:jc w:val="left"/>
        <w:rPr>
          <w:sz w:val="22"/>
        </w:rPr>
      </w:pPr>
      <w:r>
        <w:rPr>
          <w:color w:val="231F20"/>
          <w:sz w:val="22"/>
        </w:rPr>
        <w:t>发包人文件的提供</w:t>
      </w:r>
    </w:p>
    <w:p>
      <w:pPr>
        <w:pStyle w:val="BodyText"/>
        <w:tabs>
          <w:tab w:pos="9078" w:val="left" w:leader="none"/>
        </w:tabs>
        <w:ind w:left="557"/>
      </w:pPr>
      <w:r>
        <w:rPr>
          <w:color w:val="231F20"/>
        </w:rPr>
        <w:t>发包人文件的提供期限、名称、数量和形式</w:t>
      </w:r>
      <w:r>
        <w:rPr>
          <w:color w:val="231F20"/>
          <w:u w:val="single" w:color="231F20"/>
        </w:rPr>
        <w:t>：</w:t>
        <w:tab/>
      </w:r>
      <w:r>
        <w:rPr>
          <w:color w:val="231F20"/>
        </w:rPr>
        <w:t>。</w:t>
      </w:r>
    </w:p>
    <w:p>
      <w:pPr>
        <w:pStyle w:val="ListParagraph"/>
        <w:numPr>
          <w:ilvl w:val="2"/>
          <w:numId w:val="103"/>
        </w:numPr>
        <w:tabs>
          <w:tab w:pos="1048" w:val="left" w:leader="none"/>
        </w:tabs>
        <w:spacing w:line="240" w:lineRule="auto" w:before="109" w:after="0"/>
        <w:ind w:left="1047" w:right="0" w:hanging="490"/>
        <w:jc w:val="left"/>
        <w:rPr>
          <w:sz w:val="22"/>
        </w:rPr>
      </w:pPr>
      <w:r>
        <w:rPr>
          <w:color w:val="231F20"/>
          <w:sz w:val="22"/>
        </w:rPr>
        <w:t>承包人文件的提供</w:t>
      </w:r>
    </w:p>
    <w:p>
      <w:pPr>
        <w:pStyle w:val="BodyText"/>
        <w:tabs>
          <w:tab w:pos="9078" w:val="left" w:leader="none"/>
        </w:tabs>
        <w:ind w:left="557"/>
      </w:pPr>
      <w:r>
        <w:rPr>
          <w:color w:val="231F20"/>
        </w:rPr>
        <w:t>承包人文件的内容、提供期限、名称、数量和形式</w:t>
      </w:r>
      <w:r>
        <w:rPr>
          <w:color w:val="231F20"/>
          <w:u w:val="single" w:color="231F20"/>
        </w:rPr>
        <w:t>：</w:t>
        <w:tab/>
      </w:r>
      <w:r>
        <w:rPr>
          <w:color w:val="231F20"/>
        </w:rPr>
        <w:t>。</w:t>
      </w:r>
    </w:p>
    <w:p>
      <w:pPr>
        <w:pStyle w:val="BodyText"/>
        <w:ind w:left="557"/>
      </w:pPr>
      <w:r>
        <w:rPr>
          <w:color w:val="231F20"/>
        </w:rPr>
        <w:t>1.6.4 文件的照管</w:t>
      </w:r>
    </w:p>
    <w:p>
      <w:pPr>
        <w:pStyle w:val="BodyText"/>
        <w:tabs>
          <w:tab w:pos="9078" w:val="left" w:leader="none"/>
        </w:tabs>
        <w:ind w:left="557"/>
      </w:pPr>
      <w:r>
        <w:rPr>
          <w:color w:val="231F20"/>
        </w:rPr>
        <w:t>关于现场文件准备的约定</w:t>
      </w:r>
      <w:r>
        <w:rPr>
          <w:color w:val="231F20"/>
          <w:u w:val="single" w:color="231F20"/>
        </w:rPr>
        <w:t>：</w:t>
        <w:tab/>
      </w:r>
      <w:r>
        <w:rPr>
          <w:color w:val="231F20"/>
        </w:rPr>
        <w:t>。</w:t>
      </w:r>
    </w:p>
    <w:p>
      <w:pPr>
        <w:spacing w:after="0"/>
        <w:sectPr>
          <w:footerReference w:type="even" r:id="rId36"/>
          <w:footerReference w:type="default" r:id="rId37"/>
          <w:pgSz w:w="11910" w:h="16840"/>
          <w:pgMar w:footer="832" w:header="0" w:top="1580" w:bottom="1020" w:left="1300" w:right="1200"/>
        </w:sectPr>
      </w:pPr>
    </w:p>
    <w:p>
      <w:pPr>
        <w:pStyle w:val="BodyText"/>
        <w:spacing w:before="18"/>
        <w:ind w:left="557"/>
        <w:rPr>
          <w:rFonts w:ascii="方正黑体_GBK" w:eastAsia="方正黑体_GBK" w:hint="eastAsia"/>
        </w:rPr>
      </w:pPr>
      <w:r>
        <w:rPr>
          <w:rFonts w:ascii="方正黑体_GBK" w:eastAsia="方正黑体_GBK" w:hint="eastAsia"/>
          <w:color w:val="231F20"/>
        </w:rPr>
        <w:t>1.7 联络</w:t>
      </w:r>
    </w:p>
    <w:p>
      <w:pPr>
        <w:pStyle w:val="BodyText"/>
        <w:tabs>
          <w:tab w:pos="9078" w:val="left" w:leader="none"/>
        </w:tabs>
        <w:spacing w:line="319" w:lineRule="auto" w:before="122"/>
        <w:ind w:left="557" w:right="105"/>
        <w:jc w:val="both"/>
      </w:pPr>
      <w:r>
        <w:rPr>
          <w:color w:val="231F20"/>
        </w:rPr>
        <w:t>1.7.2</w:t>
      </w:r>
      <w:r>
        <w:rPr>
          <w:color w:val="231F20"/>
          <w:spacing w:val="-2"/>
        </w:rPr>
        <w:t> </w:t>
      </w:r>
      <w:r>
        <w:rPr>
          <w:color w:val="231F20"/>
        </w:rPr>
        <w:t>发包人指定的送达方式（包括电子传输方式</w:t>
      </w:r>
      <w:r>
        <w:rPr>
          <w:color w:val="231F20"/>
          <w:spacing w:val="-28"/>
        </w:rPr>
        <w:t>）：</w:t>
        <w:tab/>
      </w:r>
      <w:r>
        <w:rPr>
          <w:color w:val="231F20"/>
        </w:rPr>
        <w:t>。发包人的送达地址</w:t>
      </w:r>
      <w:r>
        <w:rPr>
          <w:color w:val="231F20"/>
          <w:u w:val="single" w:color="231F20"/>
        </w:rPr>
        <w:t>：</w:t>
        <w:tab/>
      </w:r>
      <w:r>
        <w:rPr>
          <w:color w:val="231F20"/>
        </w:rPr>
        <w:t>。承包人指定的送达方式（包括电子传输方式</w:t>
      </w:r>
      <w:r>
        <w:rPr>
          <w:color w:val="231F20"/>
          <w:spacing w:val="-28"/>
        </w:rPr>
        <w:t>）：</w:t>
        <w:tab/>
      </w:r>
      <w:r>
        <w:rPr>
          <w:color w:val="231F20"/>
        </w:rPr>
        <w:t>。承包人的送达地址</w:t>
      </w:r>
      <w:r>
        <w:rPr>
          <w:color w:val="231F20"/>
          <w:u w:val="single" w:color="231F20"/>
        </w:rPr>
        <w:t>：</w:t>
        <w:tab/>
      </w:r>
      <w:r>
        <w:rPr>
          <w:color w:val="231F20"/>
        </w:rPr>
        <w:t>。</w:t>
      </w:r>
    </w:p>
    <w:p>
      <w:pPr>
        <w:pStyle w:val="ListParagraph"/>
        <w:numPr>
          <w:ilvl w:val="1"/>
          <w:numId w:val="104"/>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知识产权</w:t>
      </w:r>
    </w:p>
    <w:p>
      <w:pPr>
        <w:pStyle w:val="ListParagraph"/>
        <w:numPr>
          <w:ilvl w:val="2"/>
          <w:numId w:val="104"/>
        </w:numPr>
        <w:tabs>
          <w:tab w:pos="1157" w:val="left" w:leader="none"/>
          <w:tab w:pos="9188" w:val="left" w:leader="none"/>
        </w:tabs>
        <w:spacing w:line="240" w:lineRule="auto" w:before="121" w:after="0"/>
        <w:ind w:left="117" w:right="0" w:firstLine="440"/>
        <w:jc w:val="left"/>
        <w:rPr>
          <w:sz w:val="22"/>
        </w:rPr>
      </w:pPr>
      <w:r>
        <w:rPr>
          <w:color w:val="231F20"/>
          <w:sz w:val="22"/>
        </w:rPr>
        <w:t>由发包人（或以发包人名义）编制的《发包人要求》和其他文件的著作权归属</w:t>
      </w:r>
      <w:r>
        <w:rPr>
          <w:color w:val="231F20"/>
          <w:sz w:val="22"/>
          <w:u w:val="single" w:color="231F20"/>
        </w:rPr>
        <w:t>：</w:t>
        <w:tab/>
      </w:r>
    </w:p>
    <w:p>
      <w:pPr>
        <w:pStyle w:val="BodyText"/>
        <w:tabs>
          <w:tab w:pos="9078" w:val="left" w:leader="none"/>
        </w:tabs>
        <w:spacing w:before="108"/>
      </w:pPr>
      <w:r>
        <w:rPr>
          <w:rFonts w:ascii="Times New Roman" w:eastAsia="Times New Roman"/>
          <w:color w:val="231F20"/>
          <w:u w:val="single" w:color="231F20"/>
        </w:rPr>
        <w:t> </w:t>
        <w:tab/>
      </w:r>
      <w:r>
        <w:rPr>
          <w:color w:val="231F20"/>
        </w:rPr>
        <w:t>。</w:t>
      </w:r>
    </w:p>
    <w:p>
      <w:pPr>
        <w:pStyle w:val="ListParagraph"/>
        <w:numPr>
          <w:ilvl w:val="2"/>
          <w:numId w:val="104"/>
        </w:numPr>
        <w:tabs>
          <w:tab w:pos="1178" w:val="left" w:leader="none"/>
          <w:tab w:pos="9078" w:val="left" w:leader="none"/>
        </w:tabs>
        <w:spacing w:line="319" w:lineRule="auto" w:before="108" w:after="0"/>
        <w:ind w:left="117" w:right="105" w:firstLine="440"/>
        <w:jc w:val="left"/>
        <w:rPr>
          <w:sz w:val="22"/>
        </w:rPr>
      </w:pPr>
      <w:r>
        <w:rPr>
          <w:color w:val="231F20"/>
          <w:sz w:val="22"/>
        </w:rPr>
        <w:t>由承包人（或以承包人名义）为实施工程所编制的文件、承包人完成的设计工作成果和建造完成的建筑物的知识产权归属</w:t>
      </w:r>
      <w:r>
        <w:rPr>
          <w:color w:val="231F20"/>
          <w:sz w:val="22"/>
          <w:u w:val="single" w:color="231F20"/>
        </w:rPr>
        <w:t>：</w:t>
        <w:tab/>
      </w:r>
      <w:r>
        <w:rPr>
          <w:color w:val="231F20"/>
          <w:sz w:val="22"/>
        </w:rPr>
        <w:t>。</w:t>
      </w:r>
    </w:p>
    <w:p>
      <w:pPr>
        <w:pStyle w:val="BodyText"/>
        <w:tabs>
          <w:tab w:pos="9188" w:val="left" w:leader="none"/>
        </w:tabs>
        <w:spacing w:before="25"/>
        <w:ind w:left="557"/>
        <w:rPr>
          <w:rFonts w:ascii="Times New Roman" w:eastAsia="Times New Roman"/>
        </w:rPr>
      </w:pPr>
      <w:r>
        <w:rPr>
          <w:color w:val="231F20"/>
        </w:rPr>
        <w:t>1.10.4</w:t>
      </w:r>
      <w:r>
        <w:rPr>
          <w:color w:val="231F20"/>
          <w:spacing w:val="-6"/>
        </w:rPr>
        <w:t> </w:t>
      </w:r>
      <w:r>
        <w:rPr>
          <w:color w:val="231F20"/>
        </w:rPr>
        <w:t>承包人在投标文件中采用的专利、专有技术、技术秘密的使用费的承担方式</w:t>
      </w:r>
      <w:r>
        <w:rPr>
          <w:rFonts w:ascii="Times New Roman" w:eastAsia="Times New Roman"/>
          <w:color w:val="231F20"/>
          <w:u w:val="single" w:color="231F20"/>
        </w:rPr>
        <w:t> </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BodyText"/>
        <w:spacing w:before="103"/>
        <w:ind w:left="557"/>
        <w:rPr>
          <w:rFonts w:ascii="方正黑体_GBK" w:eastAsia="方正黑体_GBK" w:hint="eastAsia"/>
        </w:rPr>
      </w:pPr>
      <w:r>
        <w:rPr>
          <w:rFonts w:ascii="方正黑体_GBK" w:eastAsia="方正黑体_GBK" w:hint="eastAsia"/>
          <w:color w:val="231F20"/>
        </w:rPr>
        <w:t>1.11 保密</w:t>
      </w:r>
    </w:p>
    <w:p>
      <w:pPr>
        <w:pStyle w:val="BodyText"/>
        <w:tabs>
          <w:tab w:pos="6816" w:val="left" w:leader="none"/>
        </w:tabs>
        <w:spacing w:line="319" w:lineRule="auto" w:before="122"/>
        <w:ind w:left="557" w:right="596"/>
      </w:pPr>
      <w:r>
        <w:rPr>
          <w:color w:val="231F20"/>
        </w:rPr>
        <w:t>双方订立的商业保密协议（名称</w:t>
      </w:r>
      <w:r>
        <w:rPr>
          <w:color w:val="231F20"/>
          <w:spacing w:val="-28"/>
        </w:rPr>
        <w:t>）：</w:t>
        <w:tab/>
      </w:r>
      <w:r>
        <w:rPr>
          <w:color w:val="231F20"/>
        </w:rPr>
        <w:t>，作为本合同附件。双方订立的技术保密协议（名称</w:t>
      </w:r>
      <w:r>
        <w:rPr>
          <w:color w:val="231F20"/>
          <w:spacing w:val="-28"/>
        </w:rPr>
        <w:t>）：</w:t>
        <w:tab/>
      </w:r>
      <w:r>
        <w:rPr>
          <w:color w:val="231F20"/>
        </w:rPr>
        <w:t>，作为本合同附件。</w:t>
      </w:r>
    </w:p>
    <w:p>
      <w:pPr>
        <w:pStyle w:val="ListParagraph"/>
        <w:numPr>
          <w:ilvl w:val="1"/>
          <w:numId w:val="105"/>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责任限制</w:t>
      </w:r>
    </w:p>
    <w:p>
      <w:pPr>
        <w:pStyle w:val="BodyText"/>
        <w:tabs>
          <w:tab w:pos="9078" w:val="left" w:leader="none"/>
        </w:tabs>
        <w:spacing w:before="121"/>
        <w:ind w:left="557"/>
      </w:pPr>
      <w:r>
        <w:rPr>
          <w:color w:val="231F20"/>
        </w:rPr>
        <w:t>承包人对发包人赔偿责任的最高限额为</w:t>
      </w:r>
      <w:r>
        <w:rPr>
          <w:color w:val="231F20"/>
          <w:u w:val="single" w:color="231F20"/>
        </w:rPr>
        <w:t> </w:t>
        <w:tab/>
      </w:r>
      <w:r>
        <w:rPr>
          <w:color w:val="231F20"/>
        </w:rPr>
        <w:t>。</w:t>
      </w:r>
    </w:p>
    <w:p>
      <w:pPr>
        <w:pStyle w:val="ListParagraph"/>
        <w:numPr>
          <w:ilvl w:val="1"/>
          <w:numId w:val="105"/>
        </w:numPr>
        <w:tabs>
          <w:tab w:pos="1046" w:val="left" w:leader="none"/>
        </w:tabs>
        <w:spacing w:line="240" w:lineRule="auto" w:before="102" w:after="0"/>
        <w:ind w:left="1045" w:right="0" w:hanging="488"/>
        <w:jc w:val="left"/>
        <w:rPr>
          <w:rFonts w:ascii="方正黑体_GBK" w:eastAsia="方正黑体_GBK" w:hint="eastAsia"/>
          <w:sz w:val="22"/>
        </w:rPr>
      </w:pPr>
      <w:r>
        <w:rPr>
          <w:rFonts w:ascii="方正黑体_GBK" w:eastAsia="方正黑体_GBK" w:hint="eastAsia"/>
          <w:color w:val="231F20"/>
          <w:sz w:val="22"/>
        </w:rPr>
        <w:t>建筑信息模型技术的应用</w:t>
      </w:r>
    </w:p>
    <w:p>
      <w:pPr>
        <w:pStyle w:val="BodyText"/>
        <w:tabs>
          <w:tab w:pos="9188" w:val="left" w:leader="none"/>
        </w:tabs>
        <w:spacing w:before="121"/>
        <w:ind w:left="557"/>
      </w:pPr>
      <w:r>
        <w:rPr>
          <w:color w:val="231F20"/>
        </w:rPr>
        <w:t>关于建筑信息模型技术的开发、使用、存储、传输、交付及费用约定如下</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BodyText"/>
        <w:tabs>
          <w:tab w:pos="1009" w:val="left" w:leader="none"/>
        </w:tabs>
        <w:spacing w:before="103"/>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2</w:t>
      </w:r>
      <w:r>
        <w:rPr>
          <w:rFonts w:ascii="方正黑体_GBK" w:eastAsia="方正黑体_GBK" w:hint="eastAsia"/>
          <w:color w:val="231F20"/>
          <w:spacing w:val="-7"/>
        </w:rPr>
        <w:t> </w:t>
      </w:r>
      <w:r>
        <w:rPr>
          <w:rFonts w:ascii="方正黑体_GBK" w:eastAsia="方正黑体_GBK" w:hint="eastAsia"/>
          <w:color w:val="231F20"/>
        </w:rPr>
        <w:t>条</w:t>
        <w:tab/>
        <w:t>发包人</w:t>
      </w:r>
    </w:p>
    <w:p>
      <w:pPr>
        <w:pStyle w:val="ListParagraph"/>
        <w:numPr>
          <w:ilvl w:val="1"/>
          <w:numId w:val="106"/>
        </w:numPr>
        <w:tabs>
          <w:tab w:pos="924" w:val="left" w:leader="none"/>
        </w:tabs>
        <w:spacing w:line="240" w:lineRule="auto" w:before="115" w:after="0"/>
        <w:ind w:left="923" w:right="0" w:hanging="366"/>
        <w:jc w:val="left"/>
        <w:rPr>
          <w:rFonts w:ascii="方正黑体_GBK" w:eastAsia="方正黑体_GBK" w:hint="eastAsia"/>
          <w:sz w:val="22"/>
        </w:rPr>
      </w:pPr>
      <w:r>
        <w:rPr>
          <w:rFonts w:ascii="方正黑体_GBK" w:eastAsia="方正黑体_GBK" w:hint="eastAsia"/>
          <w:color w:val="231F20"/>
          <w:sz w:val="22"/>
        </w:rPr>
        <w:t>提供施工现场和工作条件</w:t>
      </w:r>
    </w:p>
    <w:p>
      <w:pPr>
        <w:pStyle w:val="ListParagraph"/>
        <w:numPr>
          <w:ilvl w:val="2"/>
          <w:numId w:val="106"/>
        </w:numPr>
        <w:tabs>
          <w:tab w:pos="1048" w:val="left" w:leader="none"/>
        </w:tabs>
        <w:spacing w:line="240" w:lineRule="auto" w:before="121" w:after="0"/>
        <w:ind w:left="1047" w:right="0" w:hanging="490"/>
        <w:jc w:val="left"/>
        <w:rPr>
          <w:sz w:val="22"/>
        </w:rPr>
      </w:pPr>
      <w:r>
        <w:rPr>
          <w:color w:val="231F20"/>
          <w:sz w:val="22"/>
        </w:rPr>
        <w:t>提供施工现场</w:t>
      </w:r>
    </w:p>
    <w:p>
      <w:pPr>
        <w:pStyle w:val="BodyText"/>
        <w:tabs>
          <w:tab w:pos="9078" w:val="left" w:leader="none"/>
        </w:tabs>
        <w:ind w:left="557"/>
      </w:pPr>
      <w:r>
        <w:rPr>
          <w:color w:val="231F20"/>
        </w:rPr>
        <w:t>关于发包人提供施工现场的范围和期限</w:t>
      </w:r>
      <w:r>
        <w:rPr>
          <w:color w:val="231F20"/>
          <w:u w:val="single" w:color="231F20"/>
        </w:rPr>
        <w:t>：</w:t>
        <w:tab/>
      </w:r>
      <w:r>
        <w:rPr>
          <w:color w:val="231F20"/>
        </w:rPr>
        <w:t>。</w:t>
      </w:r>
    </w:p>
    <w:p>
      <w:pPr>
        <w:pStyle w:val="ListParagraph"/>
        <w:numPr>
          <w:ilvl w:val="2"/>
          <w:numId w:val="106"/>
        </w:numPr>
        <w:tabs>
          <w:tab w:pos="1048" w:val="left" w:leader="none"/>
        </w:tabs>
        <w:spacing w:line="240" w:lineRule="auto" w:before="109" w:after="0"/>
        <w:ind w:left="1047" w:right="0" w:hanging="490"/>
        <w:jc w:val="left"/>
        <w:rPr>
          <w:sz w:val="22"/>
        </w:rPr>
      </w:pPr>
      <w:r>
        <w:rPr>
          <w:color w:val="231F20"/>
          <w:sz w:val="22"/>
        </w:rPr>
        <w:t>提供工作条件</w:t>
      </w:r>
    </w:p>
    <w:p>
      <w:pPr>
        <w:pStyle w:val="BodyText"/>
        <w:tabs>
          <w:tab w:pos="9078" w:val="left" w:leader="none"/>
        </w:tabs>
        <w:ind w:left="557"/>
      </w:pPr>
      <w:r>
        <w:rPr>
          <w:color w:val="231F20"/>
        </w:rPr>
        <w:t>关于发包人应负责提供的工作条件包括</w:t>
      </w:r>
      <w:r>
        <w:rPr>
          <w:color w:val="231F20"/>
          <w:u w:val="single" w:color="231F20"/>
        </w:rPr>
        <w:t>：</w:t>
        <w:tab/>
      </w:r>
      <w:r>
        <w:rPr>
          <w:color w:val="231F20"/>
        </w:rPr>
        <w:t>。</w:t>
      </w:r>
    </w:p>
    <w:p>
      <w:pPr>
        <w:pStyle w:val="ListParagraph"/>
        <w:numPr>
          <w:ilvl w:val="1"/>
          <w:numId w:val="106"/>
        </w:numPr>
        <w:tabs>
          <w:tab w:pos="924" w:val="left" w:leader="none"/>
        </w:tabs>
        <w:spacing w:line="240" w:lineRule="auto" w:before="103" w:after="0"/>
        <w:ind w:left="923" w:right="0" w:hanging="366"/>
        <w:jc w:val="left"/>
        <w:rPr>
          <w:rFonts w:ascii="方正黑体_GBK" w:eastAsia="方正黑体_GBK" w:hint="eastAsia"/>
          <w:sz w:val="22"/>
        </w:rPr>
      </w:pPr>
      <w:r>
        <w:rPr>
          <w:rFonts w:ascii="方正黑体_GBK" w:eastAsia="方正黑体_GBK" w:hint="eastAsia"/>
          <w:color w:val="231F20"/>
          <w:sz w:val="22"/>
        </w:rPr>
        <w:t>提供基础资料</w:t>
      </w:r>
    </w:p>
    <w:p>
      <w:pPr>
        <w:pStyle w:val="BodyText"/>
        <w:tabs>
          <w:tab w:pos="9078" w:val="left" w:leader="none"/>
        </w:tabs>
        <w:spacing w:before="122"/>
        <w:ind w:left="557"/>
      </w:pPr>
      <w:r>
        <w:rPr>
          <w:color w:val="231F20"/>
        </w:rPr>
        <w:t>关于发包人应提供的基础资料的范围和期限</w:t>
      </w:r>
      <w:r>
        <w:rPr>
          <w:color w:val="231F20"/>
          <w:u w:val="single" w:color="231F20"/>
        </w:rPr>
        <w:t>：</w:t>
        <w:tab/>
      </w:r>
      <w:r>
        <w:rPr>
          <w:color w:val="231F20"/>
        </w:rPr>
        <w:t>。</w:t>
      </w:r>
    </w:p>
    <w:p>
      <w:pPr>
        <w:pStyle w:val="ListParagraph"/>
        <w:numPr>
          <w:ilvl w:val="1"/>
          <w:numId w:val="107"/>
        </w:numPr>
        <w:tabs>
          <w:tab w:pos="924" w:val="left" w:leader="none"/>
        </w:tabs>
        <w:spacing w:line="240" w:lineRule="auto" w:before="103" w:after="0"/>
        <w:ind w:left="923" w:right="0" w:hanging="366"/>
        <w:jc w:val="left"/>
        <w:rPr>
          <w:rFonts w:ascii="方正黑体_GBK" w:eastAsia="方正黑体_GBK" w:hint="eastAsia"/>
          <w:sz w:val="22"/>
        </w:rPr>
      </w:pPr>
      <w:r>
        <w:rPr>
          <w:rFonts w:ascii="方正黑体_GBK" w:eastAsia="方正黑体_GBK" w:hint="eastAsia"/>
          <w:color w:val="231F20"/>
          <w:sz w:val="22"/>
        </w:rPr>
        <w:t>支付合同价款</w:t>
      </w:r>
    </w:p>
    <w:p>
      <w:pPr>
        <w:pStyle w:val="ListParagraph"/>
        <w:numPr>
          <w:ilvl w:val="2"/>
          <w:numId w:val="107"/>
        </w:numPr>
        <w:tabs>
          <w:tab w:pos="1048" w:val="left" w:leader="none"/>
          <w:tab w:pos="9078" w:val="left" w:leader="none"/>
        </w:tabs>
        <w:spacing w:line="240" w:lineRule="auto" w:before="122" w:after="0"/>
        <w:ind w:left="1047" w:right="0" w:hanging="490"/>
        <w:jc w:val="left"/>
        <w:rPr>
          <w:sz w:val="22"/>
        </w:rPr>
      </w:pPr>
      <w:r>
        <w:rPr>
          <w:color w:val="231F20"/>
          <w:sz w:val="22"/>
        </w:rPr>
        <w:t>发包人提供资金来源证明及资金安排的期限要求</w:t>
      </w:r>
      <w:r>
        <w:rPr>
          <w:color w:val="231F20"/>
          <w:sz w:val="22"/>
          <w:u w:val="single" w:color="231F20"/>
        </w:rPr>
        <w:t>：</w:t>
        <w:tab/>
      </w:r>
      <w:r>
        <w:rPr>
          <w:color w:val="231F20"/>
          <w:sz w:val="22"/>
        </w:rPr>
        <w:t>。</w:t>
      </w:r>
    </w:p>
    <w:p>
      <w:pPr>
        <w:pStyle w:val="ListParagraph"/>
        <w:numPr>
          <w:ilvl w:val="2"/>
          <w:numId w:val="107"/>
        </w:numPr>
        <w:tabs>
          <w:tab w:pos="1048" w:val="left" w:leader="none"/>
          <w:tab w:pos="9078" w:val="left" w:leader="none"/>
        </w:tabs>
        <w:spacing w:line="240" w:lineRule="auto" w:before="109" w:after="0"/>
        <w:ind w:left="1047" w:right="0" w:hanging="490"/>
        <w:jc w:val="left"/>
        <w:rPr>
          <w:sz w:val="22"/>
        </w:rPr>
      </w:pPr>
      <w:r>
        <w:rPr>
          <w:color w:val="231F20"/>
          <w:sz w:val="22"/>
        </w:rPr>
        <w:t>发包人提供支付担保的形式、期限、金额（或比例</w:t>
      </w:r>
      <w:r>
        <w:rPr>
          <w:color w:val="231F20"/>
          <w:spacing w:val="-28"/>
          <w:sz w:val="22"/>
        </w:rPr>
        <w:t>）：</w:t>
        <w:tab/>
      </w:r>
      <w:r>
        <w:rPr>
          <w:color w:val="231F20"/>
          <w:sz w:val="22"/>
        </w:rPr>
        <w:t>。</w:t>
      </w:r>
    </w:p>
    <w:p>
      <w:pPr>
        <w:spacing w:after="0" w:line="240" w:lineRule="auto"/>
        <w:jc w:val="left"/>
        <w:rPr>
          <w:sz w:val="22"/>
        </w:rPr>
        <w:sectPr>
          <w:pgSz w:w="11910" w:h="16840"/>
          <w:pgMar w:header="0" w:footer="832" w:top="1580" w:bottom="1020" w:left="1300" w:right="1200"/>
        </w:sectPr>
      </w:pPr>
    </w:p>
    <w:p>
      <w:pPr>
        <w:pStyle w:val="BodyText"/>
        <w:spacing w:before="18"/>
        <w:ind w:left="557"/>
        <w:rPr>
          <w:rFonts w:ascii="方正黑体_GBK" w:eastAsia="方正黑体_GBK" w:hint="eastAsia"/>
        </w:rPr>
      </w:pPr>
      <w:r>
        <w:rPr>
          <w:rFonts w:ascii="方正黑体_GBK" w:eastAsia="方正黑体_GBK" w:hint="eastAsia"/>
          <w:color w:val="231F20"/>
        </w:rPr>
        <w:t>2.7 其他义务</w:t>
      </w:r>
    </w:p>
    <w:p>
      <w:pPr>
        <w:pStyle w:val="BodyText"/>
        <w:tabs>
          <w:tab w:pos="9078" w:val="left" w:leader="none"/>
        </w:tabs>
        <w:spacing w:before="122"/>
        <w:ind w:left="557"/>
      </w:pPr>
      <w:r>
        <w:rPr>
          <w:color w:val="231F20"/>
        </w:rPr>
        <w:t>发包人应履行的其他义务</w:t>
      </w:r>
      <w:r>
        <w:rPr>
          <w:color w:val="231F20"/>
          <w:u w:val="single" w:color="231F20"/>
        </w:rPr>
        <w:t>：</w:t>
        <w:tab/>
      </w:r>
      <w:r>
        <w:rPr>
          <w:color w:val="231F20"/>
        </w:rPr>
        <w:t>。</w:t>
      </w:r>
    </w:p>
    <w:p>
      <w:pPr>
        <w:pStyle w:val="BodyText"/>
        <w:tabs>
          <w:tab w:pos="1009" w:val="left" w:leader="none"/>
        </w:tabs>
        <w:spacing w:before="103"/>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3</w:t>
      </w:r>
      <w:r>
        <w:rPr>
          <w:rFonts w:ascii="方正黑体_GBK" w:eastAsia="方正黑体_GBK" w:hint="eastAsia"/>
          <w:color w:val="231F20"/>
          <w:spacing w:val="-7"/>
        </w:rPr>
        <w:t> </w:t>
      </w:r>
      <w:r>
        <w:rPr>
          <w:rFonts w:ascii="方正黑体_GBK" w:eastAsia="方正黑体_GBK" w:hint="eastAsia"/>
          <w:color w:val="231F20"/>
        </w:rPr>
        <w:t>条</w:t>
        <w:tab/>
        <w:t>发包人的管理</w:t>
      </w:r>
    </w:p>
    <w:p>
      <w:pPr>
        <w:pStyle w:val="ListParagraph"/>
        <w:numPr>
          <w:ilvl w:val="1"/>
          <w:numId w:val="108"/>
        </w:numPr>
        <w:tabs>
          <w:tab w:pos="924" w:val="left" w:leader="none"/>
        </w:tabs>
        <w:spacing w:line="240" w:lineRule="auto" w:before="116" w:after="0"/>
        <w:ind w:left="923" w:right="0" w:hanging="366"/>
        <w:jc w:val="left"/>
        <w:rPr>
          <w:rFonts w:ascii="方正黑体_GBK" w:eastAsia="方正黑体_GBK" w:hint="eastAsia"/>
          <w:sz w:val="22"/>
        </w:rPr>
      </w:pPr>
      <w:r>
        <w:rPr>
          <w:rFonts w:ascii="方正黑体_GBK" w:eastAsia="方正黑体_GBK" w:hint="eastAsia"/>
          <w:color w:val="231F20"/>
          <w:sz w:val="22"/>
        </w:rPr>
        <w:t>发包人代表</w:t>
      </w:r>
    </w:p>
    <w:p>
      <w:pPr>
        <w:pStyle w:val="BodyText"/>
        <w:tabs>
          <w:tab w:pos="9078" w:val="left" w:leader="none"/>
        </w:tabs>
        <w:spacing w:line="319" w:lineRule="auto" w:before="122"/>
        <w:ind w:left="557" w:right="105"/>
        <w:jc w:val="both"/>
      </w:pPr>
      <w:r>
        <w:rPr>
          <w:color w:val="231F20"/>
        </w:rPr>
        <w:t>发包人代表的姓名</w:t>
      </w:r>
      <w:r>
        <w:rPr>
          <w:color w:val="231F20"/>
          <w:u w:val="single" w:color="231F20"/>
        </w:rPr>
        <w:t>：</w:t>
        <w:tab/>
      </w:r>
      <w:r>
        <w:rPr>
          <w:color w:val="231F20"/>
        </w:rPr>
        <w:t>； 发包人代表的身份证号</w:t>
      </w:r>
      <w:r>
        <w:rPr>
          <w:color w:val="231F20"/>
          <w:u w:val="single" w:color="231F20"/>
        </w:rPr>
        <w:t>：</w:t>
        <w:tab/>
      </w:r>
      <w:r>
        <w:rPr>
          <w:color w:val="231F20"/>
        </w:rPr>
        <w:t>； 发包人代表的职务</w:t>
      </w:r>
      <w:r>
        <w:rPr>
          <w:color w:val="231F20"/>
          <w:u w:val="single" w:color="231F20"/>
        </w:rPr>
        <w:t>：</w:t>
        <w:tab/>
      </w:r>
      <w:r>
        <w:rPr>
          <w:color w:val="231F20"/>
        </w:rPr>
        <w:t>； 发包人代表的联系电话</w:t>
      </w:r>
      <w:r>
        <w:rPr>
          <w:color w:val="231F20"/>
          <w:u w:val="single" w:color="231F20"/>
        </w:rPr>
        <w:t>：</w:t>
        <w:tab/>
      </w:r>
      <w:r>
        <w:rPr>
          <w:color w:val="231F20"/>
        </w:rPr>
        <w:t>； 发包人代表的电子邮箱</w:t>
      </w:r>
      <w:r>
        <w:rPr>
          <w:color w:val="231F20"/>
          <w:u w:val="single" w:color="231F20"/>
        </w:rPr>
        <w:t>：</w:t>
        <w:tab/>
      </w:r>
      <w:r>
        <w:rPr>
          <w:color w:val="231F20"/>
        </w:rPr>
        <w:t>； 发包人代表的通信地址</w:t>
      </w:r>
      <w:r>
        <w:rPr>
          <w:color w:val="231F20"/>
          <w:u w:val="single" w:color="231F20"/>
        </w:rPr>
        <w:t>：</w:t>
        <w:tab/>
      </w:r>
      <w:r>
        <w:rPr>
          <w:color w:val="231F20"/>
        </w:rPr>
        <w:t>； 发包人对发包人代表的授权范围如下</w:t>
      </w:r>
      <w:r>
        <w:rPr>
          <w:color w:val="231F20"/>
          <w:u w:val="single" w:color="231F20"/>
        </w:rPr>
        <w:t>：</w:t>
        <w:tab/>
      </w:r>
      <w:r>
        <w:rPr>
          <w:color w:val="231F20"/>
        </w:rPr>
        <w:t>； 发包人代表的职责</w:t>
      </w:r>
      <w:r>
        <w:rPr>
          <w:color w:val="231F20"/>
          <w:u w:val="single" w:color="231F20"/>
        </w:rPr>
        <w:t>：</w:t>
        <w:tab/>
      </w:r>
      <w:r>
        <w:rPr>
          <w:color w:val="231F20"/>
        </w:rPr>
        <w:t>。</w:t>
      </w:r>
    </w:p>
    <w:p>
      <w:pPr>
        <w:pStyle w:val="ListParagraph"/>
        <w:numPr>
          <w:ilvl w:val="1"/>
          <w:numId w:val="108"/>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发包人人员</w:t>
      </w:r>
    </w:p>
    <w:p>
      <w:pPr>
        <w:pStyle w:val="BodyText"/>
        <w:tabs>
          <w:tab w:pos="9078" w:val="left" w:leader="none"/>
        </w:tabs>
        <w:spacing w:line="319" w:lineRule="auto" w:before="121"/>
        <w:ind w:left="557" w:right="105"/>
        <w:jc w:val="both"/>
      </w:pPr>
      <w:r>
        <w:rPr>
          <w:color w:val="231F20"/>
        </w:rPr>
        <w:t>发包人人员姓名</w:t>
      </w:r>
      <w:r>
        <w:rPr>
          <w:color w:val="231F20"/>
          <w:u w:val="single" w:color="231F20"/>
        </w:rPr>
        <w:t>：</w:t>
        <w:tab/>
      </w:r>
      <w:r>
        <w:rPr>
          <w:color w:val="231F20"/>
        </w:rPr>
        <w:t>； 发包人人员职务</w:t>
      </w:r>
      <w:r>
        <w:rPr>
          <w:color w:val="231F20"/>
          <w:u w:val="single" w:color="231F20"/>
        </w:rPr>
        <w:t>：</w:t>
        <w:tab/>
      </w:r>
      <w:r>
        <w:rPr>
          <w:color w:val="231F20"/>
        </w:rPr>
        <w:t>； 发包人人员职责</w:t>
      </w:r>
      <w:r>
        <w:rPr>
          <w:color w:val="231F20"/>
          <w:u w:val="single" w:color="231F20"/>
        </w:rPr>
        <w:t>：</w:t>
        <w:tab/>
      </w:r>
      <w:r>
        <w:rPr>
          <w:color w:val="231F20"/>
        </w:rPr>
        <w:t>。</w:t>
      </w:r>
    </w:p>
    <w:p>
      <w:pPr>
        <w:pStyle w:val="ListParagraph"/>
        <w:numPr>
          <w:ilvl w:val="1"/>
          <w:numId w:val="108"/>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工程师</w:t>
      </w:r>
    </w:p>
    <w:p>
      <w:pPr>
        <w:pStyle w:val="BodyText"/>
        <w:tabs>
          <w:tab w:pos="4042" w:val="left" w:leader="none"/>
          <w:tab w:pos="5699" w:val="left" w:leader="none"/>
          <w:tab w:pos="9078" w:val="left" w:leader="none"/>
        </w:tabs>
        <w:spacing w:line="319" w:lineRule="auto" w:before="122"/>
        <w:ind w:right="105" w:firstLine="440"/>
      </w:pPr>
      <w:r>
        <w:rPr>
          <w:color w:val="231F20"/>
        </w:rPr>
        <w:t>3.3.1 工程师名称</w:t>
      </w:r>
      <w:r>
        <w:rPr>
          <w:color w:val="231F20"/>
          <w:u w:val="single" w:color="231F20"/>
        </w:rPr>
        <w:t>：</w:t>
        <w:tab/>
      </w:r>
      <w:r>
        <w:rPr>
          <w:color w:val="231F20"/>
          <w:spacing w:val="-55"/>
        </w:rPr>
        <w:t>；</w:t>
      </w:r>
      <w:r>
        <w:rPr>
          <w:color w:val="231F20"/>
        </w:rPr>
        <w:t>工程师监督管理范围、内容</w:t>
      </w:r>
      <w:r>
        <w:rPr>
          <w:color w:val="231F20"/>
          <w:u w:val="single" w:color="231F20"/>
        </w:rPr>
        <w:t>：</w:t>
        <w:tab/>
      </w:r>
      <w:r>
        <w:rPr>
          <w:color w:val="231F20"/>
        </w:rPr>
        <w:t>； 工程师权限</w:t>
      </w:r>
      <w:r>
        <w:rPr>
          <w:color w:val="231F20"/>
          <w:u w:val="single" w:color="231F20"/>
        </w:rPr>
        <w:t>：</w:t>
        <w:tab/>
        <w:tab/>
      </w:r>
      <w:r>
        <w:rPr>
          <w:color w:val="231F20"/>
        </w:rPr>
        <w:t>。</w:t>
      </w:r>
    </w:p>
    <w:p>
      <w:pPr>
        <w:pStyle w:val="ListParagraph"/>
        <w:numPr>
          <w:ilvl w:val="1"/>
          <w:numId w:val="109"/>
        </w:numPr>
        <w:tabs>
          <w:tab w:pos="924" w:val="left" w:leader="none"/>
        </w:tabs>
        <w:spacing w:line="240" w:lineRule="auto" w:before="20" w:after="0"/>
        <w:ind w:left="923" w:right="0" w:hanging="366"/>
        <w:jc w:val="left"/>
        <w:rPr>
          <w:rFonts w:ascii="方正黑体_GBK" w:eastAsia="方正黑体_GBK" w:hint="eastAsia"/>
          <w:sz w:val="22"/>
        </w:rPr>
      </w:pPr>
      <w:r>
        <w:rPr>
          <w:rFonts w:ascii="方正黑体_GBK" w:eastAsia="方正黑体_GBK" w:hint="eastAsia"/>
          <w:color w:val="231F20"/>
          <w:sz w:val="22"/>
        </w:rPr>
        <w:t>商定或确定</w:t>
      </w:r>
    </w:p>
    <w:p>
      <w:pPr>
        <w:pStyle w:val="ListParagraph"/>
        <w:numPr>
          <w:ilvl w:val="2"/>
          <w:numId w:val="109"/>
        </w:numPr>
        <w:tabs>
          <w:tab w:pos="1048" w:val="left" w:leader="none"/>
          <w:tab w:pos="9078" w:val="left" w:leader="none"/>
        </w:tabs>
        <w:spacing w:line="240" w:lineRule="auto" w:before="122" w:after="0"/>
        <w:ind w:left="117" w:right="0" w:firstLine="440"/>
        <w:jc w:val="left"/>
        <w:rPr>
          <w:sz w:val="22"/>
        </w:rPr>
      </w:pPr>
      <w:r>
        <w:rPr>
          <w:color w:val="231F20"/>
          <w:sz w:val="22"/>
        </w:rPr>
        <w:t>关于商定时间限制的具体约定</w:t>
      </w:r>
      <w:r>
        <w:rPr>
          <w:color w:val="231F20"/>
          <w:sz w:val="22"/>
          <w:u w:val="single" w:color="231F20"/>
        </w:rPr>
        <w:t>：</w:t>
        <w:tab/>
      </w:r>
      <w:r>
        <w:rPr>
          <w:color w:val="231F20"/>
          <w:sz w:val="22"/>
        </w:rPr>
        <w:t>。</w:t>
      </w:r>
    </w:p>
    <w:p>
      <w:pPr>
        <w:pStyle w:val="ListParagraph"/>
        <w:numPr>
          <w:ilvl w:val="2"/>
          <w:numId w:val="109"/>
        </w:numPr>
        <w:tabs>
          <w:tab w:pos="1049" w:val="left" w:leader="none"/>
          <w:tab w:pos="7263" w:val="left" w:leader="none"/>
          <w:tab w:pos="9078" w:val="left" w:leader="none"/>
        </w:tabs>
        <w:spacing w:line="319" w:lineRule="auto" w:before="109" w:after="0"/>
        <w:ind w:left="117" w:right="105" w:firstLine="440"/>
        <w:jc w:val="left"/>
        <w:rPr>
          <w:sz w:val="22"/>
        </w:rPr>
      </w:pPr>
      <w:r>
        <w:rPr>
          <w:color w:val="231F20"/>
          <w:sz w:val="22"/>
        </w:rPr>
        <w:t>关于商定或确定效力的具体约定</w:t>
      </w:r>
      <w:r>
        <w:rPr>
          <w:color w:val="231F20"/>
          <w:sz w:val="22"/>
          <w:u w:val="single" w:color="231F20"/>
        </w:rPr>
        <w:t>：</w:t>
        <w:tab/>
      </w:r>
      <w:r>
        <w:rPr>
          <w:color w:val="231F20"/>
          <w:spacing w:val="-55"/>
          <w:sz w:val="22"/>
        </w:rPr>
        <w:t>；</w:t>
      </w:r>
      <w:r>
        <w:rPr>
          <w:color w:val="231F20"/>
          <w:sz w:val="22"/>
        </w:rPr>
        <w:t>关于对工程师的确定提出异议的具体约定</w:t>
      </w:r>
      <w:r>
        <w:rPr>
          <w:color w:val="231F20"/>
          <w:sz w:val="22"/>
          <w:u w:val="single" w:color="231F20"/>
        </w:rPr>
        <w:t>：</w:t>
        <w:tab/>
        <w:tab/>
      </w:r>
      <w:r>
        <w:rPr>
          <w:color w:val="231F20"/>
          <w:sz w:val="22"/>
        </w:rPr>
        <w:t>。</w:t>
      </w:r>
    </w:p>
    <w:p>
      <w:pPr>
        <w:pStyle w:val="ListParagraph"/>
        <w:numPr>
          <w:ilvl w:val="1"/>
          <w:numId w:val="109"/>
        </w:numPr>
        <w:tabs>
          <w:tab w:pos="924" w:val="left" w:leader="none"/>
        </w:tabs>
        <w:spacing w:line="240" w:lineRule="auto" w:before="20" w:after="0"/>
        <w:ind w:left="923" w:right="0" w:hanging="366"/>
        <w:jc w:val="left"/>
        <w:rPr>
          <w:rFonts w:ascii="方正黑体_GBK" w:eastAsia="方正黑体_GBK" w:hint="eastAsia"/>
          <w:sz w:val="22"/>
        </w:rPr>
      </w:pPr>
      <w:r>
        <w:rPr>
          <w:rFonts w:ascii="方正黑体_GBK" w:eastAsia="方正黑体_GBK" w:hint="eastAsia"/>
          <w:color w:val="231F20"/>
          <w:sz w:val="22"/>
        </w:rPr>
        <w:t>会议</w:t>
      </w:r>
    </w:p>
    <w:p>
      <w:pPr>
        <w:pStyle w:val="ListParagraph"/>
        <w:numPr>
          <w:ilvl w:val="2"/>
          <w:numId w:val="110"/>
        </w:numPr>
        <w:tabs>
          <w:tab w:pos="1048" w:val="left" w:leader="none"/>
          <w:tab w:pos="9078" w:val="left" w:leader="none"/>
        </w:tabs>
        <w:spacing w:line="240" w:lineRule="auto" w:before="122" w:after="0"/>
        <w:ind w:left="1047" w:right="0" w:hanging="490"/>
        <w:jc w:val="left"/>
        <w:rPr>
          <w:sz w:val="22"/>
        </w:rPr>
      </w:pPr>
      <w:r>
        <w:rPr>
          <w:color w:val="231F20"/>
          <w:sz w:val="22"/>
        </w:rPr>
        <w:t>关于召开会议的具体约定</w:t>
      </w:r>
      <w:r>
        <w:rPr>
          <w:color w:val="231F20"/>
          <w:sz w:val="22"/>
          <w:u w:val="single" w:color="231F20"/>
        </w:rPr>
        <w:t>：</w:t>
        <w:tab/>
      </w:r>
      <w:r>
        <w:rPr>
          <w:color w:val="231F20"/>
          <w:sz w:val="22"/>
        </w:rPr>
        <w:t>。</w:t>
      </w:r>
    </w:p>
    <w:p>
      <w:pPr>
        <w:pStyle w:val="ListParagraph"/>
        <w:numPr>
          <w:ilvl w:val="2"/>
          <w:numId w:val="110"/>
        </w:numPr>
        <w:tabs>
          <w:tab w:pos="1048" w:val="left" w:leader="none"/>
          <w:tab w:pos="9078" w:val="left" w:leader="none"/>
        </w:tabs>
        <w:spacing w:line="240" w:lineRule="auto" w:before="109" w:after="0"/>
        <w:ind w:left="1047" w:right="0" w:hanging="490"/>
        <w:jc w:val="left"/>
        <w:rPr>
          <w:sz w:val="22"/>
        </w:rPr>
      </w:pPr>
      <w:r>
        <w:rPr>
          <w:color w:val="231F20"/>
          <w:sz w:val="22"/>
        </w:rPr>
        <w:t>关于保存和提供会议纪要的具体约定</w:t>
      </w:r>
      <w:r>
        <w:rPr>
          <w:color w:val="231F20"/>
          <w:sz w:val="22"/>
          <w:u w:val="single" w:color="231F20"/>
        </w:rPr>
        <w:t>：</w:t>
        <w:tab/>
      </w:r>
      <w:r>
        <w:rPr>
          <w:color w:val="231F20"/>
          <w:sz w:val="22"/>
        </w:rPr>
        <w:t>。</w:t>
      </w:r>
    </w:p>
    <w:p>
      <w:pPr>
        <w:pStyle w:val="BodyText"/>
        <w:tabs>
          <w:tab w:pos="1009" w:val="left" w:leader="none"/>
        </w:tabs>
        <w:spacing w:before="103"/>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4</w:t>
      </w:r>
      <w:r>
        <w:rPr>
          <w:rFonts w:ascii="方正黑体_GBK" w:eastAsia="方正黑体_GBK" w:hint="eastAsia"/>
          <w:color w:val="231F20"/>
          <w:spacing w:val="-7"/>
        </w:rPr>
        <w:t> </w:t>
      </w:r>
      <w:r>
        <w:rPr>
          <w:rFonts w:ascii="方正黑体_GBK" w:eastAsia="方正黑体_GBK" w:hint="eastAsia"/>
          <w:color w:val="231F20"/>
        </w:rPr>
        <w:t>条</w:t>
        <w:tab/>
        <w:t>承包人</w:t>
      </w:r>
    </w:p>
    <w:p>
      <w:pPr>
        <w:pStyle w:val="ListParagraph"/>
        <w:numPr>
          <w:ilvl w:val="1"/>
          <w:numId w:val="111"/>
        </w:numPr>
        <w:tabs>
          <w:tab w:pos="924" w:val="left" w:leader="none"/>
        </w:tabs>
        <w:spacing w:line="240" w:lineRule="auto" w:before="116" w:after="0"/>
        <w:ind w:left="923" w:right="0" w:hanging="366"/>
        <w:jc w:val="left"/>
        <w:rPr>
          <w:rFonts w:ascii="方正黑体_GBK" w:eastAsia="方正黑体_GBK" w:hint="eastAsia"/>
          <w:sz w:val="22"/>
        </w:rPr>
      </w:pPr>
      <w:r>
        <w:rPr>
          <w:rFonts w:ascii="方正黑体_GBK" w:eastAsia="方正黑体_GBK" w:hint="eastAsia"/>
          <w:color w:val="231F20"/>
          <w:sz w:val="22"/>
        </w:rPr>
        <w:t>承包人的一般义务</w:t>
      </w:r>
    </w:p>
    <w:p>
      <w:pPr>
        <w:pStyle w:val="BodyText"/>
        <w:tabs>
          <w:tab w:pos="9078" w:val="left" w:leader="none"/>
        </w:tabs>
        <w:spacing w:before="122"/>
        <w:ind w:left="557"/>
      </w:pPr>
      <w:r>
        <w:rPr>
          <w:color w:val="231F20"/>
        </w:rPr>
        <w:t>承包人应履行的其他义务</w:t>
      </w:r>
      <w:r>
        <w:rPr>
          <w:color w:val="231F20"/>
          <w:u w:val="single" w:color="231F20"/>
        </w:rPr>
        <w:t>：</w:t>
        <w:tab/>
      </w:r>
      <w:r>
        <w:rPr>
          <w:color w:val="231F20"/>
        </w:rPr>
        <w:t>。</w:t>
      </w:r>
    </w:p>
    <w:p>
      <w:pPr>
        <w:pStyle w:val="ListParagraph"/>
        <w:numPr>
          <w:ilvl w:val="1"/>
          <w:numId w:val="111"/>
        </w:numPr>
        <w:tabs>
          <w:tab w:pos="924" w:val="left" w:leader="none"/>
        </w:tabs>
        <w:spacing w:line="240" w:lineRule="auto" w:before="103" w:after="0"/>
        <w:ind w:left="923" w:right="0" w:hanging="366"/>
        <w:jc w:val="left"/>
        <w:rPr>
          <w:rFonts w:ascii="方正黑体_GBK" w:eastAsia="方正黑体_GBK" w:hint="eastAsia"/>
          <w:sz w:val="22"/>
        </w:rPr>
      </w:pPr>
      <w:r>
        <w:rPr>
          <w:rFonts w:ascii="方正黑体_GBK" w:eastAsia="方正黑体_GBK" w:hint="eastAsia"/>
          <w:color w:val="231F20"/>
          <w:sz w:val="22"/>
        </w:rPr>
        <w:t>履约担保</w:t>
      </w:r>
    </w:p>
    <w:p>
      <w:pPr>
        <w:pStyle w:val="BodyText"/>
        <w:tabs>
          <w:tab w:pos="9078" w:val="left" w:leader="none"/>
        </w:tabs>
        <w:spacing w:before="122"/>
        <w:ind w:left="557"/>
      </w:pPr>
      <w:r>
        <w:rPr>
          <w:color w:val="231F20"/>
        </w:rPr>
        <w:t>承包人是否提供履约担保</w:t>
      </w:r>
      <w:r>
        <w:rPr>
          <w:color w:val="231F20"/>
          <w:u w:val="single" w:color="231F20"/>
        </w:rPr>
        <w:t>：</w:t>
        <w:tab/>
      </w:r>
      <w:r>
        <w:rPr>
          <w:color w:val="231F20"/>
        </w:rPr>
        <w:t>。</w:t>
      </w:r>
    </w:p>
    <w:p>
      <w:pPr>
        <w:spacing w:after="0"/>
        <w:sectPr>
          <w:footerReference w:type="even" r:id="rId38"/>
          <w:footerReference w:type="default" r:id="rId39"/>
          <w:pgSz w:w="11910" w:h="16840"/>
          <w:pgMar w:footer="832" w:header="0" w:top="1580" w:bottom="1020" w:left="1300" w:right="1200"/>
          <w:pgNumType w:start="82"/>
        </w:sectPr>
      </w:pPr>
    </w:p>
    <w:p>
      <w:pPr>
        <w:pStyle w:val="BodyText"/>
        <w:tabs>
          <w:tab w:pos="9078" w:val="left" w:leader="none"/>
        </w:tabs>
        <w:spacing w:before="24"/>
        <w:ind w:left="557"/>
      </w:pPr>
      <w:r>
        <w:rPr>
          <w:color w:val="231F20"/>
        </w:rPr>
        <w:t>履约担保的方式、金额及期限 :</w:t>
      </w:r>
      <w:r>
        <w:rPr>
          <w:color w:val="231F20"/>
          <w:u w:val="single" w:color="231F20"/>
        </w:rPr>
        <w:t> </w:t>
        <w:tab/>
      </w:r>
      <w:r>
        <w:rPr>
          <w:color w:val="231F20"/>
        </w:rPr>
        <w:t>。</w:t>
      </w:r>
    </w:p>
    <w:p>
      <w:pPr>
        <w:pStyle w:val="ListParagraph"/>
        <w:numPr>
          <w:ilvl w:val="1"/>
          <w:numId w:val="111"/>
        </w:numPr>
        <w:tabs>
          <w:tab w:pos="924" w:val="left" w:leader="none"/>
        </w:tabs>
        <w:spacing w:line="240" w:lineRule="auto" w:before="103" w:after="0"/>
        <w:ind w:left="923" w:right="0" w:hanging="366"/>
        <w:jc w:val="left"/>
        <w:rPr>
          <w:rFonts w:ascii="方正黑体_GBK" w:eastAsia="方正黑体_GBK" w:hint="eastAsia"/>
          <w:sz w:val="22"/>
        </w:rPr>
      </w:pPr>
      <w:r>
        <w:rPr>
          <w:rFonts w:ascii="方正黑体_GBK" w:eastAsia="方正黑体_GBK" w:hint="eastAsia"/>
          <w:color w:val="231F20"/>
          <w:sz w:val="22"/>
        </w:rPr>
        <w:t>工程总承包项目经理</w:t>
      </w:r>
    </w:p>
    <w:p>
      <w:pPr>
        <w:pStyle w:val="ListParagraph"/>
        <w:numPr>
          <w:ilvl w:val="2"/>
          <w:numId w:val="111"/>
        </w:numPr>
        <w:tabs>
          <w:tab w:pos="1048" w:val="left" w:leader="none"/>
          <w:tab w:pos="9078" w:val="left" w:leader="none"/>
        </w:tabs>
        <w:spacing w:line="319" w:lineRule="auto" w:before="122" w:after="0"/>
        <w:ind w:left="557" w:right="105" w:firstLine="0"/>
        <w:jc w:val="both"/>
        <w:rPr>
          <w:sz w:val="22"/>
        </w:rPr>
      </w:pPr>
      <w:r>
        <w:rPr>
          <w:color w:val="231F20"/>
          <w:sz w:val="22"/>
        </w:rPr>
        <w:t>工程总承包项目经理姓名</w:t>
      </w:r>
      <w:r>
        <w:rPr>
          <w:color w:val="231F20"/>
          <w:sz w:val="22"/>
          <w:u w:val="single" w:color="231F20"/>
        </w:rPr>
        <w:t>：</w:t>
        <w:tab/>
      </w:r>
      <w:r>
        <w:rPr>
          <w:color w:val="231F20"/>
          <w:sz w:val="22"/>
        </w:rPr>
        <w:t>； 执业资格或职称类型</w:t>
      </w:r>
      <w:r>
        <w:rPr>
          <w:color w:val="231F20"/>
          <w:sz w:val="22"/>
          <w:u w:val="single" w:color="231F20"/>
        </w:rPr>
        <w:t>：</w:t>
        <w:tab/>
      </w:r>
      <w:r>
        <w:rPr>
          <w:color w:val="231F20"/>
          <w:sz w:val="22"/>
        </w:rPr>
        <w:t>； 执业资格证或职称证号码</w:t>
      </w:r>
      <w:r>
        <w:rPr>
          <w:color w:val="231F20"/>
          <w:sz w:val="22"/>
          <w:u w:val="single" w:color="231F20"/>
        </w:rPr>
        <w:t>：</w:t>
        <w:tab/>
      </w:r>
      <w:r>
        <w:rPr>
          <w:color w:val="231F20"/>
          <w:sz w:val="22"/>
        </w:rPr>
        <w:t>； 联系电话</w:t>
      </w:r>
      <w:r>
        <w:rPr>
          <w:color w:val="231F20"/>
          <w:sz w:val="22"/>
          <w:u w:val="single" w:color="231F20"/>
        </w:rPr>
        <w:t>：</w:t>
        <w:tab/>
      </w:r>
      <w:r>
        <w:rPr>
          <w:color w:val="231F20"/>
          <w:sz w:val="22"/>
        </w:rPr>
        <w:t>； 电子邮箱</w:t>
      </w:r>
      <w:r>
        <w:rPr>
          <w:color w:val="231F20"/>
          <w:sz w:val="22"/>
          <w:u w:val="single" w:color="231F20"/>
        </w:rPr>
        <w:t>：</w:t>
        <w:tab/>
      </w:r>
      <w:r>
        <w:rPr>
          <w:color w:val="231F20"/>
          <w:sz w:val="22"/>
        </w:rPr>
        <w:t>； 通信地址</w:t>
      </w:r>
      <w:r>
        <w:rPr>
          <w:color w:val="231F20"/>
          <w:sz w:val="22"/>
          <w:u w:val="single" w:color="231F20"/>
        </w:rPr>
        <w:t>：</w:t>
        <w:tab/>
      </w:r>
      <w:r>
        <w:rPr>
          <w:color w:val="231F20"/>
          <w:sz w:val="22"/>
        </w:rPr>
        <w:t>。承包人未提交劳动合同，以及没有为工程总承包项目经理缴纳社会保险证明的违约责任：</w:t>
      </w:r>
    </w:p>
    <w:p>
      <w:pPr>
        <w:pStyle w:val="BodyText"/>
        <w:tabs>
          <w:tab w:pos="9078" w:val="left" w:leader="none"/>
        </w:tabs>
        <w:spacing w:before="26"/>
      </w:pPr>
      <w:r>
        <w:rPr>
          <w:rFonts w:ascii="Times New Roman" w:eastAsia="Times New Roman"/>
          <w:color w:val="231F20"/>
          <w:u w:val="single" w:color="231F20"/>
        </w:rPr>
        <w:t> </w:t>
        <w:tab/>
      </w:r>
      <w:r>
        <w:rPr>
          <w:color w:val="231F20"/>
        </w:rPr>
        <w:t>。</w:t>
      </w:r>
    </w:p>
    <w:p>
      <w:pPr>
        <w:pStyle w:val="ListParagraph"/>
        <w:numPr>
          <w:ilvl w:val="2"/>
          <w:numId w:val="111"/>
        </w:numPr>
        <w:tabs>
          <w:tab w:pos="1048" w:val="left" w:leader="none"/>
          <w:tab w:pos="9078" w:val="left" w:leader="none"/>
          <w:tab w:pos="9188" w:val="left" w:leader="none"/>
        </w:tabs>
        <w:spacing w:line="319" w:lineRule="auto" w:before="109" w:after="0"/>
        <w:ind w:left="557" w:right="105" w:firstLine="0"/>
        <w:jc w:val="left"/>
        <w:rPr>
          <w:sz w:val="22"/>
        </w:rPr>
      </w:pPr>
      <w:r>
        <w:rPr>
          <w:color w:val="231F20"/>
          <w:sz w:val="22"/>
        </w:rPr>
        <w:t>工程总承包项目经理每月在现场的时间要求</w:t>
      </w:r>
      <w:r>
        <w:rPr>
          <w:color w:val="231F20"/>
          <w:sz w:val="22"/>
          <w:u w:val="single" w:color="231F20"/>
        </w:rPr>
        <w:t>：</w:t>
        <w:tab/>
      </w:r>
      <w:r>
        <w:rPr>
          <w:color w:val="231F20"/>
          <w:sz w:val="22"/>
        </w:rPr>
        <w:t>。工程总承包项目经理未经批准擅自离开施工现场的违约责任</w:t>
      </w:r>
      <w:r>
        <w:rPr>
          <w:color w:val="231F20"/>
          <w:sz w:val="22"/>
          <w:u w:val="single" w:color="231F20"/>
        </w:rPr>
        <w:t>：</w:t>
        <w:tab/>
        <w:tab/>
      </w:r>
    </w:p>
    <w:p>
      <w:pPr>
        <w:pStyle w:val="BodyText"/>
        <w:tabs>
          <w:tab w:pos="9078" w:val="left" w:leader="none"/>
        </w:tabs>
        <w:spacing w:before="25"/>
      </w:pPr>
      <w:r>
        <w:rPr>
          <w:rFonts w:ascii="Times New Roman" w:eastAsia="Times New Roman"/>
          <w:color w:val="231F20"/>
          <w:u w:val="single" w:color="231F20"/>
        </w:rPr>
        <w:t> </w:t>
        <w:tab/>
      </w:r>
      <w:r>
        <w:rPr>
          <w:color w:val="231F20"/>
        </w:rPr>
        <w:t>。</w:t>
      </w:r>
    </w:p>
    <w:p>
      <w:pPr>
        <w:pStyle w:val="ListParagraph"/>
        <w:numPr>
          <w:ilvl w:val="2"/>
          <w:numId w:val="111"/>
        </w:numPr>
        <w:tabs>
          <w:tab w:pos="1048" w:val="left" w:leader="none"/>
          <w:tab w:pos="9078" w:val="left" w:leader="none"/>
        </w:tabs>
        <w:spacing w:line="240" w:lineRule="auto" w:before="109" w:after="0"/>
        <w:ind w:left="557" w:right="0" w:firstLine="0"/>
        <w:jc w:val="left"/>
        <w:rPr>
          <w:sz w:val="22"/>
        </w:rPr>
      </w:pPr>
      <w:r>
        <w:rPr>
          <w:color w:val="231F20"/>
          <w:sz w:val="22"/>
        </w:rPr>
        <w:t>承包人对工程总承包项目经理的授权范围</w:t>
      </w:r>
      <w:r>
        <w:rPr>
          <w:color w:val="231F20"/>
          <w:spacing w:val="-1"/>
          <w:sz w:val="22"/>
        </w:rPr>
        <w:t> </w:t>
      </w:r>
      <w:r>
        <w:rPr>
          <w:color w:val="231F20"/>
          <w:sz w:val="22"/>
        </w:rPr>
        <w:t>:</w:t>
      </w:r>
      <w:r>
        <w:rPr>
          <w:color w:val="231F20"/>
          <w:sz w:val="22"/>
          <w:u w:val="single" w:color="231F20"/>
        </w:rPr>
        <w:t> </w:t>
        <w:tab/>
      </w:r>
      <w:r>
        <w:rPr>
          <w:color w:val="231F20"/>
          <w:sz w:val="22"/>
        </w:rPr>
        <w:t>。</w:t>
      </w:r>
    </w:p>
    <w:p>
      <w:pPr>
        <w:pStyle w:val="ListParagraph"/>
        <w:numPr>
          <w:ilvl w:val="2"/>
          <w:numId w:val="111"/>
        </w:numPr>
        <w:tabs>
          <w:tab w:pos="1048" w:val="left" w:leader="none"/>
          <w:tab w:pos="9078" w:val="left" w:leader="none"/>
        </w:tabs>
        <w:spacing w:line="240" w:lineRule="auto" w:before="109" w:after="0"/>
        <w:ind w:left="557" w:right="0" w:firstLine="0"/>
        <w:jc w:val="left"/>
        <w:rPr>
          <w:sz w:val="22"/>
        </w:rPr>
      </w:pPr>
      <w:r>
        <w:rPr>
          <w:color w:val="231F20"/>
          <w:sz w:val="22"/>
        </w:rPr>
        <w:t>承包人擅自更换工程总承包项目经理的违约责任</w:t>
      </w:r>
      <w:r>
        <w:rPr>
          <w:color w:val="231F20"/>
          <w:sz w:val="22"/>
          <w:u w:val="single" w:color="231F20"/>
        </w:rPr>
        <w:t>：</w:t>
        <w:tab/>
      </w:r>
      <w:r>
        <w:rPr>
          <w:color w:val="231F20"/>
          <w:sz w:val="22"/>
        </w:rPr>
        <w:t>。</w:t>
      </w:r>
    </w:p>
    <w:p>
      <w:pPr>
        <w:pStyle w:val="ListParagraph"/>
        <w:numPr>
          <w:ilvl w:val="2"/>
          <w:numId w:val="111"/>
        </w:numPr>
        <w:tabs>
          <w:tab w:pos="1048" w:val="left" w:leader="none"/>
          <w:tab w:pos="9188" w:val="left" w:leader="none"/>
        </w:tabs>
        <w:spacing w:line="240" w:lineRule="auto" w:before="109" w:after="0"/>
        <w:ind w:left="557" w:right="0" w:firstLine="0"/>
        <w:jc w:val="left"/>
        <w:rPr>
          <w:rFonts w:ascii="Times New Roman" w:eastAsia="Times New Roman"/>
          <w:sz w:val="22"/>
        </w:rPr>
      </w:pPr>
      <w:r>
        <w:rPr>
          <w:color w:val="231F20"/>
          <w:sz w:val="22"/>
        </w:rPr>
        <w:t>承包人无正当理由拒绝更换工程总承包项目经理的违约责任</w:t>
      </w:r>
      <w:r>
        <w:rPr>
          <w:color w:val="231F20"/>
          <w:spacing w:val="-1"/>
          <w:sz w:val="22"/>
        </w:rPr>
        <w:t> </w:t>
      </w:r>
      <w:r>
        <w:rPr>
          <w:color w:val="231F20"/>
          <w:sz w:val="22"/>
        </w:rPr>
        <w:t>:</w:t>
      </w:r>
      <w:r>
        <w:rPr>
          <w:rFonts w:ascii="Times New Roman" w:eastAsia="Times New Roman"/>
          <w:color w:val="231F20"/>
          <w:sz w:val="22"/>
          <w:u w:val="single" w:color="231F20"/>
        </w:rPr>
        <w:t> </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1"/>
          <w:numId w:val="112"/>
        </w:numPr>
        <w:tabs>
          <w:tab w:pos="924" w:val="left" w:leader="none"/>
        </w:tabs>
        <w:spacing w:line="240" w:lineRule="auto" w:before="103" w:after="0"/>
        <w:ind w:left="923" w:right="0" w:hanging="366"/>
        <w:jc w:val="left"/>
        <w:rPr>
          <w:rFonts w:ascii="方正黑体_GBK" w:eastAsia="方正黑体_GBK" w:hint="eastAsia"/>
          <w:sz w:val="22"/>
        </w:rPr>
      </w:pPr>
      <w:r>
        <w:rPr>
          <w:rFonts w:ascii="方正黑体_GBK" w:eastAsia="方正黑体_GBK" w:hint="eastAsia"/>
          <w:color w:val="231F20"/>
          <w:sz w:val="22"/>
        </w:rPr>
        <w:t>承包人人员</w:t>
      </w:r>
    </w:p>
    <w:p>
      <w:pPr>
        <w:pStyle w:val="ListParagraph"/>
        <w:numPr>
          <w:ilvl w:val="2"/>
          <w:numId w:val="112"/>
        </w:numPr>
        <w:tabs>
          <w:tab w:pos="1048" w:val="left" w:leader="none"/>
        </w:tabs>
        <w:spacing w:line="240" w:lineRule="auto" w:before="122" w:after="0"/>
        <w:ind w:left="1047" w:right="0" w:hanging="490"/>
        <w:jc w:val="left"/>
        <w:rPr>
          <w:sz w:val="22"/>
        </w:rPr>
      </w:pPr>
      <w:r>
        <w:rPr>
          <w:color w:val="231F20"/>
          <w:sz w:val="22"/>
        </w:rPr>
        <w:t>人员安排</w:t>
      </w:r>
    </w:p>
    <w:p>
      <w:pPr>
        <w:pStyle w:val="BodyText"/>
        <w:tabs>
          <w:tab w:pos="9188" w:val="left" w:leader="none"/>
        </w:tabs>
        <w:ind w:left="557"/>
      </w:pPr>
      <w:r>
        <w:rPr>
          <w:color w:val="231F20"/>
        </w:rPr>
        <w:t>承包人提交项目管理机构及施工现场人员安排的报告的期限</w:t>
      </w:r>
      <w:r>
        <w:rPr>
          <w:color w:val="231F20"/>
          <w:u w:val="single" w:color="231F20"/>
        </w:rPr>
        <w:t>：</w:t>
        <w:tab/>
      </w:r>
    </w:p>
    <w:p>
      <w:pPr>
        <w:pStyle w:val="BodyText"/>
        <w:tabs>
          <w:tab w:pos="9078" w:val="left" w:leader="none"/>
        </w:tabs>
        <w:spacing w:line="319" w:lineRule="auto"/>
        <w:ind w:left="557" w:right="105" w:hanging="440"/>
      </w:pPr>
      <w:r>
        <w:rPr>
          <w:rFonts w:ascii="Times New Roman" w:eastAsia="Times New Roman"/>
          <w:color w:val="231F20"/>
          <w:u w:val="single" w:color="231F20"/>
        </w:rPr>
        <w:t> </w:t>
        <w:tab/>
        <w:tab/>
      </w:r>
      <w:r>
        <w:rPr>
          <w:color w:val="231F20"/>
        </w:rPr>
        <w:t>。承包人提交关键人员信息及注册执业资格等证明其具备担任关键人员能力的相关文件的期</w:t>
      </w:r>
    </w:p>
    <w:p>
      <w:pPr>
        <w:pStyle w:val="BodyText"/>
        <w:tabs>
          <w:tab w:pos="9078" w:val="left" w:leader="none"/>
        </w:tabs>
        <w:spacing w:before="25"/>
      </w:pPr>
      <w:r>
        <w:rPr>
          <w:color w:val="231F20"/>
        </w:rPr>
        <w:t>限</w:t>
      </w:r>
      <w:r>
        <w:rPr>
          <w:color w:val="231F20"/>
          <w:u w:val="single" w:color="231F20"/>
        </w:rPr>
        <w:t>：</w:t>
        <w:tab/>
      </w:r>
      <w:r>
        <w:rPr>
          <w:color w:val="231F20"/>
        </w:rPr>
        <w:t>。</w:t>
      </w:r>
    </w:p>
    <w:p>
      <w:pPr>
        <w:pStyle w:val="ListParagraph"/>
        <w:numPr>
          <w:ilvl w:val="2"/>
          <w:numId w:val="112"/>
        </w:numPr>
        <w:tabs>
          <w:tab w:pos="1048" w:val="left" w:leader="none"/>
        </w:tabs>
        <w:spacing w:line="240" w:lineRule="auto" w:before="109" w:after="0"/>
        <w:ind w:left="1047" w:right="0" w:hanging="490"/>
        <w:jc w:val="left"/>
        <w:rPr>
          <w:sz w:val="22"/>
        </w:rPr>
      </w:pPr>
      <w:r>
        <w:rPr>
          <w:color w:val="231F20"/>
          <w:sz w:val="22"/>
        </w:rPr>
        <w:t>关键人员更换</w:t>
      </w:r>
    </w:p>
    <w:p>
      <w:pPr>
        <w:pStyle w:val="BodyText"/>
        <w:tabs>
          <w:tab w:pos="9078" w:val="left" w:leader="none"/>
        </w:tabs>
        <w:spacing w:line="319" w:lineRule="auto"/>
        <w:ind w:left="557" w:right="105"/>
      </w:pPr>
      <w:r>
        <w:rPr>
          <w:color w:val="231F20"/>
        </w:rPr>
        <w:t>承包人擅自更换关键人员的违约责任</w:t>
      </w:r>
      <w:r>
        <w:rPr>
          <w:color w:val="231F20"/>
          <w:u w:val="single" w:color="231F20"/>
        </w:rPr>
        <w:t>：</w:t>
        <w:tab/>
      </w:r>
      <w:r>
        <w:rPr>
          <w:color w:val="231F20"/>
        </w:rPr>
        <w:t>。承包人无正当理由拒绝撤换关键人员的违约责任</w:t>
      </w:r>
      <w:r>
        <w:rPr>
          <w:color w:val="231F20"/>
          <w:u w:val="single" w:color="231F20"/>
        </w:rPr>
        <w:t>：</w:t>
        <w:tab/>
      </w:r>
      <w:r>
        <w:rPr>
          <w:color w:val="231F20"/>
        </w:rPr>
        <w:t>。</w:t>
      </w:r>
    </w:p>
    <w:p>
      <w:pPr>
        <w:pStyle w:val="ListParagraph"/>
        <w:numPr>
          <w:ilvl w:val="2"/>
          <w:numId w:val="112"/>
        </w:numPr>
        <w:tabs>
          <w:tab w:pos="1048" w:val="left" w:leader="none"/>
        </w:tabs>
        <w:spacing w:line="240" w:lineRule="auto" w:before="25" w:after="0"/>
        <w:ind w:left="1047" w:right="0" w:hanging="490"/>
        <w:jc w:val="left"/>
        <w:rPr>
          <w:sz w:val="22"/>
        </w:rPr>
      </w:pPr>
      <w:r>
        <w:rPr>
          <w:color w:val="231F20"/>
          <w:sz w:val="22"/>
        </w:rPr>
        <w:t>现场管理关键人员在岗要求</w:t>
      </w:r>
    </w:p>
    <w:p>
      <w:pPr>
        <w:pStyle w:val="BodyText"/>
        <w:tabs>
          <w:tab w:pos="9078" w:val="left" w:leader="none"/>
        </w:tabs>
        <w:spacing w:line="319" w:lineRule="auto"/>
        <w:ind w:left="557" w:right="105"/>
      </w:pPr>
      <w:r>
        <w:rPr>
          <w:color w:val="231F20"/>
        </w:rPr>
        <w:t>承包人现场管理关键人员离开施工现场的批准要求</w:t>
      </w:r>
      <w:r>
        <w:rPr>
          <w:color w:val="231F20"/>
          <w:u w:val="single" w:color="231F20"/>
        </w:rPr>
        <w:t>：</w:t>
        <w:tab/>
      </w:r>
      <w:r>
        <w:rPr>
          <w:color w:val="231F20"/>
        </w:rPr>
        <w:t>。承包人现场管理关键人员擅自离开施工现场的违约责任</w:t>
      </w:r>
      <w:r>
        <w:rPr>
          <w:color w:val="231F20"/>
          <w:u w:val="single" w:color="231F20"/>
        </w:rPr>
        <w:t>：</w:t>
        <w:tab/>
      </w:r>
      <w:r>
        <w:rPr>
          <w:color w:val="231F20"/>
        </w:rPr>
        <w:t>。</w:t>
      </w:r>
    </w:p>
    <w:p>
      <w:pPr>
        <w:pStyle w:val="ListParagraph"/>
        <w:numPr>
          <w:ilvl w:val="1"/>
          <w:numId w:val="113"/>
        </w:numPr>
        <w:tabs>
          <w:tab w:pos="924" w:val="left" w:leader="none"/>
        </w:tabs>
        <w:spacing w:line="240" w:lineRule="auto" w:before="20" w:after="0"/>
        <w:ind w:left="923" w:right="0" w:hanging="366"/>
        <w:jc w:val="left"/>
        <w:rPr>
          <w:rFonts w:ascii="方正黑体_GBK" w:eastAsia="方正黑体_GBK" w:hint="eastAsia"/>
          <w:sz w:val="22"/>
        </w:rPr>
      </w:pPr>
      <w:r>
        <w:rPr>
          <w:rFonts w:ascii="方正黑体_GBK" w:eastAsia="方正黑体_GBK" w:hint="eastAsia"/>
          <w:color w:val="231F20"/>
          <w:sz w:val="22"/>
        </w:rPr>
        <w:t>分包</w:t>
      </w:r>
    </w:p>
    <w:p>
      <w:pPr>
        <w:pStyle w:val="ListParagraph"/>
        <w:numPr>
          <w:ilvl w:val="2"/>
          <w:numId w:val="113"/>
        </w:numPr>
        <w:tabs>
          <w:tab w:pos="1048" w:val="left" w:leader="none"/>
        </w:tabs>
        <w:spacing w:line="240" w:lineRule="auto" w:before="122" w:after="0"/>
        <w:ind w:left="1047" w:right="0" w:hanging="490"/>
        <w:jc w:val="left"/>
        <w:rPr>
          <w:sz w:val="22"/>
        </w:rPr>
      </w:pPr>
      <w:r>
        <w:rPr>
          <w:color w:val="231F20"/>
          <w:sz w:val="22"/>
        </w:rPr>
        <w:t>一般约定</w:t>
      </w:r>
    </w:p>
    <w:p>
      <w:pPr>
        <w:spacing w:after="0" w:line="240" w:lineRule="auto"/>
        <w:jc w:val="left"/>
        <w:rPr>
          <w:sz w:val="22"/>
        </w:rPr>
        <w:sectPr>
          <w:pgSz w:w="11910" w:h="16840"/>
          <w:pgMar w:header="0" w:footer="832" w:top="1580" w:bottom="1020" w:left="1300" w:right="1200"/>
        </w:sectPr>
      </w:pPr>
    </w:p>
    <w:p>
      <w:pPr>
        <w:pStyle w:val="BodyText"/>
        <w:tabs>
          <w:tab w:pos="9078" w:val="left" w:leader="none"/>
        </w:tabs>
        <w:spacing w:before="24"/>
        <w:ind w:left="557"/>
      </w:pPr>
      <w:r>
        <w:rPr>
          <w:color w:val="231F20"/>
        </w:rPr>
        <w:t>禁止分包的工程包括</w:t>
      </w:r>
      <w:r>
        <w:rPr>
          <w:color w:val="231F20"/>
          <w:u w:val="single" w:color="231F20"/>
        </w:rPr>
        <w:t>：</w:t>
        <w:tab/>
      </w:r>
      <w:r>
        <w:rPr>
          <w:color w:val="231F20"/>
        </w:rPr>
        <w:t>。</w:t>
      </w:r>
    </w:p>
    <w:p>
      <w:pPr>
        <w:pStyle w:val="ListParagraph"/>
        <w:numPr>
          <w:ilvl w:val="2"/>
          <w:numId w:val="113"/>
        </w:numPr>
        <w:tabs>
          <w:tab w:pos="1048" w:val="left" w:leader="none"/>
        </w:tabs>
        <w:spacing w:line="240" w:lineRule="auto" w:before="129" w:after="0"/>
        <w:ind w:left="1047" w:right="0" w:hanging="490"/>
        <w:jc w:val="left"/>
        <w:rPr>
          <w:sz w:val="22"/>
        </w:rPr>
      </w:pPr>
      <w:r>
        <w:rPr>
          <w:color w:val="231F20"/>
          <w:sz w:val="22"/>
        </w:rPr>
        <w:t>分包的确定</w:t>
      </w:r>
    </w:p>
    <w:p>
      <w:pPr>
        <w:pStyle w:val="BodyText"/>
        <w:tabs>
          <w:tab w:pos="9078" w:val="left" w:leader="none"/>
        </w:tabs>
        <w:spacing w:line="333" w:lineRule="auto" w:before="129"/>
        <w:ind w:left="557" w:right="105"/>
      </w:pPr>
      <w:r>
        <w:rPr>
          <w:color w:val="231F20"/>
        </w:rPr>
        <w:t>允许分包的工程包括</w:t>
      </w:r>
      <w:r>
        <w:rPr>
          <w:color w:val="231F20"/>
          <w:u w:val="single" w:color="231F20"/>
        </w:rPr>
        <w:t>：</w:t>
        <w:tab/>
      </w:r>
      <w:r>
        <w:rPr>
          <w:color w:val="231F20"/>
        </w:rPr>
        <w:t>。其他关于分包的约定</w:t>
      </w:r>
      <w:r>
        <w:rPr>
          <w:color w:val="231F20"/>
          <w:u w:val="single" w:color="231F20"/>
        </w:rPr>
        <w:t>：</w:t>
        <w:tab/>
      </w:r>
      <w:r>
        <w:rPr>
          <w:color w:val="231F20"/>
        </w:rPr>
        <w:t>。</w:t>
      </w:r>
    </w:p>
    <w:p>
      <w:pPr>
        <w:pStyle w:val="BodyText"/>
        <w:spacing w:before="30"/>
        <w:ind w:left="557"/>
      </w:pPr>
      <w:r>
        <w:rPr>
          <w:color w:val="231F20"/>
        </w:rPr>
        <w:t>4.5.5 分包合同价款支付</w:t>
      </w:r>
    </w:p>
    <w:p>
      <w:pPr>
        <w:pStyle w:val="BodyText"/>
        <w:tabs>
          <w:tab w:pos="9078" w:val="left" w:leader="none"/>
        </w:tabs>
        <w:spacing w:before="128"/>
        <w:ind w:left="557"/>
      </w:pPr>
      <w:r>
        <w:rPr>
          <w:color w:val="231F20"/>
        </w:rPr>
        <w:t>关于分包合同价款支付的约定</w:t>
      </w:r>
      <w:r>
        <w:rPr>
          <w:color w:val="231F20"/>
          <w:u w:val="single" w:color="231F20"/>
        </w:rPr>
        <w:t>：</w:t>
        <w:tab/>
      </w:r>
      <w:r>
        <w:rPr>
          <w:color w:val="231F20"/>
        </w:rPr>
        <w:t>。</w:t>
      </w:r>
    </w:p>
    <w:p>
      <w:pPr>
        <w:pStyle w:val="BodyText"/>
        <w:spacing w:before="122"/>
        <w:ind w:left="557"/>
        <w:rPr>
          <w:rFonts w:ascii="方正黑体_GBK" w:eastAsia="方正黑体_GBK" w:hint="eastAsia"/>
        </w:rPr>
      </w:pPr>
      <w:r>
        <w:rPr>
          <w:rFonts w:ascii="方正黑体_GBK" w:eastAsia="方正黑体_GBK" w:hint="eastAsia"/>
          <w:color w:val="231F20"/>
        </w:rPr>
        <w:t>4.6 联合体</w:t>
      </w:r>
    </w:p>
    <w:p>
      <w:pPr>
        <w:pStyle w:val="BodyText"/>
        <w:tabs>
          <w:tab w:pos="9078" w:val="left" w:leader="none"/>
        </w:tabs>
        <w:spacing w:before="141"/>
        <w:ind w:left="557"/>
      </w:pPr>
      <w:r>
        <w:rPr>
          <w:color w:val="231F20"/>
        </w:rPr>
        <w:t>4.6.2</w:t>
      </w:r>
      <w:r>
        <w:rPr>
          <w:color w:val="231F20"/>
          <w:spacing w:val="-2"/>
        </w:rPr>
        <w:t> </w:t>
      </w:r>
      <w:r>
        <w:rPr>
          <w:color w:val="231F20"/>
        </w:rPr>
        <w:t>联合体各成员的分工、费用收取、发票开具等事项</w:t>
      </w:r>
      <w:r>
        <w:rPr>
          <w:color w:val="231F20"/>
          <w:u w:val="single" w:color="231F20"/>
        </w:rPr>
        <w:t>：</w:t>
        <w:tab/>
      </w:r>
      <w:r>
        <w:rPr>
          <w:color w:val="231F20"/>
        </w:rPr>
        <w:t>。</w:t>
      </w:r>
    </w:p>
    <w:p>
      <w:pPr>
        <w:pStyle w:val="BodyText"/>
        <w:spacing w:before="122"/>
        <w:ind w:left="557"/>
        <w:rPr>
          <w:rFonts w:ascii="方正黑体_GBK" w:eastAsia="方正黑体_GBK" w:hint="eastAsia"/>
        </w:rPr>
      </w:pPr>
      <w:r>
        <w:rPr>
          <w:rFonts w:ascii="方正黑体_GBK" w:eastAsia="方正黑体_GBK" w:hint="eastAsia"/>
          <w:color w:val="231F20"/>
        </w:rPr>
        <w:t>4.7 承包人现场查勘</w:t>
      </w:r>
    </w:p>
    <w:p>
      <w:pPr>
        <w:pStyle w:val="BodyText"/>
        <w:tabs>
          <w:tab w:pos="9078" w:val="left" w:leader="none"/>
        </w:tabs>
        <w:spacing w:before="141"/>
        <w:ind w:left="557"/>
      </w:pPr>
      <w:r>
        <w:rPr>
          <w:color w:val="231F20"/>
        </w:rPr>
        <w:t>4.7.1</w:t>
      </w:r>
      <w:r>
        <w:rPr>
          <w:color w:val="231F20"/>
          <w:spacing w:val="-2"/>
        </w:rPr>
        <w:t> </w:t>
      </w:r>
      <w:r>
        <w:rPr>
          <w:color w:val="231F20"/>
        </w:rPr>
        <w:t>双方当事人对现场查勘的责任承担的约定</w:t>
      </w:r>
      <w:r>
        <w:rPr>
          <w:color w:val="231F20"/>
          <w:u w:val="single" w:color="231F20"/>
        </w:rPr>
        <w:t>：</w:t>
        <w:tab/>
      </w:r>
      <w:r>
        <w:rPr>
          <w:color w:val="231F20"/>
        </w:rPr>
        <w:t>。</w:t>
      </w:r>
    </w:p>
    <w:p>
      <w:pPr>
        <w:pStyle w:val="BodyText"/>
        <w:spacing w:before="122"/>
        <w:ind w:left="557"/>
        <w:rPr>
          <w:rFonts w:ascii="方正黑体_GBK" w:eastAsia="方正黑体_GBK" w:hint="eastAsia"/>
        </w:rPr>
      </w:pPr>
      <w:r>
        <w:rPr>
          <w:rFonts w:ascii="方正黑体_GBK" w:eastAsia="方正黑体_GBK" w:hint="eastAsia"/>
          <w:color w:val="231F20"/>
        </w:rPr>
        <w:t>4.8 不可预见的困难</w:t>
      </w:r>
    </w:p>
    <w:p>
      <w:pPr>
        <w:pStyle w:val="BodyText"/>
        <w:tabs>
          <w:tab w:pos="9078" w:val="left" w:leader="none"/>
        </w:tabs>
        <w:spacing w:before="142"/>
        <w:ind w:left="557"/>
      </w:pPr>
      <w:r>
        <w:rPr>
          <w:color w:val="231F20"/>
        </w:rPr>
        <w:t>不可预见的困难包括</w:t>
      </w:r>
      <w:r>
        <w:rPr>
          <w:color w:val="231F20"/>
          <w:u w:val="single" w:color="231F20"/>
        </w:rPr>
        <w:t>：</w:t>
        <w:tab/>
      </w:r>
      <w:r>
        <w:rPr>
          <w:color w:val="231F20"/>
        </w:rPr>
        <w:t>。</w:t>
      </w:r>
    </w:p>
    <w:p>
      <w:pPr>
        <w:pStyle w:val="BodyText"/>
        <w:tabs>
          <w:tab w:pos="1009" w:val="left" w:leader="none"/>
        </w:tabs>
        <w:spacing w:before="123"/>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5</w:t>
      </w:r>
      <w:r>
        <w:rPr>
          <w:rFonts w:ascii="方正黑体_GBK" w:eastAsia="方正黑体_GBK" w:hint="eastAsia"/>
          <w:color w:val="231F20"/>
          <w:spacing w:val="-7"/>
        </w:rPr>
        <w:t> </w:t>
      </w:r>
      <w:r>
        <w:rPr>
          <w:rFonts w:ascii="方正黑体_GBK" w:eastAsia="方正黑体_GBK" w:hint="eastAsia"/>
          <w:color w:val="231F20"/>
        </w:rPr>
        <w:t>条</w:t>
        <w:tab/>
        <w:t>设计</w:t>
      </w:r>
    </w:p>
    <w:p>
      <w:pPr>
        <w:pStyle w:val="ListParagraph"/>
        <w:numPr>
          <w:ilvl w:val="1"/>
          <w:numId w:val="114"/>
        </w:numPr>
        <w:tabs>
          <w:tab w:pos="924" w:val="left" w:leader="none"/>
        </w:tabs>
        <w:spacing w:line="240" w:lineRule="auto" w:before="135" w:after="0"/>
        <w:ind w:left="923" w:right="0" w:hanging="366"/>
        <w:jc w:val="left"/>
        <w:rPr>
          <w:rFonts w:ascii="方正黑体_GBK" w:eastAsia="方正黑体_GBK" w:hint="eastAsia"/>
          <w:sz w:val="22"/>
        </w:rPr>
      </w:pPr>
      <w:r>
        <w:rPr>
          <w:rFonts w:ascii="方正黑体_GBK" w:eastAsia="方正黑体_GBK" w:hint="eastAsia"/>
          <w:color w:val="231F20"/>
          <w:sz w:val="22"/>
        </w:rPr>
        <w:t>承包人文件审查</w:t>
      </w:r>
    </w:p>
    <w:p>
      <w:pPr>
        <w:pStyle w:val="ListParagraph"/>
        <w:numPr>
          <w:ilvl w:val="2"/>
          <w:numId w:val="114"/>
        </w:numPr>
        <w:tabs>
          <w:tab w:pos="1048" w:val="left" w:leader="none"/>
          <w:tab w:pos="9078" w:val="left" w:leader="none"/>
        </w:tabs>
        <w:spacing w:line="240" w:lineRule="auto" w:before="141" w:after="0"/>
        <w:ind w:left="117" w:right="0" w:firstLine="440"/>
        <w:jc w:val="left"/>
        <w:rPr>
          <w:sz w:val="22"/>
        </w:rPr>
      </w:pPr>
      <w:r>
        <w:rPr>
          <w:color w:val="231F20"/>
          <w:sz w:val="22"/>
        </w:rPr>
        <w:t>承包人文件审查的期限</w:t>
      </w:r>
      <w:r>
        <w:rPr>
          <w:color w:val="231F20"/>
          <w:sz w:val="22"/>
          <w:u w:val="single" w:color="231F20"/>
        </w:rPr>
        <w:t>：</w:t>
        <w:tab/>
      </w:r>
      <w:r>
        <w:rPr>
          <w:color w:val="231F20"/>
          <w:sz w:val="22"/>
        </w:rPr>
        <w:t>。</w:t>
      </w:r>
    </w:p>
    <w:p>
      <w:pPr>
        <w:pStyle w:val="ListParagraph"/>
        <w:numPr>
          <w:ilvl w:val="2"/>
          <w:numId w:val="114"/>
        </w:numPr>
        <w:tabs>
          <w:tab w:pos="1067" w:val="left" w:leader="none"/>
          <w:tab w:pos="3857" w:val="left" w:leader="none"/>
          <w:tab w:pos="6973" w:val="left" w:leader="none"/>
        </w:tabs>
        <w:spacing w:line="333" w:lineRule="auto" w:before="129" w:after="0"/>
        <w:ind w:left="117" w:right="214" w:firstLine="440"/>
        <w:jc w:val="left"/>
        <w:rPr>
          <w:sz w:val="22"/>
        </w:rPr>
      </w:pPr>
      <w:r>
        <w:rPr>
          <w:color w:val="231F20"/>
          <w:sz w:val="22"/>
        </w:rPr>
        <w:t>审查会议的审查形式和时间安排为：</w:t>
        <w:tab/>
        <w:t>，审查会议的相关费用 由</w:t>
      </w:r>
      <w:r>
        <w:rPr>
          <w:color w:val="231F20"/>
          <w:sz w:val="22"/>
          <w:u w:val="single" w:color="231F20"/>
        </w:rPr>
        <w:t> </w:t>
        <w:tab/>
      </w:r>
      <w:r>
        <w:rPr>
          <w:color w:val="231F20"/>
          <w:sz w:val="22"/>
        </w:rPr>
        <w:t>承担。</w:t>
      </w:r>
    </w:p>
    <w:p>
      <w:pPr>
        <w:pStyle w:val="ListParagraph"/>
        <w:numPr>
          <w:ilvl w:val="2"/>
          <w:numId w:val="114"/>
        </w:numPr>
        <w:tabs>
          <w:tab w:pos="1048" w:val="left" w:leader="none"/>
          <w:tab w:pos="9078" w:val="left" w:leader="none"/>
        </w:tabs>
        <w:spacing w:line="240" w:lineRule="auto" w:before="31" w:after="0"/>
        <w:ind w:left="117" w:right="0" w:firstLine="440"/>
        <w:jc w:val="left"/>
        <w:rPr>
          <w:sz w:val="22"/>
        </w:rPr>
      </w:pPr>
      <w:r>
        <w:rPr>
          <w:color w:val="231F20"/>
          <w:sz w:val="22"/>
        </w:rPr>
        <w:t>关于第三方审查单位的约定</w:t>
      </w:r>
      <w:r>
        <w:rPr>
          <w:color w:val="231F20"/>
          <w:sz w:val="22"/>
          <w:u w:val="single" w:color="231F20"/>
        </w:rPr>
        <w:t>：</w:t>
        <w:tab/>
      </w:r>
      <w:r>
        <w:rPr>
          <w:color w:val="231F20"/>
          <w:sz w:val="22"/>
        </w:rPr>
        <w:t>。</w:t>
      </w:r>
    </w:p>
    <w:p>
      <w:pPr>
        <w:pStyle w:val="ListParagraph"/>
        <w:numPr>
          <w:ilvl w:val="1"/>
          <w:numId w:val="115"/>
        </w:numPr>
        <w:tabs>
          <w:tab w:pos="924" w:val="left" w:leader="none"/>
        </w:tabs>
        <w:spacing w:line="240" w:lineRule="auto" w:before="123" w:after="0"/>
        <w:ind w:left="923" w:right="0" w:hanging="366"/>
        <w:jc w:val="left"/>
        <w:rPr>
          <w:rFonts w:ascii="方正黑体_GBK" w:eastAsia="方正黑体_GBK" w:hint="eastAsia"/>
          <w:sz w:val="22"/>
        </w:rPr>
      </w:pPr>
      <w:r>
        <w:rPr>
          <w:rFonts w:ascii="方正黑体_GBK" w:eastAsia="方正黑体_GBK" w:hint="eastAsia"/>
          <w:color w:val="231F20"/>
          <w:sz w:val="22"/>
        </w:rPr>
        <w:t>培训</w:t>
      </w:r>
    </w:p>
    <w:p>
      <w:pPr>
        <w:pStyle w:val="BodyText"/>
        <w:tabs>
          <w:tab w:pos="3241" w:val="left" w:leader="none"/>
          <w:tab w:pos="9188" w:val="left" w:leader="none"/>
        </w:tabs>
        <w:spacing w:before="142"/>
        <w:ind w:left="557"/>
        <w:rPr>
          <w:rFonts w:ascii="Times New Roman" w:eastAsia="Times New Roman"/>
        </w:rPr>
      </w:pPr>
      <w:r>
        <w:rPr>
          <w:color w:val="231F20"/>
        </w:rPr>
        <w:t>培训的时长为</w:t>
      </w:r>
      <w:r>
        <w:rPr>
          <w:color w:val="231F20"/>
          <w:u w:val="single" w:color="231F20"/>
        </w:rPr>
        <w:t> </w:t>
        <w:tab/>
      </w:r>
      <w:r>
        <w:rPr>
          <w:color w:val="231F20"/>
        </w:rPr>
        <w:t>，承包人应为培训提供的人员、设施和其它必要条件为</w:t>
      </w:r>
      <w:r>
        <w:rPr>
          <w:rFonts w:ascii="Times New Roman" w:eastAsia="Times New Roman"/>
          <w:color w:val="231F20"/>
          <w:u w:val="single" w:color="231F20"/>
        </w:rPr>
        <w:t> </w:t>
        <w:tab/>
      </w:r>
    </w:p>
    <w:p>
      <w:pPr>
        <w:pStyle w:val="BodyText"/>
        <w:tabs>
          <w:tab w:pos="9078" w:val="left" w:leader="none"/>
        </w:tabs>
        <w:spacing w:before="129"/>
      </w:pPr>
      <w:r>
        <w:rPr>
          <w:rFonts w:ascii="Times New Roman" w:eastAsia="Times New Roman"/>
          <w:color w:val="231F20"/>
          <w:u w:val="single" w:color="231F20"/>
        </w:rPr>
        <w:t> </w:t>
        <w:tab/>
      </w:r>
      <w:r>
        <w:rPr>
          <w:color w:val="231F20"/>
        </w:rPr>
        <w:t>。</w:t>
      </w:r>
    </w:p>
    <w:p>
      <w:pPr>
        <w:pStyle w:val="ListParagraph"/>
        <w:numPr>
          <w:ilvl w:val="1"/>
          <w:numId w:val="115"/>
        </w:numPr>
        <w:tabs>
          <w:tab w:pos="924" w:val="left" w:leader="none"/>
        </w:tabs>
        <w:spacing w:line="240" w:lineRule="auto" w:before="123" w:after="0"/>
        <w:ind w:left="923" w:right="0" w:hanging="366"/>
        <w:jc w:val="left"/>
        <w:rPr>
          <w:rFonts w:ascii="方正黑体_GBK" w:eastAsia="方正黑体_GBK" w:hint="eastAsia"/>
          <w:sz w:val="22"/>
        </w:rPr>
      </w:pPr>
      <w:r>
        <w:rPr>
          <w:rFonts w:ascii="方正黑体_GBK" w:eastAsia="方正黑体_GBK" w:hint="eastAsia"/>
          <w:color w:val="231F20"/>
          <w:sz w:val="22"/>
        </w:rPr>
        <w:t>竣工文件</w:t>
      </w:r>
    </w:p>
    <w:p>
      <w:pPr>
        <w:pStyle w:val="BodyText"/>
        <w:tabs>
          <w:tab w:pos="9188" w:val="left" w:leader="none"/>
        </w:tabs>
        <w:spacing w:before="142"/>
        <w:ind w:left="557"/>
      </w:pPr>
      <w:r>
        <w:rPr>
          <w:color w:val="231F20"/>
        </w:rPr>
        <w:t>5.4.1</w:t>
      </w:r>
      <w:r>
        <w:rPr>
          <w:color w:val="231F20"/>
          <w:spacing w:val="-5"/>
        </w:rPr>
        <w:t> </w:t>
      </w:r>
      <w:r>
        <w:rPr>
          <w:color w:val="231F20"/>
        </w:rPr>
        <w:t>竣工文件的形式、提供的份数、技术标准以及其它相关要求</w:t>
      </w:r>
      <w:r>
        <w:rPr>
          <w:color w:val="231F20"/>
          <w:u w:val="single" w:color="231F20"/>
        </w:rPr>
        <w:t>：</w:t>
        <w:tab/>
      </w:r>
    </w:p>
    <w:p>
      <w:pPr>
        <w:pStyle w:val="BodyText"/>
        <w:tabs>
          <w:tab w:pos="9078" w:val="left" w:leader="none"/>
        </w:tabs>
        <w:spacing w:before="129"/>
      </w:pPr>
      <w:r>
        <w:rPr>
          <w:rFonts w:ascii="Times New Roman" w:eastAsia="Times New Roman"/>
          <w:color w:val="231F20"/>
          <w:u w:val="single" w:color="231F20"/>
        </w:rPr>
        <w:t> </w:t>
        <w:tab/>
      </w:r>
      <w:r>
        <w:rPr>
          <w:color w:val="231F20"/>
        </w:rPr>
        <w:t>。</w:t>
      </w:r>
    </w:p>
    <w:p>
      <w:pPr>
        <w:pStyle w:val="BodyText"/>
        <w:tabs>
          <w:tab w:pos="9078" w:val="left" w:leader="none"/>
        </w:tabs>
        <w:spacing w:before="129"/>
        <w:ind w:left="557"/>
      </w:pPr>
      <w:r>
        <w:rPr>
          <w:color w:val="231F20"/>
        </w:rPr>
        <w:t>5.4.3</w:t>
      </w:r>
      <w:r>
        <w:rPr>
          <w:color w:val="231F20"/>
          <w:spacing w:val="-2"/>
        </w:rPr>
        <w:t> </w:t>
      </w:r>
      <w:r>
        <w:rPr>
          <w:color w:val="231F20"/>
        </w:rPr>
        <w:t>关于竣工文件的其他约定</w:t>
      </w:r>
      <w:r>
        <w:rPr>
          <w:color w:val="231F20"/>
          <w:u w:val="single" w:color="231F20"/>
        </w:rPr>
        <w:t>：</w:t>
        <w:tab/>
      </w:r>
      <w:r>
        <w:rPr>
          <w:color w:val="231F20"/>
        </w:rPr>
        <w:t>。</w:t>
      </w:r>
    </w:p>
    <w:p>
      <w:pPr>
        <w:pStyle w:val="BodyText"/>
        <w:spacing w:before="123"/>
        <w:ind w:left="557"/>
        <w:rPr>
          <w:rFonts w:ascii="方正黑体_GBK" w:eastAsia="方正黑体_GBK" w:hint="eastAsia"/>
        </w:rPr>
      </w:pPr>
      <w:r>
        <w:rPr>
          <w:rFonts w:ascii="方正黑体_GBK" w:eastAsia="方正黑体_GBK" w:hint="eastAsia"/>
          <w:color w:val="231F20"/>
        </w:rPr>
        <w:t>5.5 操作和维修手册</w:t>
      </w:r>
    </w:p>
    <w:p>
      <w:pPr>
        <w:pStyle w:val="BodyText"/>
        <w:tabs>
          <w:tab w:pos="9078" w:val="left" w:leader="none"/>
        </w:tabs>
        <w:spacing w:before="142"/>
        <w:ind w:left="557"/>
      </w:pPr>
      <w:r>
        <w:rPr>
          <w:color w:val="231F20"/>
        </w:rPr>
        <w:t>5.5.3</w:t>
      </w:r>
      <w:r>
        <w:rPr>
          <w:color w:val="231F20"/>
          <w:spacing w:val="-2"/>
        </w:rPr>
        <w:t> </w:t>
      </w:r>
      <w:r>
        <w:rPr>
          <w:color w:val="231F20"/>
        </w:rPr>
        <w:t>对最终操作和维修手册的约定</w:t>
      </w:r>
      <w:r>
        <w:rPr>
          <w:color w:val="231F20"/>
          <w:u w:val="single" w:color="231F20"/>
        </w:rPr>
        <w:t>：</w:t>
        <w:tab/>
      </w:r>
      <w:r>
        <w:rPr>
          <w:color w:val="231F20"/>
        </w:rPr>
        <w:t>。</w:t>
      </w:r>
    </w:p>
    <w:p>
      <w:pPr>
        <w:pStyle w:val="BodyText"/>
        <w:tabs>
          <w:tab w:pos="1009" w:val="left" w:leader="none"/>
        </w:tabs>
        <w:spacing w:before="123"/>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6</w:t>
      </w:r>
      <w:r>
        <w:rPr>
          <w:rFonts w:ascii="方正黑体_GBK" w:eastAsia="方正黑体_GBK" w:hint="eastAsia"/>
          <w:color w:val="231F20"/>
          <w:spacing w:val="-7"/>
        </w:rPr>
        <w:t> </w:t>
      </w:r>
      <w:r>
        <w:rPr>
          <w:rFonts w:ascii="方正黑体_GBK" w:eastAsia="方正黑体_GBK" w:hint="eastAsia"/>
          <w:color w:val="231F20"/>
        </w:rPr>
        <w:t>条</w:t>
        <w:tab/>
        <w:t>材料、工程设备</w:t>
      </w:r>
    </w:p>
    <w:p>
      <w:pPr>
        <w:pStyle w:val="ListParagraph"/>
        <w:numPr>
          <w:ilvl w:val="1"/>
          <w:numId w:val="116"/>
        </w:numPr>
        <w:tabs>
          <w:tab w:pos="924" w:val="left" w:leader="none"/>
        </w:tabs>
        <w:spacing w:line="240" w:lineRule="auto" w:before="136" w:after="0"/>
        <w:ind w:left="923" w:right="0" w:hanging="366"/>
        <w:jc w:val="left"/>
        <w:rPr>
          <w:rFonts w:ascii="方正黑体_GBK" w:eastAsia="方正黑体_GBK" w:hint="eastAsia"/>
          <w:sz w:val="22"/>
        </w:rPr>
      </w:pPr>
      <w:r>
        <w:rPr>
          <w:rFonts w:ascii="方正黑体_GBK" w:eastAsia="方正黑体_GBK" w:hint="eastAsia"/>
          <w:color w:val="231F20"/>
          <w:sz w:val="22"/>
        </w:rPr>
        <w:t>实施方法</w:t>
      </w:r>
    </w:p>
    <w:p>
      <w:pPr>
        <w:pStyle w:val="BodyText"/>
        <w:tabs>
          <w:tab w:pos="9078" w:val="left" w:leader="none"/>
        </w:tabs>
        <w:spacing w:before="142"/>
        <w:ind w:left="557"/>
      </w:pPr>
      <w:r>
        <w:rPr>
          <w:color w:val="231F20"/>
        </w:rPr>
        <w:t>双方当事人约定的实施方法、设备、设施和材料</w:t>
      </w:r>
      <w:r>
        <w:rPr>
          <w:color w:val="231F20"/>
          <w:u w:val="single" w:color="231F20"/>
        </w:rPr>
        <w:t>：</w:t>
        <w:tab/>
      </w:r>
      <w:r>
        <w:rPr>
          <w:color w:val="231F20"/>
        </w:rPr>
        <w:t>。</w:t>
      </w:r>
    </w:p>
    <w:p>
      <w:pPr>
        <w:spacing w:after="0"/>
        <w:sectPr>
          <w:pgSz w:w="11910" w:h="16840"/>
          <w:pgMar w:header="0" w:footer="832" w:top="1580" w:bottom="1020" w:left="1300" w:right="1200"/>
        </w:sectPr>
      </w:pPr>
    </w:p>
    <w:p>
      <w:pPr>
        <w:pStyle w:val="ListParagraph"/>
        <w:numPr>
          <w:ilvl w:val="1"/>
          <w:numId w:val="116"/>
        </w:numPr>
        <w:tabs>
          <w:tab w:pos="924" w:val="left" w:leader="none"/>
        </w:tabs>
        <w:spacing w:line="240" w:lineRule="auto" w:before="18" w:after="0"/>
        <w:ind w:left="923" w:right="0" w:hanging="366"/>
        <w:jc w:val="both"/>
        <w:rPr>
          <w:rFonts w:ascii="方正黑体_GBK" w:eastAsia="方正黑体_GBK" w:hint="eastAsia"/>
          <w:sz w:val="22"/>
        </w:rPr>
      </w:pPr>
      <w:r>
        <w:rPr>
          <w:rFonts w:ascii="方正黑体_GBK" w:eastAsia="方正黑体_GBK" w:hint="eastAsia"/>
          <w:color w:val="231F20"/>
          <w:sz w:val="22"/>
        </w:rPr>
        <w:t>材料和工程设备</w:t>
      </w:r>
    </w:p>
    <w:p>
      <w:pPr>
        <w:pStyle w:val="ListParagraph"/>
        <w:numPr>
          <w:ilvl w:val="2"/>
          <w:numId w:val="116"/>
        </w:numPr>
        <w:tabs>
          <w:tab w:pos="1048" w:val="left" w:leader="none"/>
        </w:tabs>
        <w:spacing w:line="240" w:lineRule="auto" w:before="122" w:after="0"/>
        <w:ind w:left="1047" w:right="0" w:hanging="490"/>
        <w:jc w:val="both"/>
        <w:rPr>
          <w:sz w:val="22"/>
        </w:rPr>
      </w:pPr>
      <w:r>
        <w:rPr>
          <w:color w:val="231F20"/>
          <w:sz w:val="22"/>
        </w:rPr>
        <w:t>发包人提供的材料和工程设备</w:t>
      </w:r>
    </w:p>
    <w:p>
      <w:pPr>
        <w:pStyle w:val="BodyText"/>
        <w:tabs>
          <w:tab w:pos="6872" w:val="left" w:leader="none"/>
        </w:tabs>
        <w:ind w:left="557"/>
        <w:jc w:val="both"/>
      </w:pPr>
      <w:r>
        <w:rPr>
          <w:color w:val="231F20"/>
        </w:rPr>
        <w:t>发包人提供的材料和工程设备验收后，由</w:t>
      </w:r>
      <w:r>
        <w:rPr>
          <w:color w:val="231F20"/>
          <w:u w:val="single" w:color="231F20"/>
        </w:rPr>
        <w:t> </w:t>
        <w:tab/>
      </w:r>
      <w:r>
        <w:rPr>
          <w:color w:val="231F20"/>
        </w:rPr>
        <w:t>负责接收、运输和保管。</w:t>
      </w:r>
    </w:p>
    <w:p>
      <w:pPr>
        <w:pStyle w:val="ListParagraph"/>
        <w:numPr>
          <w:ilvl w:val="2"/>
          <w:numId w:val="116"/>
        </w:numPr>
        <w:tabs>
          <w:tab w:pos="1048" w:val="left" w:leader="none"/>
        </w:tabs>
        <w:spacing w:line="240" w:lineRule="auto" w:before="109" w:after="0"/>
        <w:ind w:left="1047" w:right="0" w:hanging="490"/>
        <w:jc w:val="both"/>
        <w:rPr>
          <w:sz w:val="22"/>
        </w:rPr>
      </w:pPr>
      <w:r>
        <w:rPr>
          <w:color w:val="231F20"/>
          <w:sz w:val="22"/>
        </w:rPr>
        <w:t>承包人提供的材料和工程设备</w:t>
      </w:r>
    </w:p>
    <w:p>
      <w:pPr>
        <w:pStyle w:val="BodyText"/>
        <w:tabs>
          <w:tab w:pos="9078" w:val="left" w:leader="none"/>
        </w:tabs>
        <w:spacing w:line="319" w:lineRule="auto"/>
        <w:ind w:left="557" w:right="105"/>
      </w:pPr>
      <w:r>
        <w:rPr>
          <w:color w:val="231F20"/>
        </w:rPr>
        <w:t>材料和工程设备的类别、估算数量</w:t>
      </w:r>
      <w:r>
        <w:rPr>
          <w:color w:val="231F20"/>
          <w:u w:val="single" w:color="231F20"/>
        </w:rPr>
        <w:t>：</w:t>
        <w:tab/>
      </w:r>
      <w:r>
        <w:rPr>
          <w:color w:val="231F20"/>
        </w:rPr>
        <w:t>。竣工后试验的生产性材料的类别或（和）清单</w:t>
      </w:r>
      <w:r>
        <w:rPr>
          <w:color w:val="231F20"/>
          <w:u w:val="single" w:color="231F20"/>
        </w:rPr>
        <w:t>：</w:t>
        <w:tab/>
      </w:r>
      <w:r>
        <w:rPr>
          <w:color w:val="231F20"/>
        </w:rPr>
        <w:t>。</w:t>
      </w:r>
    </w:p>
    <w:p>
      <w:pPr>
        <w:pStyle w:val="ListParagraph"/>
        <w:numPr>
          <w:ilvl w:val="2"/>
          <w:numId w:val="116"/>
        </w:numPr>
        <w:tabs>
          <w:tab w:pos="1048" w:val="left" w:leader="none"/>
        </w:tabs>
        <w:spacing w:line="240" w:lineRule="auto" w:before="26" w:after="0"/>
        <w:ind w:left="1047" w:right="0" w:hanging="490"/>
        <w:jc w:val="left"/>
        <w:rPr>
          <w:sz w:val="22"/>
        </w:rPr>
      </w:pPr>
      <w:r>
        <w:rPr>
          <w:color w:val="231F20"/>
          <w:sz w:val="22"/>
        </w:rPr>
        <w:t>材料和工程设备的保管</w:t>
      </w:r>
    </w:p>
    <w:p>
      <w:pPr>
        <w:pStyle w:val="BodyText"/>
        <w:tabs>
          <w:tab w:pos="8632" w:val="left" w:leader="none"/>
          <w:tab w:pos="9078" w:val="left" w:leader="none"/>
        </w:tabs>
        <w:spacing w:line="319" w:lineRule="auto"/>
        <w:ind w:left="557" w:right="105"/>
        <w:jc w:val="both"/>
      </w:pPr>
      <w:r>
        <w:rPr>
          <w:color w:val="231F20"/>
        </w:rPr>
        <w:t>发包人供应的材料和工程设备的保管费用由</w:t>
      </w:r>
      <w:r>
        <w:rPr>
          <w:color w:val="231F20"/>
          <w:u w:val="single" w:color="231F20"/>
        </w:rPr>
        <w:t> </w:t>
        <w:tab/>
      </w:r>
      <w:r>
        <w:rPr>
          <w:color w:val="231F20"/>
        </w:rPr>
        <w:t>承担。承包人提交保管、维护方案的时间</w:t>
      </w:r>
      <w:r>
        <w:rPr>
          <w:color w:val="231F20"/>
          <w:u w:val="single" w:color="231F20"/>
        </w:rPr>
        <w:t>：</w:t>
        <w:tab/>
        <w:tab/>
      </w:r>
      <w:r>
        <w:rPr>
          <w:color w:val="231F20"/>
        </w:rPr>
        <w:t>。发包人提供的库房、堆场、设施和设备</w:t>
      </w:r>
      <w:r>
        <w:rPr>
          <w:color w:val="231F20"/>
          <w:u w:val="single" w:color="231F20"/>
        </w:rPr>
        <w:t>：</w:t>
        <w:tab/>
        <w:tab/>
      </w:r>
      <w:r>
        <w:rPr>
          <w:color w:val="231F20"/>
        </w:rPr>
        <w:t>。</w:t>
      </w:r>
    </w:p>
    <w:p>
      <w:pPr>
        <w:pStyle w:val="BodyText"/>
        <w:spacing w:before="19"/>
        <w:ind w:left="557"/>
        <w:jc w:val="both"/>
        <w:rPr>
          <w:rFonts w:ascii="方正黑体_GBK" w:eastAsia="方正黑体_GBK" w:hint="eastAsia"/>
        </w:rPr>
      </w:pPr>
      <w:r>
        <w:rPr>
          <w:rFonts w:ascii="方正黑体_GBK" w:eastAsia="方正黑体_GBK" w:hint="eastAsia"/>
          <w:color w:val="231F20"/>
        </w:rPr>
        <w:t>6.3 样品</w:t>
      </w:r>
    </w:p>
    <w:p>
      <w:pPr>
        <w:pStyle w:val="BodyText"/>
        <w:spacing w:before="122"/>
        <w:ind w:left="557"/>
        <w:jc w:val="both"/>
      </w:pPr>
      <w:r>
        <w:rPr>
          <w:color w:val="231F20"/>
        </w:rPr>
        <w:t>6.3.1 样品的报送与封存</w:t>
      </w:r>
    </w:p>
    <w:p>
      <w:pPr>
        <w:pStyle w:val="BodyText"/>
        <w:tabs>
          <w:tab w:pos="9188" w:val="left" w:leader="none"/>
        </w:tabs>
        <w:ind w:left="557"/>
        <w:jc w:val="both"/>
      </w:pPr>
      <w:r>
        <w:rPr>
          <w:color w:val="231F20"/>
        </w:rPr>
        <w:t>需要承包人报送样品的材料或工程设备，样品种类、名称、规格、数量</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1"/>
          <w:numId w:val="117"/>
        </w:numPr>
        <w:tabs>
          <w:tab w:pos="924" w:val="left" w:leader="none"/>
        </w:tabs>
        <w:spacing w:line="240" w:lineRule="auto" w:before="103" w:after="0"/>
        <w:ind w:left="923" w:right="0" w:hanging="366"/>
        <w:jc w:val="both"/>
        <w:rPr>
          <w:rFonts w:ascii="方正黑体_GBK" w:eastAsia="方正黑体_GBK" w:hint="eastAsia"/>
          <w:sz w:val="22"/>
        </w:rPr>
      </w:pPr>
      <w:r>
        <w:rPr>
          <w:rFonts w:ascii="方正黑体_GBK" w:eastAsia="方正黑体_GBK" w:hint="eastAsia"/>
          <w:color w:val="231F20"/>
          <w:sz w:val="22"/>
        </w:rPr>
        <w:t>质量检查</w:t>
      </w:r>
    </w:p>
    <w:p>
      <w:pPr>
        <w:pStyle w:val="ListParagraph"/>
        <w:numPr>
          <w:ilvl w:val="2"/>
          <w:numId w:val="117"/>
        </w:numPr>
        <w:tabs>
          <w:tab w:pos="1048" w:val="left" w:leader="none"/>
        </w:tabs>
        <w:spacing w:line="240" w:lineRule="auto" w:before="122" w:after="0"/>
        <w:ind w:left="1047" w:right="0" w:hanging="490"/>
        <w:jc w:val="both"/>
        <w:rPr>
          <w:sz w:val="22"/>
        </w:rPr>
      </w:pPr>
      <w:r>
        <w:rPr>
          <w:color w:val="231F20"/>
          <w:sz w:val="22"/>
        </w:rPr>
        <w:t>工程质量要求</w:t>
      </w:r>
    </w:p>
    <w:p>
      <w:pPr>
        <w:pStyle w:val="BodyText"/>
        <w:tabs>
          <w:tab w:pos="9078" w:val="left" w:leader="none"/>
        </w:tabs>
        <w:ind w:left="557"/>
        <w:jc w:val="both"/>
      </w:pPr>
      <w:r>
        <w:rPr>
          <w:color w:val="231F20"/>
        </w:rPr>
        <w:t>工程质量的特殊标准或要求</w:t>
      </w:r>
      <w:r>
        <w:rPr>
          <w:color w:val="231F20"/>
          <w:u w:val="single" w:color="231F20"/>
        </w:rPr>
        <w:t>：</w:t>
        <w:tab/>
      </w:r>
      <w:r>
        <w:rPr>
          <w:color w:val="231F20"/>
        </w:rPr>
        <w:t>。</w:t>
      </w:r>
    </w:p>
    <w:p>
      <w:pPr>
        <w:pStyle w:val="ListParagraph"/>
        <w:numPr>
          <w:ilvl w:val="2"/>
          <w:numId w:val="117"/>
        </w:numPr>
        <w:tabs>
          <w:tab w:pos="1048" w:val="left" w:leader="none"/>
        </w:tabs>
        <w:spacing w:line="240" w:lineRule="auto" w:before="109" w:after="0"/>
        <w:ind w:left="1047" w:right="0" w:hanging="490"/>
        <w:jc w:val="both"/>
        <w:rPr>
          <w:sz w:val="22"/>
        </w:rPr>
      </w:pPr>
      <w:r>
        <w:rPr>
          <w:color w:val="231F20"/>
          <w:sz w:val="22"/>
        </w:rPr>
        <w:t>质量检查</w:t>
      </w:r>
    </w:p>
    <w:p>
      <w:pPr>
        <w:pStyle w:val="BodyText"/>
        <w:ind w:left="557"/>
        <w:jc w:val="both"/>
      </w:pPr>
      <w:r>
        <w:rPr>
          <w:color w:val="231F20"/>
        </w:rPr>
        <w:t>除通用合同条件已列明的质量检查的地点外，发包人有权进行质量检查的其他地点</w:t>
      </w:r>
      <w:r>
        <w:rPr>
          <w:color w:val="231F20"/>
          <w:u w:val="single" w:color="231F20"/>
        </w:rPr>
        <w:t>：         </w:t>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2"/>
          <w:numId w:val="117"/>
        </w:numPr>
        <w:tabs>
          <w:tab w:pos="1048" w:val="left" w:leader="none"/>
        </w:tabs>
        <w:spacing w:line="240" w:lineRule="auto" w:before="109" w:after="0"/>
        <w:ind w:left="1047" w:right="0" w:hanging="490"/>
        <w:jc w:val="both"/>
        <w:rPr>
          <w:sz w:val="22"/>
        </w:rPr>
      </w:pPr>
      <w:r>
        <w:rPr>
          <w:color w:val="231F20"/>
          <w:sz w:val="22"/>
        </w:rPr>
        <w:t>隐蔽工程检查</w:t>
      </w:r>
    </w:p>
    <w:p>
      <w:pPr>
        <w:pStyle w:val="BodyText"/>
        <w:tabs>
          <w:tab w:pos="9078" w:val="left" w:leader="none"/>
        </w:tabs>
        <w:ind w:left="557"/>
        <w:jc w:val="both"/>
      </w:pPr>
      <w:r>
        <w:rPr>
          <w:color w:val="231F20"/>
        </w:rPr>
        <w:t>关于隐蔽工程和中间验收的特别约定</w:t>
      </w:r>
      <w:r>
        <w:rPr>
          <w:color w:val="231F20"/>
          <w:u w:val="single" w:color="231F20"/>
        </w:rPr>
        <w:t>：</w:t>
        <w:tab/>
      </w:r>
      <w:r>
        <w:rPr>
          <w:color w:val="231F20"/>
        </w:rPr>
        <w:t>。</w:t>
      </w:r>
    </w:p>
    <w:p>
      <w:pPr>
        <w:pStyle w:val="BodyText"/>
        <w:spacing w:before="103"/>
        <w:ind w:left="557"/>
        <w:jc w:val="both"/>
        <w:rPr>
          <w:rFonts w:ascii="方正黑体_GBK" w:eastAsia="方正黑体_GBK" w:hint="eastAsia"/>
        </w:rPr>
      </w:pPr>
      <w:r>
        <w:rPr>
          <w:rFonts w:ascii="方正黑体_GBK" w:eastAsia="方正黑体_GBK" w:hint="eastAsia"/>
          <w:color w:val="231F20"/>
        </w:rPr>
        <w:t>6.5 由承包人试验和检验</w:t>
      </w:r>
    </w:p>
    <w:p>
      <w:pPr>
        <w:pStyle w:val="BodyText"/>
        <w:spacing w:before="122"/>
        <w:ind w:left="557"/>
        <w:jc w:val="both"/>
      </w:pPr>
      <w:r>
        <w:rPr>
          <w:color w:val="231F20"/>
        </w:rPr>
        <w:t>6.5.1 试验设备与试验人员</w:t>
      </w:r>
    </w:p>
    <w:p>
      <w:pPr>
        <w:pStyle w:val="BodyText"/>
        <w:tabs>
          <w:tab w:pos="9078" w:val="left" w:leader="none"/>
        </w:tabs>
        <w:spacing w:line="319" w:lineRule="auto"/>
        <w:ind w:left="557" w:right="105"/>
        <w:jc w:val="both"/>
      </w:pPr>
      <w:r>
        <w:rPr>
          <w:color w:val="231F20"/>
        </w:rPr>
        <w:t>试验的内容、时间和地点</w:t>
      </w:r>
      <w:r>
        <w:rPr>
          <w:color w:val="231F20"/>
          <w:u w:val="single" w:color="231F20"/>
        </w:rPr>
        <w:t>：</w:t>
        <w:tab/>
      </w:r>
      <w:r>
        <w:rPr>
          <w:color w:val="231F20"/>
        </w:rPr>
        <w:t>。试验所需要的试验设备、取样装置、试验场所和试验条件</w:t>
      </w:r>
      <w:r>
        <w:rPr>
          <w:color w:val="231F20"/>
          <w:u w:val="single" w:color="231F20"/>
        </w:rPr>
        <w:t>：</w:t>
        <w:tab/>
      </w:r>
      <w:r>
        <w:rPr>
          <w:color w:val="231F20"/>
        </w:rPr>
        <w:t>。试验和检验费用的计价原则</w:t>
      </w:r>
      <w:r>
        <w:rPr>
          <w:color w:val="231F20"/>
          <w:u w:val="single" w:color="231F20"/>
        </w:rPr>
        <w:t>：</w:t>
        <w:tab/>
      </w:r>
      <w:r>
        <w:rPr>
          <w:color w:val="231F20"/>
        </w:rPr>
        <w:t>。</w:t>
      </w:r>
    </w:p>
    <w:p>
      <w:pPr>
        <w:pStyle w:val="BodyText"/>
        <w:tabs>
          <w:tab w:pos="1009" w:val="left" w:leader="none"/>
        </w:tabs>
        <w:spacing w:before="19"/>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7</w:t>
      </w:r>
      <w:r>
        <w:rPr>
          <w:rFonts w:ascii="方正黑体_GBK" w:eastAsia="方正黑体_GBK" w:hint="eastAsia"/>
          <w:color w:val="231F20"/>
          <w:spacing w:val="-7"/>
        </w:rPr>
        <w:t> </w:t>
      </w:r>
      <w:r>
        <w:rPr>
          <w:rFonts w:ascii="方正黑体_GBK" w:eastAsia="方正黑体_GBK" w:hint="eastAsia"/>
          <w:color w:val="231F20"/>
        </w:rPr>
        <w:t>条</w:t>
        <w:tab/>
        <w:t>施工</w:t>
      </w:r>
    </w:p>
    <w:p>
      <w:pPr>
        <w:pStyle w:val="ListParagraph"/>
        <w:numPr>
          <w:ilvl w:val="1"/>
          <w:numId w:val="118"/>
        </w:numPr>
        <w:tabs>
          <w:tab w:pos="924" w:val="left" w:leader="none"/>
        </w:tabs>
        <w:spacing w:line="240" w:lineRule="auto" w:before="115" w:after="0"/>
        <w:ind w:left="923" w:right="0" w:hanging="366"/>
        <w:jc w:val="both"/>
        <w:rPr>
          <w:rFonts w:ascii="方正黑体_GBK" w:eastAsia="方正黑体_GBK" w:hint="eastAsia"/>
          <w:sz w:val="22"/>
        </w:rPr>
      </w:pPr>
      <w:r>
        <w:rPr>
          <w:rFonts w:ascii="方正黑体_GBK" w:eastAsia="方正黑体_GBK" w:hint="eastAsia"/>
          <w:color w:val="231F20"/>
          <w:sz w:val="22"/>
        </w:rPr>
        <w:t>交通运输</w:t>
      </w:r>
    </w:p>
    <w:p>
      <w:pPr>
        <w:pStyle w:val="ListParagraph"/>
        <w:numPr>
          <w:ilvl w:val="2"/>
          <w:numId w:val="118"/>
        </w:numPr>
        <w:tabs>
          <w:tab w:pos="1048" w:val="left" w:leader="none"/>
        </w:tabs>
        <w:spacing w:line="240" w:lineRule="auto" w:before="121" w:after="0"/>
        <w:ind w:left="1047" w:right="0" w:hanging="490"/>
        <w:jc w:val="both"/>
        <w:rPr>
          <w:sz w:val="22"/>
        </w:rPr>
      </w:pPr>
      <w:r>
        <w:rPr>
          <w:color w:val="231F20"/>
          <w:sz w:val="22"/>
        </w:rPr>
        <w:t>出入现场的权利</w:t>
      </w:r>
    </w:p>
    <w:p>
      <w:pPr>
        <w:pStyle w:val="BodyText"/>
        <w:tabs>
          <w:tab w:pos="9078" w:val="left" w:leader="none"/>
        </w:tabs>
        <w:spacing w:before="108"/>
        <w:ind w:left="557"/>
        <w:jc w:val="both"/>
      </w:pPr>
      <w:r>
        <w:rPr>
          <w:color w:val="231F20"/>
        </w:rPr>
        <w:t>关于出入现场的权利的约定</w:t>
      </w:r>
      <w:r>
        <w:rPr>
          <w:color w:val="231F20"/>
          <w:u w:val="single" w:color="231F20"/>
        </w:rPr>
        <w:t>：</w:t>
        <w:tab/>
      </w:r>
      <w:r>
        <w:rPr>
          <w:color w:val="231F20"/>
        </w:rPr>
        <w:t>。</w:t>
      </w:r>
    </w:p>
    <w:p>
      <w:pPr>
        <w:spacing w:after="0"/>
        <w:jc w:val="both"/>
        <w:sectPr>
          <w:pgSz w:w="11910" w:h="16840"/>
          <w:pgMar w:header="0" w:footer="832" w:top="1580" w:bottom="1020" w:left="1300" w:right="1200"/>
        </w:sectPr>
      </w:pPr>
    </w:p>
    <w:p>
      <w:pPr>
        <w:pStyle w:val="ListParagraph"/>
        <w:numPr>
          <w:ilvl w:val="2"/>
          <w:numId w:val="118"/>
        </w:numPr>
        <w:tabs>
          <w:tab w:pos="1048" w:val="left" w:leader="none"/>
        </w:tabs>
        <w:spacing w:line="240" w:lineRule="auto" w:before="24" w:after="0"/>
        <w:ind w:left="1047" w:right="0" w:hanging="490"/>
        <w:jc w:val="left"/>
        <w:rPr>
          <w:sz w:val="22"/>
        </w:rPr>
      </w:pPr>
      <w:r>
        <w:rPr>
          <w:color w:val="231F20"/>
          <w:sz w:val="22"/>
        </w:rPr>
        <w:t>场外交通</w:t>
      </w:r>
    </w:p>
    <w:p>
      <w:pPr>
        <w:pStyle w:val="BodyText"/>
        <w:tabs>
          <w:tab w:pos="9078" w:val="left" w:leader="none"/>
        </w:tabs>
        <w:ind w:left="557"/>
      </w:pPr>
      <w:r>
        <w:rPr>
          <w:color w:val="231F20"/>
        </w:rPr>
        <w:t>关于场外交通的特别约定</w:t>
      </w:r>
      <w:r>
        <w:rPr>
          <w:color w:val="231F20"/>
          <w:u w:val="single" w:color="231F20"/>
        </w:rPr>
        <w:t>：</w:t>
        <w:tab/>
      </w:r>
      <w:r>
        <w:rPr>
          <w:color w:val="231F20"/>
        </w:rPr>
        <w:t>。</w:t>
      </w:r>
    </w:p>
    <w:p>
      <w:pPr>
        <w:pStyle w:val="ListParagraph"/>
        <w:numPr>
          <w:ilvl w:val="2"/>
          <w:numId w:val="118"/>
        </w:numPr>
        <w:tabs>
          <w:tab w:pos="1048" w:val="left" w:leader="none"/>
        </w:tabs>
        <w:spacing w:line="240" w:lineRule="auto" w:before="109" w:after="0"/>
        <w:ind w:left="1047" w:right="0" w:hanging="490"/>
        <w:jc w:val="left"/>
        <w:rPr>
          <w:sz w:val="22"/>
        </w:rPr>
      </w:pPr>
      <w:r>
        <w:rPr>
          <w:color w:val="231F20"/>
          <w:sz w:val="22"/>
        </w:rPr>
        <w:t>场内交通</w:t>
      </w:r>
    </w:p>
    <w:p>
      <w:pPr>
        <w:pStyle w:val="BodyText"/>
        <w:tabs>
          <w:tab w:pos="9078" w:val="left" w:leader="none"/>
        </w:tabs>
        <w:spacing w:line="319" w:lineRule="auto"/>
        <w:ind w:left="557" w:right="105"/>
      </w:pPr>
      <w:r>
        <w:rPr>
          <w:color w:val="231F20"/>
        </w:rPr>
        <w:t>关于场内交通的特别约定</w:t>
      </w:r>
      <w:r>
        <w:rPr>
          <w:color w:val="231F20"/>
          <w:u w:val="single" w:color="231F20"/>
        </w:rPr>
        <w:t>：</w:t>
        <w:tab/>
      </w:r>
      <w:r>
        <w:rPr>
          <w:color w:val="231F20"/>
        </w:rPr>
        <w:t>。关于场内交通与场外交通边界的约定</w:t>
      </w:r>
      <w:r>
        <w:rPr>
          <w:color w:val="231F20"/>
          <w:u w:val="single" w:color="231F20"/>
        </w:rPr>
        <w:t>：</w:t>
        <w:tab/>
      </w:r>
      <w:r>
        <w:rPr>
          <w:color w:val="231F20"/>
        </w:rPr>
        <w:t>。</w:t>
      </w:r>
    </w:p>
    <w:p>
      <w:pPr>
        <w:pStyle w:val="ListParagraph"/>
        <w:numPr>
          <w:ilvl w:val="2"/>
          <w:numId w:val="118"/>
        </w:numPr>
        <w:tabs>
          <w:tab w:pos="1048" w:val="left" w:leader="none"/>
        </w:tabs>
        <w:spacing w:line="240" w:lineRule="auto" w:before="25" w:after="0"/>
        <w:ind w:left="1047" w:right="0" w:hanging="490"/>
        <w:jc w:val="left"/>
        <w:rPr>
          <w:sz w:val="22"/>
        </w:rPr>
      </w:pPr>
      <w:r>
        <w:rPr>
          <w:color w:val="231F20"/>
          <w:sz w:val="22"/>
        </w:rPr>
        <w:t>超大件和超重件的运输</w:t>
      </w:r>
    </w:p>
    <w:p>
      <w:pPr>
        <w:pStyle w:val="BodyText"/>
        <w:tabs>
          <w:tab w:pos="8629" w:val="left" w:leader="none"/>
        </w:tabs>
        <w:spacing w:before="108"/>
        <w:ind w:left="557"/>
      </w:pPr>
      <w:r>
        <w:rPr>
          <w:color w:val="231F20"/>
        </w:rPr>
        <w:t>运输超大件或超重件所需的道路和桥梁临时加固改造费用和其他有关费用由</w:t>
      </w:r>
      <w:r>
        <w:rPr>
          <w:color w:val="231F20"/>
          <w:u w:val="single" w:color="231F20"/>
        </w:rPr>
        <w:t> </w:t>
        <w:tab/>
      </w:r>
      <w:r>
        <w:rPr>
          <w:color w:val="231F20"/>
        </w:rPr>
        <w:t>承担。</w:t>
      </w:r>
    </w:p>
    <w:p>
      <w:pPr>
        <w:pStyle w:val="ListParagraph"/>
        <w:numPr>
          <w:ilvl w:val="1"/>
          <w:numId w:val="119"/>
        </w:numPr>
        <w:tabs>
          <w:tab w:pos="924" w:val="left" w:leader="none"/>
        </w:tabs>
        <w:spacing w:line="240" w:lineRule="auto" w:before="102" w:after="0"/>
        <w:ind w:left="923" w:right="0" w:hanging="366"/>
        <w:jc w:val="left"/>
        <w:rPr>
          <w:rFonts w:ascii="方正黑体_GBK" w:eastAsia="方正黑体_GBK" w:hint="eastAsia"/>
          <w:sz w:val="22"/>
        </w:rPr>
      </w:pPr>
      <w:r>
        <w:rPr>
          <w:rFonts w:ascii="方正黑体_GBK" w:eastAsia="方正黑体_GBK" w:hint="eastAsia"/>
          <w:color w:val="231F20"/>
          <w:sz w:val="22"/>
        </w:rPr>
        <w:t>施工设备和临时设施</w:t>
      </w:r>
    </w:p>
    <w:p>
      <w:pPr>
        <w:pStyle w:val="ListParagraph"/>
        <w:numPr>
          <w:ilvl w:val="2"/>
          <w:numId w:val="119"/>
        </w:numPr>
        <w:tabs>
          <w:tab w:pos="1048" w:val="left" w:leader="none"/>
        </w:tabs>
        <w:spacing w:line="240" w:lineRule="auto" w:before="121" w:after="0"/>
        <w:ind w:left="1047" w:right="0" w:hanging="490"/>
        <w:jc w:val="left"/>
        <w:rPr>
          <w:sz w:val="22"/>
        </w:rPr>
      </w:pPr>
      <w:r>
        <w:rPr>
          <w:color w:val="231F20"/>
          <w:sz w:val="22"/>
        </w:rPr>
        <w:t>承包人提供的施工设备和临时设施</w:t>
      </w:r>
    </w:p>
    <w:p>
      <w:pPr>
        <w:pStyle w:val="BodyText"/>
        <w:tabs>
          <w:tab w:pos="9078" w:val="left" w:leader="none"/>
        </w:tabs>
        <w:spacing w:before="108"/>
        <w:ind w:left="557"/>
      </w:pPr>
      <w:r>
        <w:rPr>
          <w:color w:val="231F20"/>
        </w:rPr>
        <w:t>临时设施的费用和临时占地手续和费用承担的特别约定</w:t>
      </w:r>
      <w:r>
        <w:rPr>
          <w:color w:val="231F20"/>
          <w:u w:val="single" w:color="231F20"/>
        </w:rPr>
        <w:t>：</w:t>
        <w:tab/>
      </w:r>
      <w:r>
        <w:rPr>
          <w:color w:val="231F20"/>
        </w:rPr>
        <w:t>。</w:t>
      </w:r>
    </w:p>
    <w:p>
      <w:pPr>
        <w:pStyle w:val="ListParagraph"/>
        <w:numPr>
          <w:ilvl w:val="2"/>
          <w:numId w:val="119"/>
        </w:numPr>
        <w:tabs>
          <w:tab w:pos="1048" w:val="left" w:leader="none"/>
        </w:tabs>
        <w:spacing w:line="240" w:lineRule="auto" w:before="108" w:after="0"/>
        <w:ind w:left="1047" w:right="0" w:hanging="490"/>
        <w:jc w:val="left"/>
        <w:rPr>
          <w:sz w:val="22"/>
        </w:rPr>
      </w:pPr>
      <w:r>
        <w:rPr>
          <w:color w:val="231F20"/>
          <w:sz w:val="22"/>
        </w:rPr>
        <w:t>发包人提供的施工设备和临时设施</w:t>
      </w:r>
    </w:p>
    <w:p>
      <w:pPr>
        <w:pStyle w:val="BodyText"/>
        <w:tabs>
          <w:tab w:pos="9078" w:val="left" w:leader="none"/>
        </w:tabs>
        <w:spacing w:before="108"/>
        <w:ind w:left="557"/>
      </w:pPr>
      <w:r>
        <w:rPr>
          <w:color w:val="231F20"/>
        </w:rPr>
        <w:t>发包人提供的施工设备或临时设施范围</w:t>
      </w:r>
      <w:r>
        <w:rPr>
          <w:color w:val="231F20"/>
          <w:u w:val="single" w:color="231F20"/>
        </w:rPr>
        <w:t>：</w:t>
        <w:tab/>
      </w:r>
      <w:r>
        <w:rPr>
          <w:color w:val="231F20"/>
        </w:rPr>
        <w:t>。</w:t>
      </w:r>
    </w:p>
    <w:p>
      <w:pPr>
        <w:pStyle w:val="ListParagraph"/>
        <w:numPr>
          <w:ilvl w:val="1"/>
          <w:numId w:val="119"/>
        </w:numPr>
        <w:tabs>
          <w:tab w:pos="924" w:val="left" w:leader="none"/>
        </w:tabs>
        <w:spacing w:line="240" w:lineRule="auto" w:before="102" w:after="0"/>
        <w:ind w:left="923" w:right="0" w:hanging="366"/>
        <w:jc w:val="left"/>
        <w:rPr>
          <w:rFonts w:ascii="方正黑体_GBK" w:eastAsia="方正黑体_GBK" w:hint="eastAsia"/>
          <w:sz w:val="22"/>
        </w:rPr>
      </w:pPr>
      <w:r>
        <w:rPr>
          <w:rFonts w:ascii="方正黑体_GBK" w:eastAsia="方正黑体_GBK" w:hint="eastAsia"/>
          <w:color w:val="231F20"/>
          <w:sz w:val="22"/>
        </w:rPr>
        <w:t>现场合作</w:t>
      </w:r>
    </w:p>
    <w:p>
      <w:pPr>
        <w:pStyle w:val="BodyText"/>
        <w:tabs>
          <w:tab w:pos="9078" w:val="left" w:leader="none"/>
        </w:tabs>
        <w:spacing w:before="121"/>
        <w:ind w:left="557"/>
      </w:pPr>
      <w:r>
        <w:rPr>
          <w:color w:val="231F20"/>
        </w:rPr>
        <w:t>关于现场合作费用的特别约定</w:t>
      </w:r>
      <w:r>
        <w:rPr>
          <w:color w:val="231F20"/>
          <w:u w:val="single" w:color="231F20"/>
        </w:rPr>
        <w:t>：</w:t>
        <w:tab/>
      </w:r>
      <w:r>
        <w:rPr>
          <w:color w:val="231F20"/>
        </w:rPr>
        <w:t>。</w:t>
      </w:r>
    </w:p>
    <w:p>
      <w:pPr>
        <w:pStyle w:val="ListParagraph"/>
        <w:numPr>
          <w:ilvl w:val="1"/>
          <w:numId w:val="119"/>
        </w:numPr>
        <w:tabs>
          <w:tab w:pos="924" w:val="left" w:leader="none"/>
        </w:tabs>
        <w:spacing w:line="240" w:lineRule="auto" w:before="102" w:after="0"/>
        <w:ind w:left="923" w:right="0" w:hanging="366"/>
        <w:jc w:val="left"/>
        <w:rPr>
          <w:rFonts w:ascii="方正黑体_GBK" w:eastAsia="方正黑体_GBK" w:hint="eastAsia"/>
          <w:sz w:val="22"/>
        </w:rPr>
      </w:pPr>
      <w:r>
        <w:rPr>
          <w:rFonts w:ascii="方正黑体_GBK" w:eastAsia="方正黑体_GBK" w:hint="eastAsia"/>
          <w:color w:val="231F20"/>
          <w:sz w:val="22"/>
        </w:rPr>
        <w:t>测量放线</w:t>
      </w:r>
    </w:p>
    <w:p>
      <w:pPr>
        <w:pStyle w:val="ListParagraph"/>
        <w:numPr>
          <w:ilvl w:val="2"/>
          <w:numId w:val="119"/>
        </w:numPr>
        <w:tabs>
          <w:tab w:pos="1050" w:val="left" w:leader="none"/>
          <w:tab w:pos="4242" w:val="left" w:leader="none"/>
          <w:tab w:pos="7208" w:val="left" w:leader="none"/>
        </w:tabs>
        <w:spacing w:line="319" w:lineRule="auto" w:before="122" w:after="0"/>
        <w:ind w:left="117" w:right="215" w:firstLine="440"/>
        <w:jc w:val="left"/>
        <w:rPr>
          <w:sz w:val="22"/>
        </w:rPr>
      </w:pPr>
      <w:r>
        <w:rPr>
          <w:color w:val="231F20"/>
          <w:sz w:val="22"/>
        </w:rPr>
        <w:t>关于测量放线的特别约定的技术规范</w:t>
      </w:r>
      <w:r>
        <w:rPr>
          <w:color w:val="231F20"/>
          <w:sz w:val="22"/>
          <w:u w:val="single" w:color="231F20"/>
        </w:rPr>
        <w:t>：</w:t>
        <w:tab/>
      </w:r>
      <w:r>
        <w:rPr>
          <w:color w:val="231F20"/>
          <w:sz w:val="22"/>
        </w:rPr>
        <w:t>。施工控制网资料的告知期限</w:t>
      </w:r>
      <w:r>
        <w:rPr>
          <w:color w:val="231F20"/>
          <w:sz w:val="22"/>
          <w:u w:val="single" w:color="231F20"/>
        </w:rPr>
        <w:t>：</w:t>
        <w:tab/>
      </w:r>
      <w:r>
        <w:rPr>
          <w:color w:val="231F20"/>
          <w:sz w:val="22"/>
        </w:rPr>
        <w:t>。</w:t>
      </w:r>
    </w:p>
    <w:p>
      <w:pPr>
        <w:pStyle w:val="BodyText"/>
        <w:spacing w:before="20"/>
        <w:ind w:left="557"/>
        <w:rPr>
          <w:rFonts w:ascii="方正黑体_GBK" w:eastAsia="方正黑体_GBK" w:hint="eastAsia"/>
        </w:rPr>
      </w:pPr>
      <w:r>
        <w:rPr>
          <w:rFonts w:ascii="方正黑体_GBK" w:eastAsia="方正黑体_GBK" w:hint="eastAsia"/>
          <w:color w:val="231F20"/>
        </w:rPr>
        <w:t>7.5 现场劳动用工</w:t>
      </w:r>
    </w:p>
    <w:p>
      <w:pPr>
        <w:pStyle w:val="BodyText"/>
        <w:tabs>
          <w:tab w:pos="9078" w:val="left" w:leader="none"/>
        </w:tabs>
        <w:spacing w:before="122"/>
        <w:ind w:left="557"/>
      </w:pPr>
      <w:r>
        <w:rPr>
          <w:color w:val="231F20"/>
        </w:rPr>
        <w:t>7.5.2</w:t>
      </w:r>
      <w:r>
        <w:rPr>
          <w:color w:val="231F20"/>
          <w:spacing w:val="-2"/>
        </w:rPr>
        <w:t> </w:t>
      </w:r>
      <w:r>
        <w:rPr>
          <w:color w:val="231F20"/>
        </w:rPr>
        <w:t>合同当事人对建筑工人工资清偿事宜和违约责任的约定</w:t>
      </w:r>
      <w:r>
        <w:rPr>
          <w:color w:val="231F20"/>
          <w:u w:val="single" w:color="231F20"/>
        </w:rPr>
        <w:t>：</w:t>
        <w:tab/>
      </w:r>
      <w:r>
        <w:rPr>
          <w:color w:val="231F20"/>
        </w:rPr>
        <w:t>。</w:t>
      </w:r>
    </w:p>
    <w:p>
      <w:pPr>
        <w:pStyle w:val="BodyText"/>
        <w:spacing w:before="103"/>
        <w:ind w:left="557"/>
        <w:rPr>
          <w:rFonts w:ascii="方正黑体_GBK" w:eastAsia="方正黑体_GBK" w:hint="eastAsia"/>
        </w:rPr>
      </w:pPr>
      <w:r>
        <w:rPr>
          <w:rFonts w:ascii="方正黑体_GBK" w:eastAsia="方正黑体_GBK" w:hint="eastAsia"/>
          <w:color w:val="231F20"/>
        </w:rPr>
        <w:t>7.6 安全文明施工</w:t>
      </w:r>
    </w:p>
    <w:p>
      <w:pPr>
        <w:pStyle w:val="BodyText"/>
        <w:spacing w:before="122"/>
        <w:ind w:left="557"/>
      </w:pPr>
      <w:r>
        <w:rPr>
          <w:color w:val="231F20"/>
        </w:rPr>
        <w:t>7.6.1 安全生产要求</w:t>
      </w:r>
    </w:p>
    <w:p>
      <w:pPr>
        <w:pStyle w:val="BodyText"/>
        <w:tabs>
          <w:tab w:pos="9078" w:val="left" w:leader="none"/>
        </w:tabs>
        <w:ind w:left="557"/>
      </w:pPr>
      <w:r>
        <w:rPr>
          <w:color w:val="231F20"/>
        </w:rPr>
        <w:t>合同当事人对安全施工的要求</w:t>
      </w:r>
      <w:r>
        <w:rPr>
          <w:color w:val="231F20"/>
          <w:u w:val="single" w:color="231F20"/>
        </w:rPr>
        <w:t>：</w:t>
        <w:tab/>
      </w:r>
      <w:r>
        <w:rPr>
          <w:color w:val="231F20"/>
        </w:rPr>
        <w:t>。</w:t>
      </w:r>
    </w:p>
    <w:p>
      <w:pPr>
        <w:pStyle w:val="BodyText"/>
        <w:ind w:left="557"/>
      </w:pPr>
      <w:r>
        <w:rPr>
          <w:color w:val="231F20"/>
        </w:rPr>
        <w:t>7.6.3 文明施工</w:t>
      </w:r>
    </w:p>
    <w:p>
      <w:pPr>
        <w:pStyle w:val="BodyText"/>
        <w:tabs>
          <w:tab w:pos="9078" w:val="left" w:leader="none"/>
        </w:tabs>
        <w:ind w:left="557"/>
      </w:pPr>
      <w:r>
        <w:rPr>
          <w:color w:val="231F20"/>
        </w:rPr>
        <w:t>合同当事人对文明施工的要求</w:t>
      </w:r>
      <w:r>
        <w:rPr>
          <w:color w:val="231F20"/>
          <w:u w:val="single" w:color="231F20"/>
        </w:rPr>
        <w:t>：</w:t>
        <w:tab/>
      </w:r>
      <w:r>
        <w:rPr>
          <w:color w:val="231F20"/>
        </w:rPr>
        <w:t>。</w:t>
      </w:r>
    </w:p>
    <w:p>
      <w:pPr>
        <w:pStyle w:val="ListParagraph"/>
        <w:numPr>
          <w:ilvl w:val="1"/>
          <w:numId w:val="120"/>
        </w:numPr>
        <w:tabs>
          <w:tab w:pos="924" w:val="left" w:leader="none"/>
        </w:tabs>
        <w:spacing w:line="240" w:lineRule="auto" w:before="103" w:after="0"/>
        <w:ind w:left="923" w:right="0" w:hanging="366"/>
        <w:jc w:val="left"/>
        <w:rPr>
          <w:rFonts w:ascii="方正黑体_GBK" w:eastAsia="方正黑体_GBK" w:hint="eastAsia"/>
          <w:sz w:val="22"/>
        </w:rPr>
      </w:pPr>
      <w:r>
        <w:rPr>
          <w:rFonts w:ascii="方正黑体_GBK" w:eastAsia="方正黑体_GBK" w:hint="eastAsia"/>
          <w:color w:val="231F20"/>
          <w:sz w:val="22"/>
        </w:rPr>
        <w:t>临时性公用设施</w:t>
      </w:r>
    </w:p>
    <w:p>
      <w:pPr>
        <w:pStyle w:val="BodyText"/>
        <w:tabs>
          <w:tab w:pos="9078" w:val="left" w:leader="none"/>
        </w:tabs>
        <w:spacing w:before="122"/>
        <w:ind w:left="557"/>
      </w:pPr>
      <w:r>
        <w:rPr>
          <w:color w:val="231F20"/>
        </w:rPr>
        <w:t>关于临时性公用设施的特别约定</w:t>
      </w:r>
      <w:r>
        <w:rPr>
          <w:color w:val="231F20"/>
          <w:u w:val="single" w:color="231F20"/>
        </w:rPr>
        <w:t>：</w:t>
        <w:tab/>
      </w:r>
      <w:r>
        <w:rPr>
          <w:color w:val="231F20"/>
        </w:rPr>
        <w:t>。</w:t>
      </w:r>
    </w:p>
    <w:p>
      <w:pPr>
        <w:pStyle w:val="ListParagraph"/>
        <w:numPr>
          <w:ilvl w:val="1"/>
          <w:numId w:val="120"/>
        </w:numPr>
        <w:tabs>
          <w:tab w:pos="1046" w:val="left" w:leader="none"/>
        </w:tabs>
        <w:spacing w:line="240" w:lineRule="auto" w:before="103" w:after="0"/>
        <w:ind w:left="1045" w:right="0" w:hanging="488"/>
        <w:jc w:val="left"/>
        <w:rPr>
          <w:rFonts w:ascii="方正黑体_GBK" w:eastAsia="方正黑体_GBK" w:hint="eastAsia"/>
          <w:sz w:val="22"/>
        </w:rPr>
      </w:pPr>
      <w:r>
        <w:rPr>
          <w:rFonts w:ascii="方正黑体_GBK" w:eastAsia="方正黑体_GBK" w:hint="eastAsia"/>
          <w:color w:val="231F20"/>
          <w:sz w:val="22"/>
        </w:rPr>
        <w:t>现场安保</w:t>
      </w:r>
    </w:p>
    <w:p>
      <w:pPr>
        <w:pStyle w:val="BodyText"/>
        <w:tabs>
          <w:tab w:pos="9078" w:val="left" w:leader="none"/>
        </w:tabs>
        <w:spacing w:before="122"/>
        <w:ind w:left="557"/>
      </w:pPr>
      <w:r>
        <w:rPr>
          <w:color w:val="231F20"/>
        </w:rPr>
        <w:t>承包人现场安保义务的特别约定</w:t>
      </w:r>
      <w:r>
        <w:rPr>
          <w:color w:val="231F20"/>
          <w:u w:val="single" w:color="231F20"/>
        </w:rPr>
        <w:t>：</w:t>
        <w:tab/>
      </w:r>
      <w:r>
        <w:rPr>
          <w:color w:val="231F20"/>
        </w:rPr>
        <w:t>。</w:t>
      </w:r>
    </w:p>
    <w:p>
      <w:pPr>
        <w:pStyle w:val="BodyText"/>
        <w:tabs>
          <w:tab w:pos="1009" w:val="left" w:leader="none"/>
        </w:tabs>
        <w:spacing w:before="103"/>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8</w:t>
      </w:r>
      <w:r>
        <w:rPr>
          <w:rFonts w:ascii="方正黑体_GBK" w:eastAsia="方正黑体_GBK" w:hint="eastAsia"/>
          <w:color w:val="231F20"/>
          <w:spacing w:val="-7"/>
        </w:rPr>
        <w:t> </w:t>
      </w:r>
      <w:r>
        <w:rPr>
          <w:rFonts w:ascii="方正黑体_GBK" w:eastAsia="方正黑体_GBK" w:hint="eastAsia"/>
          <w:color w:val="231F20"/>
        </w:rPr>
        <w:t>条</w:t>
        <w:tab/>
        <w:t>工期和进度</w:t>
      </w:r>
    </w:p>
    <w:p>
      <w:pPr>
        <w:pStyle w:val="ListParagraph"/>
        <w:numPr>
          <w:ilvl w:val="1"/>
          <w:numId w:val="121"/>
        </w:numPr>
        <w:tabs>
          <w:tab w:pos="924" w:val="left" w:leader="none"/>
        </w:tabs>
        <w:spacing w:line="240" w:lineRule="auto" w:before="116" w:after="0"/>
        <w:ind w:left="923" w:right="0" w:hanging="366"/>
        <w:jc w:val="left"/>
        <w:rPr>
          <w:rFonts w:ascii="方正黑体_GBK" w:eastAsia="方正黑体_GBK" w:hint="eastAsia"/>
          <w:sz w:val="22"/>
        </w:rPr>
      </w:pPr>
      <w:r>
        <w:rPr>
          <w:rFonts w:ascii="方正黑体_GBK" w:eastAsia="方正黑体_GBK" w:hint="eastAsia"/>
          <w:color w:val="231F20"/>
          <w:sz w:val="22"/>
        </w:rPr>
        <w:t>开始工作</w:t>
      </w:r>
    </w:p>
    <w:p>
      <w:pPr>
        <w:pStyle w:val="ListParagraph"/>
        <w:numPr>
          <w:ilvl w:val="2"/>
          <w:numId w:val="121"/>
        </w:numPr>
        <w:tabs>
          <w:tab w:pos="1048" w:val="left" w:leader="none"/>
          <w:tab w:pos="9078" w:val="left" w:leader="none"/>
        </w:tabs>
        <w:spacing w:line="240" w:lineRule="auto" w:before="122" w:after="0"/>
        <w:ind w:left="1047" w:right="0" w:hanging="490"/>
        <w:jc w:val="left"/>
        <w:rPr>
          <w:sz w:val="22"/>
        </w:rPr>
      </w:pPr>
      <w:r>
        <w:rPr>
          <w:color w:val="231F20"/>
          <w:sz w:val="22"/>
        </w:rPr>
        <w:t>开始准备工作</w:t>
      </w:r>
      <w:r>
        <w:rPr>
          <w:color w:val="231F20"/>
          <w:sz w:val="22"/>
          <w:u w:val="single" w:color="231F20"/>
        </w:rPr>
        <w:t>：</w:t>
        <w:tab/>
      </w:r>
      <w:r>
        <w:rPr>
          <w:color w:val="231F20"/>
          <w:sz w:val="22"/>
        </w:rPr>
        <w:t>。</w:t>
      </w:r>
    </w:p>
    <w:p>
      <w:pPr>
        <w:spacing w:after="0" w:line="240" w:lineRule="auto"/>
        <w:jc w:val="left"/>
        <w:rPr>
          <w:sz w:val="22"/>
        </w:rPr>
        <w:sectPr>
          <w:pgSz w:w="11910" w:h="16840"/>
          <w:pgMar w:header="0" w:footer="832" w:top="1580" w:bottom="1020" w:left="1300" w:right="1200"/>
        </w:sectPr>
      </w:pPr>
    </w:p>
    <w:p>
      <w:pPr>
        <w:pStyle w:val="ListParagraph"/>
        <w:numPr>
          <w:ilvl w:val="2"/>
          <w:numId w:val="121"/>
        </w:numPr>
        <w:tabs>
          <w:tab w:pos="1048" w:val="left" w:leader="none"/>
          <w:tab w:pos="9188" w:val="left" w:leader="none"/>
        </w:tabs>
        <w:spacing w:line="240" w:lineRule="auto" w:before="24" w:after="0"/>
        <w:ind w:left="1047" w:right="0" w:hanging="490"/>
        <w:jc w:val="both"/>
        <w:rPr>
          <w:sz w:val="22"/>
        </w:rPr>
      </w:pPr>
      <w:r>
        <w:rPr>
          <w:color w:val="231F20"/>
          <w:sz w:val="22"/>
        </w:rPr>
        <w:t>发包人可在计划开始工作之日起</w:t>
      </w:r>
      <w:r>
        <w:rPr>
          <w:color w:val="231F20"/>
          <w:spacing w:val="-1"/>
          <w:sz w:val="22"/>
        </w:rPr>
        <w:t> </w:t>
      </w:r>
      <w:r>
        <w:rPr>
          <w:color w:val="231F20"/>
          <w:sz w:val="22"/>
        </w:rPr>
        <w:t>84</w:t>
      </w:r>
      <w:r>
        <w:rPr>
          <w:color w:val="231F20"/>
          <w:spacing w:val="-1"/>
          <w:sz w:val="22"/>
        </w:rPr>
        <w:t> </w:t>
      </w:r>
      <w:r>
        <w:rPr>
          <w:color w:val="231F20"/>
          <w:sz w:val="22"/>
        </w:rPr>
        <w:t>日后发出开始工作通知的特殊情形</w:t>
      </w:r>
      <w:r>
        <w:rPr>
          <w:color w:val="231F20"/>
          <w:sz w:val="22"/>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1"/>
          <w:numId w:val="122"/>
        </w:numPr>
        <w:tabs>
          <w:tab w:pos="924" w:val="left" w:leader="none"/>
        </w:tabs>
        <w:spacing w:line="240" w:lineRule="auto" w:before="103" w:after="0"/>
        <w:ind w:left="923" w:right="0" w:hanging="366"/>
        <w:jc w:val="both"/>
        <w:rPr>
          <w:rFonts w:ascii="方正黑体_GBK" w:eastAsia="方正黑体_GBK" w:hint="eastAsia"/>
          <w:sz w:val="22"/>
        </w:rPr>
      </w:pPr>
      <w:r>
        <w:rPr>
          <w:rFonts w:ascii="方正黑体_GBK" w:eastAsia="方正黑体_GBK" w:hint="eastAsia"/>
          <w:color w:val="231F20"/>
          <w:sz w:val="22"/>
        </w:rPr>
        <w:t>竣工日期</w:t>
      </w:r>
    </w:p>
    <w:p>
      <w:pPr>
        <w:pStyle w:val="BodyText"/>
        <w:tabs>
          <w:tab w:pos="9078" w:val="left" w:leader="none"/>
        </w:tabs>
        <w:spacing w:before="122"/>
        <w:ind w:left="557"/>
        <w:jc w:val="both"/>
      </w:pPr>
      <w:r>
        <w:rPr>
          <w:color w:val="231F20"/>
        </w:rPr>
        <w:t>竣工日期的约定</w:t>
      </w:r>
      <w:r>
        <w:rPr>
          <w:color w:val="231F20"/>
          <w:u w:val="single" w:color="231F20"/>
        </w:rPr>
        <w:t>：</w:t>
        <w:tab/>
      </w:r>
      <w:r>
        <w:rPr>
          <w:color w:val="231F20"/>
        </w:rPr>
        <w:t>。</w:t>
      </w:r>
    </w:p>
    <w:p>
      <w:pPr>
        <w:pStyle w:val="ListParagraph"/>
        <w:numPr>
          <w:ilvl w:val="1"/>
          <w:numId w:val="122"/>
        </w:numPr>
        <w:tabs>
          <w:tab w:pos="924" w:val="left" w:leader="none"/>
        </w:tabs>
        <w:spacing w:line="240" w:lineRule="auto" w:before="103" w:after="0"/>
        <w:ind w:left="923" w:right="0" w:hanging="366"/>
        <w:jc w:val="both"/>
        <w:rPr>
          <w:rFonts w:ascii="方正黑体_GBK" w:eastAsia="方正黑体_GBK" w:hint="eastAsia"/>
          <w:sz w:val="22"/>
        </w:rPr>
      </w:pPr>
      <w:r>
        <w:rPr>
          <w:rFonts w:ascii="方正黑体_GBK" w:eastAsia="方正黑体_GBK" w:hint="eastAsia"/>
          <w:color w:val="231F20"/>
          <w:sz w:val="22"/>
        </w:rPr>
        <w:t>项目实施计划</w:t>
      </w:r>
    </w:p>
    <w:p>
      <w:pPr>
        <w:pStyle w:val="ListParagraph"/>
        <w:numPr>
          <w:ilvl w:val="2"/>
          <w:numId w:val="122"/>
        </w:numPr>
        <w:tabs>
          <w:tab w:pos="1048" w:val="left" w:leader="none"/>
        </w:tabs>
        <w:spacing w:line="240" w:lineRule="auto" w:before="122" w:after="0"/>
        <w:ind w:left="1047" w:right="0" w:hanging="490"/>
        <w:jc w:val="both"/>
        <w:rPr>
          <w:sz w:val="22"/>
        </w:rPr>
      </w:pPr>
      <w:r>
        <w:rPr>
          <w:color w:val="231F20"/>
          <w:sz w:val="22"/>
        </w:rPr>
        <w:t>项目实施计划的内容</w:t>
      </w:r>
    </w:p>
    <w:p>
      <w:pPr>
        <w:pStyle w:val="BodyText"/>
        <w:tabs>
          <w:tab w:pos="9078" w:val="left" w:leader="none"/>
        </w:tabs>
        <w:ind w:left="557"/>
        <w:jc w:val="both"/>
      </w:pPr>
      <w:r>
        <w:rPr>
          <w:color w:val="231F20"/>
        </w:rPr>
        <w:t>项目实施计划的内容</w:t>
      </w:r>
      <w:r>
        <w:rPr>
          <w:color w:val="231F20"/>
          <w:u w:val="single" w:color="231F20"/>
        </w:rPr>
        <w:t>：</w:t>
        <w:tab/>
      </w:r>
      <w:r>
        <w:rPr>
          <w:color w:val="231F20"/>
        </w:rPr>
        <w:t>。</w:t>
      </w:r>
    </w:p>
    <w:p>
      <w:pPr>
        <w:pStyle w:val="ListParagraph"/>
        <w:numPr>
          <w:ilvl w:val="2"/>
          <w:numId w:val="122"/>
        </w:numPr>
        <w:tabs>
          <w:tab w:pos="1048" w:val="left" w:leader="none"/>
        </w:tabs>
        <w:spacing w:line="240" w:lineRule="auto" w:before="109" w:after="0"/>
        <w:ind w:left="1047" w:right="0" w:hanging="490"/>
        <w:jc w:val="both"/>
        <w:rPr>
          <w:sz w:val="22"/>
        </w:rPr>
      </w:pPr>
      <w:r>
        <w:rPr>
          <w:color w:val="231F20"/>
          <w:sz w:val="22"/>
        </w:rPr>
        <w:t>项目实施计划的提交和修改</w:t>
      </w:r>
    </w:p>
    <w:p>
      <w:pPr>
        <w:pStyle w:val="BodyText"/>
        <w:tabs>
          <w:tab w:pos="9078" w:val="left" w:leader="none"/>
        </w:tabs>
        <w:ind w:left="557"/>
        <w:jc w:val="both"/>
      </w:pPr>
      <w:r>
        <w:rPr>
          <w:color w:val="231F20"/>
        </w:rPr>
        <w:t>项目实施计划的提交及修改期限</w:t>
      </w:r>
      <w:r>
        <w:rPr>
          <w:color w:val="231F20"/>
          <w:u w:val="single" w:color="231F20"/>
        </w:rPr>
        <w:t>：</w:t>
        <w:tab/>
      </w:r>
      <w:r>
        <w:rPr>
          <w:color w:val="231F20"/>
        </w:rPr>
        <w:t>。</w:t>
      </w:r>
    </w:p>
    <w:p>
      <w:pPr>
        <w:pStyle w:val="ListParagraph"/>
        <w:numPr>
          <w:ilvl w:val="1"/>
          <w:numId w:val="123"/>
        </w:numPr>
        <w:tabs>
          <w:tab w:pos="924" w:val="left" w:leader="none"/>
        </w:tabs>
        <w:spacing w:line="240" w:lineRule="auto" w:before="103" w:after="0"/>
        <w:ind w:left="923" w:right="0" w:hanging="366"/>
        <w:jc w:val="both"/>
        <w:rPr>
          <w:rFonts w:ascii="方正黑体_GBK" w:eastAsia="方正黑体_GBK" w:hint="eastAsia"/>
          <w:sz w:val="22"/>
        </w:rPr>
      </w:pPr>
      <w:r>
        <w:rPr>
          <w:rFonts w:ascii="方正黑体_GBK" w:eastAsia="方正黑体_GBK" w:hint="eastAsia"/>
          <w:color w:val="231F20"/>
          <w:sz w:val="22"/>
        </w:rPr>
        <w:t>项目进度计划</w:t>
      </w:r>
    </w:p>
    <w:p>
      <w:pPr>
        <w:pStyle w:val="ListParagraph"/>
        <w:numPr>
          <w:ilvl w:val="2"/>
          <w:numId w:val="123"/>
        </w:numPr>
        <w:tabs>
          <w:tab w:pos="1048" w:val="left" w:leader="none"/>
          <w:tab w:pos="9078" w:val="left" w:leader="none"/>
        </w:tabs>
        <w:spacing w:line="240" w:lineRule="auto" w:before="122" w:after="0"/>
        <w:ind w:left="557" w:right="0" w:firstLine="0"/>
        <w:jc w:val="both"/>
        <w:rPr>
          <w:sz w:val="22"/>
        </w:rPr>
      </w:pPr>
      <w:r>
        <w:rPr>
          <w:color w:val="231F20"/>
          <w:sz w:val="22"/>
        </w:rPr>
        <w:t>工程师在收到进度计划后确认或提出修改意见的期限</w:t>
      </w:r>
      <w:r>
        <w:rPr>
          <w:color w:val="231F20"/>
          <w:sz w:val="22"/>
          <w:u w:val="single" w:color="231F20"/>
        </w:rPr>
        <w:t>：</w:t>
        <w:tab/>
      </w:r>
      <w:r>
        <w:rPr>
          <w:color w:val="231F20"/>
          <w:sz w:val="22"/>
        </w:rPr>
        <w:t>。</w:t>
      </w:r>
    </w:p>
    <w:p>
      <w:pPr>
        <w:pStyle w:val="ListParagraph"/>
        <w:numPr>
          <w:ilvl w:val="2"/>
          <w:numId w:val="123"/>
        </w:numPr>
        <w:tabs>
          <w:tab w:pos="1048" w:val="left" w:leader="none"/>
          <w:tab w:pos="9078" w:val="left" w:leader="none"/>
        </w:tabs>
        <w:spacing w:line="319" w:lineRule="auto" w:before="109" w:after="0"/>
        <w:ind w:left="557" w:right="105" w:firstLine="0"/>
        <w:jc w:val="both"/>
        <w:rPr>
          <w:sz w:val="22"/>
        </w:rPr>
      </w:pPr>
      <w:r>
        <w:rPr>
          <w:color w:val="231F20"/>
          <w:sz w:val="22"/>
        </w:rPr>
        <w:t>进度计划的具体要求</w:t>
      </w:r>
      <w:r>
        <w:rPr>
          <w:color w:val="231F20"/>
          <w:sz w:val="22"/>
          <w:u w:val="single" w:color="231F20"/>
        </w:rPr>
        <w:t>：</w:t>
        <w:tab/>
      </w:r>
      <w:r>
        <w:rPr>
          <w:color w:val="231F20"/>
          <w:sz w:val="22"/>
        </w:rPr>
        <w:t>。关键路径及关键路径变化的确定原则</w:t>
      </w:r>
      <w:r>
        <w:rPr>
          <w:color w:val="231F20"/>
          <w:sz w:val="22"/>
          <w:u w:val="single" w:color="231F20"/>
        </w:rPr>
        <w:t>：</w:t>
        <w:tab/>
      </w:r>
      <w:r>
        <w:rPr>
          <w:color w:val="231F20"/>
          <w:sz w:val="22"/>
        </w:rPr>
        <w:t>。承包人提交项目进度计划的份数和时间</w:t>
      </w:r>
      <w:r>
        <w:rPr>
          <w:color w:val="231F20"/>
          <w:sz w:val="22"/>
          <w:u w:val="single" w:color="231F20"/>
        </w:rPr>
        <w:t>：</w:t>
        <w:tab/>
      </w:r>
      <w:r>
        <w:rPr>
          <w:color w:val="231F20"/>
          <w:sz w:val="22"/>
        </w:rPr>
        <w:t>。</w:t>
      </w:r>
    </w:p>
    <w:p>
      <w:pPr>
        <w:pStyle w:val="ListParagraph"/>
        <w:numPr>
          <w:ilvl w:val="2"/>
          <w:numId w:val="123"/>
        </w:numPr>
        <w:tabs>
          <w:tab w:pos="1048" w:val="left" w:leader="none"/>
        </w:tabs>
        <w:spacing w:line="240" w:lineRule="auto" w:before="25" w:after="0"/>
        <w:ind w:left="557" w:right="0" w:firstLine="0"/>
        <w:jc w:val="left"/>
        <w:rPr>
          <w:sz w:val="22"/>
        </w:rPr>
      </w:pPr>
      <w:r>
        <w:rPr>
          <w:color w:val="231F20"/>
          <w:sz w:val="22"/>
        </w:rPr>
        <w:t>进度计划的修订</w:t>
      </w:r>
    </w:p>
    <w:p>
      <w:pPr>
        <w:pStyle w:val="BodyText"/>
        <w:tabs>
          <w:tab w:pos="9078" w:val="left" w:leader="none"/>
        </w:tabs>
        <w:spacing w:line="319" w:lineRule="auto" w:before="108"/>
        <w:ind w:left="557" w:right="105"/>
        <w:jc w:val="both"/>
      </w:pPr>
      <w:r>
        <w:rPr>
          <w:color w:val="231F20"/>
        </w:rPr>
        <w:t>承包人提交修订项目进度计划申请报告的期限</w:t>
      </w:r>
      <w:r>
        <w:rPr>
          <w:color w:val="231F20"/>
          <w:u w:val="single" w:color="231F20"/>
        </w:rPr>
        <w:t>：</w:t>
        <w:tab/>
      </w:r>
      <w:r>
        <w:rPr>
          <w:color w:val="231F20"/>
        </w:rPr>
        <w:t>。发包人批复修订项目进度计划申请报告的期限</w:t>
      </w:r>
      <w:r>
        <w:rPr>
          <w:color w:val="231F20"/>
          <w:u w:val="single" w:color="231F20"/>
        </w:rPr>
        <w:t>：</w:t>
        <w:tab/>
      </w:r>
      <w:r>
        <w:rPr>
          <w:color w:val="231F20"/>
        </w:rPr>
        <w:t>。承包人答复发包人提出修订合同计划的期限</w:t>
      </w:r>
      <w:r>
        <w:rPr>
          <w:color w:val="231F20"/>
          <w:u w:val="single" w:color="231F20"/>
        </w:rPr>
        <w:t>：</w:t>
        <w:tab/>
      </w:r>
      <w:r>
        <w:rPr>
          <w:color w:val="231F20"/>
        </w:rPr>
        <w:t>。</w:t>
      </w:r>
    </w:p>
    <w:p>
      <w:pPr>
        <w:pStyle w:val="BodyText"/>
        <w:spacing w:before="19"/>
        <w:ind w:left="557"/>
        <w:jc w:val="both"/>
        <w:rPr>
          <w:rFonts w:ascii="方正黑体_GBK" w:eastAsia="方正黑体_GBK" w:hint="eastAsia"/>
        </w:rPr>
      </w:pPr>
      <w:r>
        <w:rPr>
          <w:rFonts w:ascii="方正黑体_GBK" w:eastAsia="方正黑体_GBK" w:hint="eastAsia"/>
          <w:color w:val="231F20"/>
        </w:rPr>
        <w:t>8.5 进度报告</w:t>
      </w:r>
    </w:p>
    <w:p>
      <w:pPr>
        <w:pStyle w:val="BodyText"/>
        <w:tabs>
          <w:tab w:pos="9078" w:val="left" w:leader="none"/>
        </w:tabs>
        <w:spacing w:before="122"/>
        <w:ind w:left="557"/>
        <w:jc w:val="both"/>
      </w:pPr>
      <w:r>
        <w:rPr>
          <w:color w:val="231F20"/>
        </w:rPr>
        <w:t>进度报告的具体要求</w:t>
      </w:r>
      <w:r>
        <w:rPr>
          <w:color w:val="231F20"/>
          <w:u w:val="single" w:color="231F20"/>
        </w:rPr>
        <w:t>：</w:t>
        <w:tab/>
      </w:r>
      <w:r>
        <w:rPr>
          <w:color w:val="231F20"/>
        </w:rPr>
        <w:t>。</w:t>
      </w:r>
    </w:p>
    <w:p>
      <w:pPr>
        <w:pStyle w:val="ListParagraph"/>
        <w:numPr>
          <w:ilvl w:val="1"/>
          <w:numId w:val="124"/>
        </w:numPr>
        <w:tabs>
          <w:tab w:pos="924" w:val="left" w:leader="none"/>
        </w:tabs>
        <w:spacing w:line="240" w:lineRule="auto" w:before="103" w:after="0"/>
        <w:ind w:left="923" w:right="0" w:hanging="366"/>
        <w:jc w:val="both"/>
        <w:rPr>
          <w:rFonts w:ascii="方正黑体_GBK" w:eastAsia="方正黑体_GBK" w:hint="eastAsia"/>
          <w:sz w:val="22"/>
        </w:rPr>
      </w:pPr>
      <w:r>
        <w:rPr>
          <w:rFonts w:ascii="方正黑体_GBK" w:eastAsia="方正黑体_GBK" w:hint="eastAsia"/>
          <w:color w:val="231F20"/>
          <w:sz w:val="22"/>
        </w:rPr>
        <w:t>工期延误</w:t>
      </w:r>
    </w:p>
    <w:p>
      <w:pPr>
        <w:pStyle w:val="ListParagraph"/>
        <w:numPr>
          <w:ilvl w:val="2"/>
          <w:numId w:val="124"/>
        </w:numPr>
        <w:tabs>
          <w:tab w:pos="1048" w:val="left" w:leader="none"/>
        </w:tabs>
        <w:spacing w:line="240" w:lineRule="auto" w:before="122" w:after="0"/>
        <w:ind w:left="1047" w:right="0" w:hanging="490"/>
        <w:jc w:val="both"/>
        <w:rPr>
          <w:sz w:val="22"/>
        </w:rPr>
      </w:pPr>
      <w:r>
        <w:rPr>
          <w:color w:val="231F20"/>
          <w:sz w:val="22"/>
        </w:rPr>
        <w:t>因承包人原因导致工期延误</w:t>
      </w:r>
    </w:p>
    <w:p>
      <w:pPr>
        <w:pStyle w:val="BodyText"/>
        <w:tabs>
          <w:tab w:pos="997" w:val="left" w:leader="none"/>
          <w:tab w:pos="1602" w:val="left" w:leader="none"/>
          <w:tab w:pos="4390" w:val="left" w:leader="none"/>
          <w:tab w:pos="6405" w:val="left" w:leader="none"/>
        </w:tabs>
        <w:spacing w:line="319" w:lineRule="auto"/>
        <w:ind w:right="194" w:firstLine="440"/>
        <w:jc w:val="both"/>
      </w:pPr>
      <w:r>
        <w:rPr>
          <w:color w:val="231F20"/>
          <w:spacing w:val="12"/>
        </w:rPr>
        <w:t>因承包人原因使竣工日期延</w:t>
      </w:r>
      <w:r>
        <w:rPr>
          <w:color w:val="231F20"/>
        </w:rPr>
        <w:t>误</w:t>
      </w:r>
      <w:r>
        <w:rPr>
          <w:color w:val="231F20"/>
          <w:spacing w:val="12"/>
        </w:rPr>
        <w:t>，每延</w:t>
      </w:r>
      <w:r>
        <w:rPr>
          <w:color w:val="231F20"/>
        </w:rPr>
        <w:t>误</w:t>
      </w:r>
      <w:r>
        <w:rPr>
          <w:color w:val="231F20"/>
          <w:spacing w:val="15"/>
        </w:rPr>
        <w:t> </w:t>
      </w:r>
      <w:r>
        <w:rPr>
          <w:color w:val="231F20"/>
        </w:rPr>
        <w:t>1</w:t>
      </w:r>
      <w:r>
        <w:rPr>
          <w:color w:val="231F20"/>
          <w:spacing w:val="15"/>
        </w:rPr>
        <w:t> </w:t>
      </w:r>
      <w:r>
        <w:rPr>
          <w:color w:val="231F20"/>
          <w:spacing w:val="12"/>
        </w:rPr>
        <w:t>日的误期赔偿金额为合同协议书的合同价格</w:t>
      </w:r>
      <w:r>
        <w:rPr>
          <w:color w:val="231F20"/>
        </w:rPr>
        <w:t>的</w:t>
      </w:r>
      <w:r>
        <w:rPr>
          <w:color w:val="231F20"/>
          <w:u w:val="single" w:color="231F20"/>
        </w:rPr>
        <w:t> </w:t>
        <w:tab/>
      </w:r>
      <w:r>
        <w:rPr>
          <w:color w:val="231F20"/>
        </w:rPr>
        <w:t>%</w:t>
      </w:r>
      <w:r>
        <w:rPr>
          <w:color w:val="231F20"/>
          <w:spacing w:val="5"/>
        </w:rPr>
        <w:t> </w:t>
      </w:r>
      <w:r>
        <w:rPr>
          <w:color w:val="231F20"/>
          <w:spacing w:val="20"/>
        </w:rPr>
        <w:t>或人民币金额</w:t>
      </w:r>
      <w:r>
        <w:rPr>
          <w:color w:val="231F20"/>
        </w:rPr>
        <w:t>为：</w:t>
        <w:tab/>
      </w:r>
      <w:r>
        <w:rPr>
          <w:color w:val="231F20"/>
          <w:spacing w:val="20"/>
        </w:rPr>
        <w:t>、累计最高赔偿金额为合同协议书的合同价格</w:t>
      </w:r>
      <w:r>
        <w:rPr>
          <w:color w:val="231F20"/>
        </w:rPr>
        <w:t>的</w:t>
      </w:r>
      <w:r>
        <w:rPr>
          <w:color w:val="231F20"/>
          <w:u w:val="single" w:color="231F20"/>
        </w:rPr>
        <w:t>：</w:t>
        <w:tab/>
        <w:tab/>
      </w:r>
      <w:r>
        <w:rPr>
          <w:color w:val="231F20"/>
        </w:rPr>
        <w:t>% 或人民币金额为</w:t>
      </w:r>
      <w:r>
        <w:rPr>
          <w:color w:val="231F20"/>
          <w:u w:val="single" w:color="231F20"/>
        </w:rPr>
        <w:t>：</w:t>
        <w:tab/>
        <w:tab/>
      </w:r>
      <w:r>
        <w:rPr>
          <w:color w:val="231F20"/>
        </w:rPr>
        <w:t>。</w:t>
      </w:r>
    </w:p>
    <w:p>
      <w:pPr>
        <w:pStyle w:val="ListParagraph"/>
        <w:numPr>
          <w:ilvl w:val="2"/>
          <w:numId w:val="124"/>
        </w:numPr>
        <w:tabs>
          <w:tab w:pos="1048" w:val="left" w:leader="none"/>
        </w:tabs>
        <w:spacing w:line="240" w:lineRule="auto" w:before="25" w:after="0"/>
        <w:ind w:left="1047" w:right="0" w:hanging="490"/>
        <w:jc w:val="both"/>
        <w:rPr>
          <w:sz w:val="22"/>
        </w:rPr>
      </w:pPr>
      <w:r>
        <w:rPr>
          <w:color w:val="231F20"/>
          <w:sz w:val="22"/>
        </w:rPr>
        <w:t>行政审批迟延</w:t>
      </w:r>
    </w:p>
    <w:p>
      <w:pPr>
        <w:pStyle w:val="BodyText"/>
        <w:tabs>
          <w:tab w:pos="9078" w:val="left" w:leader="none"/>
        </w:tabs>
        <w:spacing w:before="108"/>
        <w:ind w:left="557"/>
        <w:jc w:val="both"/>
      </w:pPr>
      <w:r>
        <w:rPr>
          <w:color w:val="231F20"/>
        </w:rPr>
        <w:t>行政审批报送的职责分工</w:t>
      </w:r>
      <w:r>
        <w:rPr>
          <w:color w:val="231F20"/>
          <w:u w:val="single" w:color="231F20"/>
        </w:rPr>
        <w:t>：</w:t>
        <w:tab/>
      </w:r>
      <w:r>
        <w:rPr>
          <w:color w:val="231F20"/>
        </w:rPr>
        <w:t>。</w:t>
      </w:r>
    </w:p>
    <w:p>
      <w:pPr>
        <w:pStyle w:val="ListParagraph"/>
        <w:numPr>
          <w:ilvl w:val="2"/>
          <w:numId w:val="124"/>
        </w:numPr>
        <w:tabs>
          <w:tab w:pos="1048" w:val="left" w:leader="none"/>
        </w:tabs>
        <w:spacing w:line="240" w:lineRule="auto" w:before="108" w:after="0"/>
        <w:ind w:left="1047" w:right="0" w:hanging="490"/>
        <w:jc w:val="both"/>
        <w:rPr>
          <w:sz w:val="22"/>
        </w:rPr>
      </w:pPr>
      <w:r>
        <w:rPr>
          <w:color w:val="231F20"/>
          <w:sz w:val="22"/>
        </w:rPr>
        <w:t>异常恶劣的气候条件</w:t>
      </w:r>
    </w:p>
    <w:p>
      <w:pPr>
        <w:pStyle w:val="BodyText"/>
        <w:tabs>
          <w:tab w:pos="9078" w:val="left" w:leader="none"/>
        </w:tabs>
        <w:spacing w:before="108"/>
        <w:ind w:left="557"/>
        <w:jc w:val="both"/>
      </w:pPr>
      <w:r>
        <w:rPr>
          <w:color w:val="231F20"/>
        </w:rPr>
        <w:t>双方约定视为异常恶劣的气候条件的情形</w:t>
      </w:r>
      <w:r>
        <w:rPr>
          <w:color w:val="231F20"/>
          <w:u w:val="single" w:color="231F20"/>
        </w:rPr>
        <w:t>：</w:t>
        <w:tab/>
      </w:r>
      <w:r>
        <w:rPr>
          <w:color w:val="231F20"/>
        </w:rPr>
        <w:t>。</w:t>
      </w:r>
    </w:p>
    <w:p>
      <w:pPr>
        <w:pStyle w:val="BodyText"/>
        <w:spacing w:before="102"/>
        <w:ind w:left="557"/>
        <w:jc w:val="both"/>
        <w:rPr>
          <w:rFonts w:ascii="方正黑体_GBK" w:eastAsia="方正黑体_GBK" w:hint="eastAsia"/>
        </w:rPr>
      </w:pPr>
      <w:r>
        <w:rPr>
          <w:rFonts w:ascii="方正黑体_GBK" w:eastAsia="方正黑体_GBK" w:hint="eastAsia"/>
          <w:color w:val="231F20"/>
        </w:rPr>
        <w:t>8.8 工期提前</w:t>
      </w:r>
    </w:p>
    <w:p>
      <w:pPr>
        <w:pStyle w:val="BodyText"/>
        <w:tabs>
          <w:tab w:pos="9078" w:val="left" w:leader="none"/>
        </w:tabs>
        <w:spacing w:before="121"/>
        <w:ind w:left="557"/>
        <w:jc w:val="both"/>
      </w:pPr>
      <w:r>
        <w:rPr>
          <w:color w:val="231F20"/>
        </w:rPr>
        <w:t>8.8.2</w:t>
      </w:r>
      <w:r>
        <w:rPr>
          <w:color w:val="231F20"/>
          <w:spacing w:val="-2"/>
        </w:rPr>
        <w:t> </w:t>
      </w:r>
      <w:r>
        <w:rPr>
          <w:color w:val="231F20"/>
        </w:rPr>
        <w:t>承包人提前竣工的奖励</w:t>
      </w:r>
      <w:r>
        <w:rPr>
          <w:color w:val="231F20"/>
          <w:u w:val="single" w:color="231F20"/>
        </w:rPr>
        <w:t>：</w:t>
        <w:tab/>
      </w:r>
      <w:r>
        <w:rPr>
          <w:color w:val="231F20"/>
        </w:rPr>
        <w:t>。</w:t>
      </w:r>
    </w:p>
    <w:p>
      <w:pPr>
        <w:spacing w:after="0"/>
        <w:jc w:val="both"/>
        <w:sectPr>
          <w:pgSz w:w="11910" w:h="16840"/>
          <w:pgMar w:header="0" w:footer="832" w:top="1580" w:bottom="1020" w:left="1300" w:right="1200"/>
        </w:sectPr>
      </w:pPr>
    </w:p>
    <w:p>
      <w:pPr>
        <w:pStyle w:val="BodyText"/>
        <w:tabs>
          <w:tab w:pos="1009" w:val="left" w:leader="none"/>
        </w:tabs>
        <w:spacing w:before="18"/>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9</w:t>
      </w:r>
      <w:r>
        <w:rPr>
          <w:rFonts w:ascii="方正黑体_GBK" w:eastAsia="方正黑体_GBK" w:hint="eastAsia"/>
          <w:color w:val="231F20"/>
          <w:spacing w:val="-7"/>
        </w:rPr>
        <w:t> </w:t>
      </w:r>
      <w:r>
        <w:rPr>
          <w:rFonts w:ascii="方正黑体_GBK" w:eastAsia="方正黑体_GBK" w:hint="eastAsia"/>
          <w:color w:val="231F20"/>
        </w:rPr>
        <w:t>条</w:t>
        <w:tab/>
        <w:t>竣工试验</w:t>
      </w:r>
    </w:p>
    <w:p>
      <w:pPr>
        <w:pStyle w:val="BodyText"/>
        <w:spacing w:before="116"/>
        <w:ind w:left="557"/>
        <w:rPr>
          <w:rFonts w:ascii="方正黑体_GBK" w:eastAsia="方正黑体_GBK" w:hint="eastAsia"/>
        </w:rPr>
      </w:pPr>
      <w:r>
        <w:rPr>
          <w:rFonts w:ascii="方正黑体_GBK" w:eastAsia="方正黑体_GBK" w:hint="eastAsia"/>
          <w:color w:val="231F20"/>
        </w:rPr>
        <w:t>9.1 竣工试验的义务</w:t>
      </w:r>
    </w:p>
    <w:p>
      <w:pPr>
        <w:pStyle w:val="BodyText"/>
        <w:tabs>
          <w:tab w:pos="9078" w:val="left" w:leader="none"/>
        </w:tabs>
        <w:spacing w:line="319" w:lineRule="auto" w:before="122"/>
        <w:ind w:left="557" w:right="105"/>
      </w:pPr>
      <w:r>
        <w:rPr>
          <w:color w:val="231F20"/>
        </w:rPr>
        <w:t>9.1.3</w:t>
      </w:r>
      <w:r>
        <w:rPr>
          <w:color w:val="231F20"/>
          <w:spacing w:val="-2"/>
        </w:rPr>
        <w:t> </w:t>
      </w:r>
      <w:r>
        <w:rPr>
          <w:color w:val="231F20"/>
        </w:rPr>
        <w:t>竣工试验的阶段、内容和顺序</w:t>
      </w:r>
      <w:r>
        <w:rPr>
          <w:color w:val="231F20"/>
          <w:u w:val="single" w:color="231F20"/>
        </w:rPr>
        <w:t>：</w:t>
        <w:tab/>
      </w:r>
      <w:r>
        <w:rPr>
          <w:color w:val="231F20"/>
        </w:rPr>
        <w:t>。竣工试验的操作要求</w:t>
      </w:r>
      <w:r>
        <w:rPr>
          <w:color w:val="231F20"/>
          <w:u w:val="single" w:color="231F20"/>
        </w:rPr>
        <w:t>：</w:t>
        <w:tab/>
      </w:r>
      <w:r>
        <w:rPr>
          <w:color w:val="231F20"/>
        </w:rPr>
        <w:t>。</w:t>
      </w:r>
    </w:p>
    <w:p>
      <w:pPr>
        <w:pStyle w:val="BodyText"/>
        <w:tabs>
          <w:tab w:pos="1131" w:val="left" w:leader="none"/>
        </w:tabs>
        <w:spacing w:before="19"/>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10</w:t>
      </w:r>
      <w:r>
        <w:rPr>
          <w:rFonts w:ascii="方正黑体_GBK" w:eastAsia="方正黑体_GBK" w:hint="eastAsia"/>
          <w:color w:val="231F20"/>
          <w:spacing w:val="-7"/>
        </w:rPr>
        <w:t> </w:t>
      </w:r>
      <w:r>
        <w:rPr>
          <w:rFonts w:ascii="方正黑体_GBK" w:eastAsia="方正黑体_GBK" w:hint="eastAsia"/>
          <w:color w:val="231F20"/>
        </w:rPr>
        <w:t>条</w:t>
        <w:tab/>
        <w:t>验收和工程接收</w:t>
      </w:r>
    </w:p>
    <w:p>
      <w:pPr>
        <w:pStyle w:val="BodyText"/>
        <w:spacing w:before="115"/>
        <w:ind w:left="557"/>
        <w:rPr>
          <w:rFonts w:ascii="方正黑体_GBK" w:eastAsia="方正黑体_GBK" w:hint="eastAsia"/>
        </w:rPr>
      </w:pPr>
      <w:r>
        <w:rPr>
          <w:rFonts w:ascii="方正黑体_GBK" w:eastAsia="方正黑体_GBK" w:hint="eastAsia"/>
          <w:color w:val="231F20"/>
        </w:rPr>
        <w:t>10.1 竣工验收</w:t>
      </w:r>
    </w:p>
    <w:p>
      <w:pPr>
        <w:pStyle w:val="BodyText"/>
        <w:tabs>
          <w:tab w:pos="9078" w:val="left" w:leader="none"/>
          <w:tab w:pos="9188" w:val="left" w:leader="none"/>
        </w:tabs>
        <w:spacing w:line="319" w:lineRule="auto" w:before="122"/>
        <w:ind w:left="557" w:right="105"/>
      </w:pPr>
      <w:r>
        <w:rPr>
          <w:color w:val="231F20"/>
        </w:rPr>
        <w:t>10.1.2</w:t>
      </w:r>
      <w:r>
        <w:rPr>
          <w:color w:val="231F20"/>
          <w:spacing w:val="-3"/>
        </w:rPr>
        <w:t> </w:t>
      </w:r>
      <w:r>
        <w:rPr>
          <w:color w:val="231F20"/>
        </w:rPr>
        <w:t>关于竣工验收程序的约定</w:t>
      </w:r>
      <w:r>
        <w:rPr>
          <w:color w:val="231F20"/>
          <w:u w:val="single" w:color="231F20"/>
        </w:rPr>
        <w:t>：</w:t>
        <w:tab/>
      </w:r>
      <w:r>
        <w:rPr>
          <w:color w:val="231F20"/>
        </w:rPr>
        <w:t>。发包人不按照合同约定组织竣工验收、颁发工程接受证书的违约金的计算方式</w:t>
      </w:r>
      <w:r>
        <w:rPr>
          <w:color w:val="231F20"/>
          <w:u w:val="single" w:color="231F20"/>
        </w:rPr>
        <w:t>：</w:t>
        <w:tab/>
        <w:tab/>
      </w:r>
    </w:p>
    <w:p>
      <w:pPr>
        <w:pStyle w:val="BodyText"/>
        <w:tabs>
          <w:tab w:pos="9078" w:val="left" w:leader="none"/>
        </w:tabs>
        <w:spacing w:before="26"/>
      </w:pPr>
      <w:r>
        <w:rPr>
          <w:rFonts w:ascii="Times New Roman" w:eastAsia="Times New Roman"/>
          <w:color w:val="231F20"/>
          <w:u w:val="single" w:color="231F20"/>
        </w:rPr>
        <w:t> </w:t>
        <w:tab/>
      </w:r>
      <w:r>
        <w:rPr>
          <w:color w:val="231F20"/>
        </w:rPr>
        <w:t>。</w:t>
      </w:r>
    </w:p>
    <w:p>
      <w:pPr>
        <w:pStyle w:val="ListParagraph"/>
        <w:numPr>
          <w:ilvl w:val="1"/>
          <w:numId w:val="125"/>
        </w:numPr>
        <w:tabs>
          <w:tab w:pos="1046" w:val="left" w:leader="none"/>
        </w:tabs>
        <w:spacing w:line="240" w:lineRule="auto" w:before="103" w:after="0"/>
        <w:ind w:left="1045" w:right="0" w:hanging="488"/>
        <w:jc w:val="left"/>
        <w:rPr>
          <w:rFonts w:ascii="方正黑体_GBK" w:eastAsia="方正黑体_GBK" w:hint="eastAsia"/>
          <w:sz w:val="22"/>
        </w:rPr>
      </w:pPr>
      <w:r>
        <w:rPr>
          <w:rFonts w:ascii="方正黑体_GBK" w:eastAsia="方正黑体_GBK" w:hint="eastAsia"/>
          <w:color w:val="231F20"/>
          <w:sz w:val="22"/>
        </w:rPr>
        <w:t>工程的接收</w:t>
      </w:r>
    </w:p>
    <w:p>
      <w:pPr>
        <w:pStyle w:val="ListParagraph"/>
        <w:numPr>
          <w:ilvl w:val="2"/>
          <w:numId w:val="125"/>
        </w:numPr>
        <w:tabs>
          <w:tab w:pos="1158" w:val="left" w:leader="none"/>
          <w:tab w:pos="9078" w:val="left" w:leader="none"/>
        </w:tabs>
        <w:spacing w:line="240" w:lineRule="auto" w:before="122" w:after="0"/>
        <w:ind w:left="1157" w:right="0" w:hanging="600"/>
        <w:jc w:val="left"/>
        <w:rPr>
          <w:sz w:val="22"/>
        </w:rPr>
      </w:pPr>
      <w:r>
        <w:rPr>
          <w:color w:val="231F20"/>
          <w:sz w:val="22"/>
        </w:rPr>
        <w:t>工程接收的先后顺序、时间安排和其他要求</w:t>
      </w:r>
      <w:r>
        <w:rPr>
          <w:color w:val="231F20"/>
          <w:sz w:val="22"/>
          <w:u w:val="single" w:color="231F20"/>
        </w:rPr>
        <w:t>：</w:t>
        <w:tab/>
      </w:r>
      <w:r>
        <w:rPr>
          <w:color w:val="231F20"/>
          <w:sz w:val="22"/>
        </w:rPr>
        <w:t>。</w:t>
      </w:r>
    </w:p>
    <w:p>
      <w:pPr>
        <w:pStyle w:val="ListParagraph"/>
        <w:numPr>
          <w:ilvl w:val="2"/>
          <w:numId w:val="125"/>
        </w:numPr>
        <w:tabs>
          <w:tab w:pos="1157" w:val="left" w:leader="none"/>
          <w:tab w:pos="9188" w:val="left" w:leader="none"/>
        </w:tabs>
        <w:spacing w:line="240" w:lineRule="auto" w:before="109" w:after="0"/>
        <w:ind w:left="1156" w:right="0" w:hanging="599"/>
        <w:jc w:val="left"/>
        <w:rPr>
          <w:sz w:val="22"/>
        </w:rPr>
      </w:pPr>
      <w:r>
        <w:rPr>
          <w:color w:val="231F20"/>
          <w:sz w:val="22"/>
        </w:rPr>
        <w:t>接受工程时承包人需提交竣工验收资料的类别、内容、份数和提交时间</w:t>
      </w:r>
      <w:r>
        <w:rPr>
          <w:color w:val="231F20"/>
          <w:sz w:val="22"/>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2"/>
          <w:numId w:val="125"/>
        </w:numPr>
        <w:tabs>
          <w:tab w:pos="1157" w:val="left" w:leader="none"/>
          <w:tab w:pos="9078" w:val="left" w:leader="none"/>
        </w:tabs>
        <w:spacing w:line="240" w:lineRule="auto" w:before="109" w:after="0"/>
        <w:ind w:left="1156" w:right="0" w:hanging="599"/>
        <w:jc w:val="left"/>
        <w:rPr>
          <w:sz w:val="22"/>
        </w:rPr>
      </w:pPr>
      <w:r>
        <w:rPr>
          <w:color w:val="231F20"/>
          <w:sz w:val="22"/>
        </w:rPr>
        <w:t>发包人逾期接收工程的违约责任</w:t>
      </w:r>
      <w:r>
        <w:rPr>
          <w:color w:val="231F20"/>
          <w:sz w:val="22"/>
          <w:u w:val="single" w:color="231F20"/>
        </w:rPr>
        <w:t>：</w:t>
        <w:tab/>
      </w:r>
      <w:r>
        <w:rPr>
          <w:color w:val="231F20"/>
          <w:sz w:val="22"/>
        </w:rPr>
        <w:t>。</w:t>
      </w:r>
    </w:p>
    <w:p>
      <w:pPr>
        <w:pStyle w:val="ListParagraph"/>
        <w:numPr>
          <w:ilvl w:val="2"/>
          <w:numId w:val="125"/>
        </w:numPr>
        <w:tabs>
          <w:tab w:pos="1157" w:val="left" w:leader="none"/>
          <w:tab w:pos="9078" w:val="left" w:leader="none"/>
        </w:tabs>
        <w:spacing w:line="240" w:lineRule="auto" w:before="109" w:after="0"/>
        <w:ind w:left="1156" w:right="0" w:hanging="599"/>
        <w:jc w:val="left"/>
        <w:rPr>
          <w:sz w:val="22"/>
        </w:rPr>
      </w:pPr>
      <w:r>
        <w:rPr>
          <w:color w:val="231F20"/>
          <w:sz w:val="22"/>
        </w:rPr>
        <w:t>承包人无正当理由不移交工程的违约责任</w:t>
      </w:r>
      <w:r>
        <w:rPr>
          <w:color w:val="231F20"/>
          <w:sz w:val="22"/>
          <w:u w:val="single" w:color="231F20"/>
        </w:rPr>
        <w:t>：</w:t>
        <w:tab/>
      </w:r>
      <w:r>
        <w:rPr>
          <w:color w:val="231F20"/>
          <w:sz w:val="22"/>
        </w:rPr>
        <w:t>。</w:t>
      </w:r>
    </w:p>
    <w:p>
      <w:pPr>
        <w:pStyle w:val="BodyText"/>
        <w:spacing w:before="103"/>
        <w:ind w:left="557"/>
        <w:rPr>
          <w:rFonts w:ascii="方正黑体_GBK" w:eastAsia="方正黑体_GBK" w:hint="eastAsia"/>
        </w:rPr>
      </w:pPr>
      <w:r>
        <w:rPr>
          <w:rFonts w:ascii="方正黑体_GBK" w:eastAsia="方正黑体_GBK" w:hint="eastAsia"/>
          <w:color w:val="231F20"/>
        </w:rPr>
        <w:t>10.4 接收证书</w:t>
      </w:r>
    </w:p>
    <w:p>
      <w:pPr>
        <w:pStyle w:val="BodyText"/>
        <w:tabs>
          <w:tab w:pos="9078" w:val="left" w:leader="none"/>
        </w:tabs>
        <w:spacing w:before="122"/>
        <w:ind w:left="557"/>
      </w:pPr>
      <w:r>
        <w:rPr>
          <w:color w:val="231F20"/>
        </w:rPr>
        <w:t>10.4.1</w:t>
      </w:r>
      <w:r>
        <w:rPr>
          <w:color w:val="231F20"/>
          <w:spacing w:val="-3"/>
        </w:rPr>
        <w:t> </w:t>
      </w:r>
      <w:r>
        <w:rPr>
          <w:color w:val="231F20"/>
        </w:rPr>
        <w:t>工程接收证书颁发时间</w:t>
      </w:r>
      <w:r>
        <w:rPr>
          <w:color w:val="231F20"/>
          <w:u w:val="single" w:color="231F20"/>
        </w:rPr>
        <w:t>：</w:t>
        <w:tab/>
      </w:r>
      <w:r>
        <w:rPr>
          <w:color w:val="231F20"/>
        </w:rPr>
        <w:t>。</w:t>
      </w:r>
    </w:p>
    <w:p>
      <w:pPr>
        <w:pStyle w:val="BodyText"/>
        <w:spacing w:before="103"/>
        <w:ind w:left="557"/>
        <w:rPr>
          <w:rFonts w:ascii="方正黑体_GBK" w:eastAsia="方正黑体_GBK" w:hint="eastAsia"/>
        </w:rPr>
      </w:pPr>
      <w:r>
        <w:rPr>
          <w:rFonts w:ascii="方正黑体_GBK" w:eastAsia="方正黑体_GBK" w:hint="eastAsia"/>
          <w:color w:val="231F20"/>
        </w:rPr>
        <w:t>10.5 竣工退场</w:t>
      </w:r>
    </w:p>
    <w:p>
      <w:pPr>
        <w:pStyle w:val="BodyText"/>
        <w:tabs>
          <w:tab w:pos="9078" w:val="left" w:leader="none"/>
        </w:tabs>
        <w:spacing w:before="122"/>
        <w:ind w:left="557"/>
      </w:pPr>
      <w:r>
        <w:rPr>
          <w:color w:val="231F20"/>
        </w:rPr>
        <w:t>10.5.1</w:t>
      </w:r>
      <w:r>
        <w:rPr>
          <w:color w:val="231F20"/>
          <w:spacing w:val="-3"/>
        </w:rPr>
        <w:t> </w:t>
      </w:r>
      <w:r>
        <w:rPr>
          <w:color w:val="231F20"/>
        </w:rPr>
        <w:t>竣工退场的相关约定</w:t>
      </w:r>
      <w:r>
        <w:rPr>
          <w:color w:val="231F20"/>
          <w:u w:val="single" w:color="231F20"/>
        </w:rPr>
        <w:t>：</w:t>
        <w:tab/>
      </w:r>
      <w:r>
        <w:rPr>
          <w:color w:val="231F20"/>
        </w:rPr>
        <w:t>。</w:t>
      </w:r>
    </w:p>
    <w:p>
      <w:pPr>
        <w:pStyle w:val="BodyText"/>
        <w:ind w:left="557"/>
      </w:pPr>
      <w:r>
        <w:rPr>
          <w:color w:val="231F20"/>
        </w:rPr>
        <w:t>10.5.3 人员撤离</w:t>
      </w:r>
    </w:p>
    <w:p>
      <w:pPr>
        <w:pStyle w:val="BodyText"/>
        <w:tabs>
          <w:tab w:pos="9188" w:val="left" w:leader="none"/>
        </w:tabs>
        <w:ind w:left="557"/>
      </w:pPr>
      <w:r>
        <w:rPr>
          <w:color w:val="231F20"/>
        </w:rPr>
        <w:t>工程师同意需在缺陷责任期内继续工作和使用的人员、施工设备和临时工程的内容</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BodyText"/>
        <w:tabs>
          <w:tab w:pos="1131" w:val="left" w:leader="none"/>
        </w:tabs>
        <w:spacing w:before="103"/>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11</w:t>
      </w:r>
      <w:r>
        <w:rPr>
          <w:rFonts w:ascii="方正黑体_GBK" w:eastAsia="方正黑体_GBK" w:hint="eastAsia"/>
          <w:color w:val="231F20"/>
          <w:spacing w:val="-7"/>
        </w:rPr>
        <w:t> </w:t>
      </w:r>
      <w:r>
        <w:rPr>
          <w:rFonts w:ascii="方正黑体_GBK" w:eastAsia="方正黑体_GBK" w:hint="eastAsia"/>
          <w:color w:val="231F20"/>
        </w:rPr>
        <w:t>条</w:t>
        <w:tab/>
        <w:t>缺陷责任与保修</w:t>
      </w:r>
    </w:p>
    <w:p>
      <w:pPr>
        <w:pStyle w:val="ListParagraph"/>
        <w:numPr>
          <w:ilvl w:val="1"/>
          <w:numId w:val="126"/>
        </w:numPr>
        <w:tabs>
          <w:tab w:pos="1046" w:val="left" w:leader="none"/>
        </w:tabs>
        <w:spacing w:line="240" w:lineRule="auto" w:before="116" w:after="0"/>
        <w:ind w:left="1045" w:right="0" w:hanging="488"/>
        <w:jc w:val="left"/>
        <w:rPr>
          <w:rFonts w:ascii="方正黑体_GBK" w:eastAsia="方正黑体_GBK" w:hint="eastAsia"/>
          <w:sz w:val="22"/>
        </w:rPr>
      </w:pPr>
      <w:r>
        <w:rPr>
          <w:rFonts w:ascii="方正黑体_GBK" w:eastAsia="方正黑体_GBK" w:hint="eastAsia"/>
          <w:color w:val="231F20"/>
          <w:sz w:val="22"/>
        </w:rPr>
        <w:t>缺陷责任期</w:t>
      </w:r>
    </w:p>
    <w:p>
      <w:pPr>
        <w:pStyle w:val="BodyText"/>
        <w:tabs>
          <w:tab w:pos="9078" w:val="left" w:leader="none"/>
        </w:tabs>
        <w:spacing w:before="122"/>
        <w:ind w:left="557"/>
      </w:pPr>
      <w:r>
        <w:rPr>
          <w:color w:val="231F20"/>
        </w:rPr>
        <w:t>缺陷责任期的期限</w:t>
      </w:r>
      <w:r>
        <w:rPr>
          <w:color w:val="231F20"/>
          <w:u w:val="single" w:color="231F20"/>
        </w:rPr>
        <w:t>：</w:t>
        <w:tab/>
      </w:r>
      <w:r>
        <w:rPr>
          <w:color w:val="231F20"/>
        </w:rPr>
        <w:t>。</w:t>
      </w:r>
    </w:p>
    <w:p>
      <w:pPr>
        <w:pStyle w:val="ListParagraph"/>
        <w:numPr>
          <w:ilvl w:val="1"/>
          <w:numId w:val="126"/>
        </w:numPr>
        <w:tabs>
          <w:tab w:pos="1046" w:val="left" w:leader="none"/>
        </w:tabs>
        <w:spacing w:line="240" w:lineRule="auto" w:before="103" w:after="0"/>
        <w:ind w:left="1045" w:right="0" w:hanging="488"/>
        <w:jc w:val="left"/>
        <w:rPr>
          <w:rFonts w:ascii="方正黑体_GBK" w:eastAsia="方正黑体_GBK" w:hint="eastAsia"/>
          <w:sz w:val="22"/>
        </w:rPr>
      </w:pPr>
      <w:r>
        <w:rPr>
          <w:rFonts w:ascii="方正黑体_GBK" w:eastAsia="方正黑体_GBK" w:hint="eastAsia"/>
          <w:color w:val="231F20"/>
          <w:sz w:val="22"/>
        </w:rPr>
        <w:t>缺陷调查</w:t>
      </w:r>
    </w:p>
    <w:p>
      <w:pPr>
        <w:pStyle w:val="BodyText"/>
        <w:spacing w:before="122"/>
        <w:ind w:left="557"/>
      </w:pPr>
      <w:r>
        <w:rPr>
          <w:color w:val="231F20"/>
        </w:rPr>
        <w:t>11.3.4 修复通知</w:t>
      </w:r>
    </w:p>
    <w:p>
      <w:pPr>
        <w:pStyle w:val="BodyText"/>
        <w:tabs>
          <w:tab w:pos="9078" w:val="left" w:leader="none"/>
        </w:tabs>
        <w:ind w:left="557"/>
      </w:pPr>
      <w:r>
        <w:rPr>
          <w:color w:val="231F20"/>
        </w:rPr>
        <w:t>承包人收到保修通知并到达工程现场的合理时间</w:t>
      </w:r>
      <w:r>
        <w:rPr>
          <w:color w:val="231F20"/>
          <w:u w:val="single" w:color="231F20"/>
        </w:rPr>
        <w:t>：</w:t>
        <w:tab/>
      </w:r>
      <w:r>
        <w:rPr>
          <w:color w:val="231F20"/>
        </w:rPr>
        <w:t>。</w:t>
      </w:r>
    </w:p>
    <w:p>
      <w:pPr>
        <w:pStyle w:val="ListParagraph"/>
        <w:numPr>
          <w:ilvl w:val="1"/>
          <w:numId w:val="127"/>
        </w:numPr>
        <w:tabs>
          <w:tab w:pos="1046" w:val="left" w:leader="none"/>
        </w:tabs>
        <w:spacing w:line="240" w:lineRule="auto" w:before="103" w:after="0"/>
        <w:ind w:left="1045" w:right="0" w:hanging="488"/>
        <w:jc w:val="left"/>
        <w:rPr>
          <w:rFonts w:ascii="方正黑体_GBK" w:eastAsia="方正黑体_GBK" w:hint="eastAsia"/>
          <w:sz w:val="22"/>
        </w:rPr>
      </w:pPr>
      <w:r>
        <w:rPr>
          <w:rFonts w:ascii="方正黑体_GBK" w:eastAsia="方正黑体_GBK" w:hint="eastAsia"/>
          <w:color w:val="231F20"/>
          <w:sz w:val="22"/>
        </w:rPr>
        <w:t>缺陷责任期终止证书</w:t>
      </w:r>
    </w:p>
    <w:p>
      <w:pPr>
        <w:pStyle w:val="BodyText"/>
        <w:tabs>
          <w:tab w:pos="3431" w:val="left" w:leader="none"/>
          <w:tab w:pos="4095" w:val="left" w:leader="none"/>
        </w:tabs>
        <w:spacing w:line="319" w:lineRule="auto" w:before="122"/>
        <w:ind w:right="215" w:firstLine="440"/>
      </w:pPr>
      <w:r>
        <w:rPr>
          <w:color w:val="231F20"/>
        </w:rPr>
        <w:t>承包人应于缺陷责任期届满后</w:t>
      </w:r>
      <w:r>
        <w:rPr>
          <w:color w:val="231F20"/>
          <w:u w:val="single" w:color="231F20"/>
        </w:rPr>
        <w:t> </w:t>
        <w:tab/>
      </w:r>
      <w:r>
        <w:rPr>
          <w:color w:val="231F20"/>
        </w:rPr>
        <w:t>天内向发包人发出缺陷责任期届满通知，发包人应在 收到缺陷责任期满通知后</w:t>
      </w:r>
      <w:r>
        <w:rPr>
          <w:color w:val="231F20"/>
          <w:u w:val="single" w:color="231F20"/>
        </w:rPr>
        <w:t> </w:t>
        <w:tab/>
      </w:r>
      <w:r>
        <w:rPr>
          <w:color w:val="231F20"/>
        </w:rPr>
        <w:t>天内核实承包人是否履行缺陷修复义务，承包人未能履行缺</w:t>
      </w:r>
    </w:p>
    <w:p>
      <w:pPr>
        <w:spacing w:after="0" w:line="319" w:lineRule="auto"/>
        <w:sectPr>
          <w:pgSz w:w="11910" w:h="16840"/>
          <w:pgMar w:header="0" w:footer="832" w:top="1580" w:bottom="1020" w:left="1300" w:right="1200"/>
        </w:sectPr>
      </w:pPr>
    </w:p>
    <w:p>
      <w:pPr>
        <w:pStyle w:val="BodyText"/>
        <w:tabs>
          <w:tab w:pos="997" w:val="left" w:leader="none"/>
        </w:tabs>
        <w:spacing w:line="319" w:lineRule="auto" w:before="24"/>
        <w:ind w:right="215"/>
      </w:pPr>
      <w:r>
        <w:rPr>
          <w:color w:val="231F20"/>
          <w:spacing w:val="5"/>
        </w:rPr>
        <w:t>陷修复义务</w:t>
      </w:r>
      <w:r>
        <w:rPr>
          <w:color w:val="231F20"/>
        </w:rPr>
        <w:t>的</w:t>
      </w:r>
      <w:r>
        <w:rPr>
          <w:color w:val="231F20"/>
          <w:spacing w:val="5"/>
        </w:rPr>
        <w:t>，发包人有权扣除相应金额的维修费</w:t>
      </w:r>
      <w:r>
        <w:rPr>
          <w:color w:val="231F20"/>
        </w:rPr>
        <w:t>用</w:t>
      </w:r>
      <w:r>
        <w:rPr>
          <w:color w:val="231F20"/>
          <w:spacing w:val="5"/>
        </w:rPr>
        <w:t>。发包人应在收到缺陷责任期届满通知</w:t>
      </w:r>
      <w:r>
        <w:rPr>
          <w:color w:val="231F20"/>
        </w:rPr>
        <w:t>后</w:t>
      </w:r>
      <w:r>
        <w:rPr>
          <w:color w:val="231F20"/>
          <w:u w:val="single" w:color="231F20"/>
        </w:rPr>
        <w:t> </w:t>
        <w:tab/>
      </w:r>
      <w:r>
        <w:rPr>
          <w:color w:val="231F20"/>
        </w:rPr>
        <w:t>天内，向承包人颁发缺陷责任期终止证书。</w:t>
      </w:r>
    </w:p>
    <w:p>
      <w:pPr>
        <w:pStyle w:val="ListParagraph"/>
        <w:numPr>
          <w:ilvl w:val="1"/>
          <w:numId w:val="127"/>
        </w:numPr>
        <w:tabs>
          <w:tab w:pos="1046" w:val="left" w:leader="none"/>
        </w:tabs>
        <w:spacing w:line="240" w:lineRule="auto" w:before="0" w:after="0"/>
        <w:ind w:left="1045" w:right="0" w:hanging="488"/>
        <w:jc w:val="left"/>
        <w:rPr>
          <w:rFonts w:ascii="方正黑体_GBK" w:eastAsia="方正黑体_GBK" w:hint="eastAsia"/>
          <w:sz w:val="22"/>
        </w:rPr>
      </w:pPr>
      <w:r>
        <w:rPr>
          <w:rFonts w:ascii="方正黑体_GBK" w:eastAsia="方正黑体_GBK" w:hint="eastAsia"/>
          <w:color w:val="231F20"/>
          <w:sz w:val="22"/>
        </w:rPr>
        <w:t>保修责任</w:t>
      </w:r>
    </w:p>
    <w:p>
      <w:pPr>
        <w:pStyle w:val="BodyText"/>
        <w:tabs>
          <w:tab w:pos="9078" w:val="left" w:leader="none"/>
        </w:tabs>
        <w:spacing w:before="102"/>
        <w:ind w:left="557"/>
      </w:pPr>
      <w:r>
        <w:rPr>
          <w:color w:val="231F20"/>
        </w:rPr>
        <w:t>工程质量保修范围、期限和责任为</w:t>
      </w:r>
      <w:r>
        <w:rPr>
          <w:color w:val="231F20"/>
          <w:u w:val="single" w:color="231F20"/>
        </w:rPr>
        <w:t>：</w:t>
        <w:tab/>
      </w:r>
      <w:r>
        <w:rPr>
          <w:color w:val="231F20"/>
        </w:rPr>
        <w:t>。</w:t>
      </w:r>
    </w:p>
    <w:p>
      <w:pPr>
        <w:pStyle w:val="BodyText"/>
        <w:tabs>
          <w:tab w:pos="1131" w:val="left" w:leader="none"/>
        </w:tabs>
        <w:spacing w:before="82"/>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12</w:t>
      </w:r>
      <w:r>
        <w:rPr>
          <w:rFonts w:ascii="方正黑体_GBK" w:eastAsia="方正黑体_GBK" w:hint="eastAsia"/>
          <w:color w:val="231F20"/>
          <w:spacing w:val="-7"/>
        </w:rPr>
        <w:t> </w:t>
      </w:r>
      <w:r>
        <w:rPr>
          <w:rFonts w:ascii="方正黑体_GBK" w:eastAsia="方正黑体_GBK" w:hint="eastAsia"/>
          <w:color w:val="231F20"/>
        </w:rPr>
        <w:t>条</w:t>
        <w:tab/>
        <w:t>竣工后试验</w:t>
      </w:r>
    </w:p>
    <w:p>
      <w:pPr>
        <w:pStyle w:val="BodyText"/>
        <w:tabs>
          <w:tab w:pos="9078" w:val="left" w:leader="none"/>
        </w:tabs>
        <w:spacing w:before="101"/>
        <w:ind w:left="557"/>
      </w:pPr>
      <w:r>
        <w:rPr>
          <w:color w:val="231F20"/>
        </w:rPr>
        <w:t>本合同工程是否包含竣工后试验</w:t>
      </w:r>
      <w:r>
        <w:rPr>
          <w:color w:val="231F20"/>
          <w:u w:val="single" w:color="231F20"/>
        </w:rPr>
        <w:t>：</w:t>
        <w:tab/>
      </w:r>
      <w:r>
        <w:rPr>
          <w:color w:val="231F20"/>
        </w:rPr>
        <w:t>。</w:t>
      </w:r>
    </w:p>
    <w:p>
      <w:pPr>
        <w:pStyle w:val="BodyText"/>
        <w:spacing w:before="82"/>
        <w:ind w:left="557"/>
        <w:rPr>
          <w:rFonts w:ascii="方正黑体_GBK" w:eastAsia="方正黑体_GBK" w:hint="eastAsia"/>
        </w:rPr>
      </w:pPr>
      <w:r>
        <w:rPr>
          <w:rFonts w:ascii="方正黑体_GBK" w:eastAsia="方正黑体_GBK" w:hint="eastAsia"/>
          <w:color w:val="231F20"/>
        </w:rPr>
        <w:t>12.1 竣工后试验的程序</w:t>
      </w:r>
    </w:p>
    <w:p>
      <w:pPr>
        <w:pStyle w:val="BodyText"/>
        <w:tabs>
          <w:tab w:pos="1131" w:val="left" w:leader="none"/>
          <w:tab w:pos="9078" w:val="left" w:leader="none"/>
        </w:tabs>
        <w:spacing w:line="302" w:lineRule="auto" w:before="101"/>
        <w:ind w:right="104" w:firstLine="440"/>
        <w:rPr>
          <w:rFonts w:ascii="方正黑体_GBK" w:eastAsia="方正黑体_GBK" w:hint="eastAsia"/>
        </w:rPr>
      </w:pPr>
      <w:r>
        <w:rPr>
          <w:color w:val="231F20"/>
        </w:rPr>
        <w:t>12.1.2</w:t>
      </w:r>
      <w:r>
        <w:rPr>
          <w:color w:val="231F20"/>
          <w:spacing w:val="42"/>
        </w:rPr>
        <w:t> </w:t>
      </w:r>
      <w:r>
        <w:rPr>
          <w:color w:val="231F20"/>
          <w:spacing w:val="5"/>
        </w:rPr>
        <w:t>竣工后试验全部电</w:t>
      </w:r>
      <w:r>
        <w:rPr>
          <w:color w:val="231F20"/>
        </w:rPr>
        <w:t>力</w:t>
      </w:r>
      <w:r>
        <w:rPr>
          <w:color w:val="231F20"/>
          <w:spacing w:val="5"/>
        </w:rPr>
        <w:t>、</w:t>
      </w:r>
      <w:r>
        <w:rPr>
          <w:color w:val="231F20"/>
        </w:rPr>
        <w:t>水</w:t>
      </w:r>
      <w:r>
        <w:rPr>
          <w:color w:val="231F20"/>
          <w:spacing w:val="5"/>
        </w:rPr>
        <w:t>、污水处</w:t>
      </w:r>
      <w:r>
        <w:rPr>
          <w:color w:val="231F20"/>
        </w:rPr>
        <w:t>理</w:t>
      </w:r>
      <w:r>
        <w:rPr>
          <w:color w:val="231F20"/>
          <w:spacing w:val="5"/>
        </w:rPr>
        <w:t>、燃</w:t>
      </w:r>
      <w:r>
        <w:rPr>
          <w:color w:val="231F20"/>
        </w:rPr>
        <w:t>料</w:t>
      </w:r>
      <w:r>
        <w:rPr>
          <w:color w:val="231F20"/>
          <w:spacing w:val="5"/>
        </w:rPr>
        <w:t>、消耗品和材</w:t>
      </w:r>
      <w:r>
        <w:rPr>
          <w:color w:val="231F20"/>
        </w:rPr>
        <w:t>料</w:t>
      </w:r>
      <w:r>
        <w:rPr>
          <w:color w:val="231F20"/>
          <w:spacing w:val="5"/>
        </w:rPr>
        <w:t>，以及全部其他仪</w:t>
      </w:r>
      <w:r>
        <w:rPr>
          <w:color w:val="231F20"/>
        </w:rPr>
        <w:t>器、协助、文件或其他信息、设备、工具、劳力，启动工程设备，并组织安排有适当资质、经验和能力的工作人员等必要条件的提供方</w:t>
      </w:r>
      <w:r>
        <w:rPr>
          <w:color w:val="231F20"/>
          <w:u w:val="single" w:color="231F20"/>
        </w:rPr>
        <w:t>：</w:t>
        <w:tab/>
      </w:r>
      <w:r>
        <w:rPr>
          <w:color w:val="231F20"/>
        </w:rPr>
        <w:t>。</w:t>
      </w: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13</w:t>
      </w:r>
      <w:r>
        <w:rPr>
          <w:rFonts w:ascii="方正黑体_GBK" w:eastAsia="方正黑体_GBK" w:hint="eastAsia"/>
          <w:color w:val="231F20"/>
          <w:spacing w:val="-7"/>
        </w:rPr>
        <w:t> </w:t>
      </w:r>
      <w:r>
        <w:rPr>
          <w:rFonts w:ascii="方正黑体_GBK" w:eastAsia="方正黑体_GBK" w:hint="eastAsia"/>
          <w:color w:val="231F20"/>
        </w:rPr>
        <w:t>条</w:t>
        <w:tab/>
        <w:t>变更与调整</w:t>
      </w:r>
    </w:p>
    <w:p>
      <w:pPr>
        <w:pStyle w:val="ListParagraph"/>
        <w:numPr>
          <w:ilvl w:val="1"/>
          <w:numId w:val="128"/>
        </w:numPr>
        <w:tabs>
          <w:tab w:pos="1046" w:val="left" w:leader="none"/>
        </w:tabs>
        <w:spacing w:line="240" w:lineRule="auto" w:before="31" w:after="0"/>
        <w:ind w:left="1045" w:right="0" w:hanging="488"/>
        <w:jc w:val="left"/>
        <w:rPr>
          <w:rFonts w:ascii="方正黑体_GBK" w:eastAsia="方正黑体_GBK" w:hint="eastAsia"/>
          <w:sz w:val="22"/>
        </w:rPr>
      </w:pPr>
      <w:r>
        <w:rPr>
          <w:rFonts w:ascii="方正黑体_GBK" w:eastAsia="方正黑体_GBK" w:hint="eastAsia"/>
          <w:color w:val="231F20"/>
          <w:sz w:val="22"/>
        </w:rPr>
        <w:t>承包人的合理化建议</w:t>
      </w:r>
    </w:p>
    <w:p>
      <w:pPr>
        <w:pStyle w:val="ListParagraph"/>
        <w:numPr>
          <w:ilvl w:val="2"/>
          <w:numId w:val="128"/>
        </w:numPr>
        <w:tabs>
          <w:tab w:pos="1181" w:val="left" w:leader="none"/>
          <w:tab w:pos="1217" w:val="left" w:leader="none"/>
          <w:tab w:pos="3197" w:val="left" w:leader="none"/>
          <w:tab w:pos="6359" w:val="left" w:leader="none"/>
        </w:tabs>
        <w:spacing w:line="304" w:lineRule="auto" w:before="102" w:after="0"/>
        <w:ind w:left="117" w:right="105" w:firstLine="440"/>
        <w:jc w:val="left"/>
        <w:rPr>
          <w:sz w:val="22"/>
        </w:rPr>
      </w:pPr>
      <w:r>
        <w:rPr>
          <w:color w:val="231F20"/>
          <w:spacing w:val="5"/>
          <w:sz w:val="22"/>
        </w:rPr>
        <w:t>工程师应在收到承包人提交的合理化建议</w:t>
      </w:r>
      <w:r>
        <w:rPr>
          <w:color w:val="231F20"/>
          <w:sz w:val="22"/>
        </w:rPr>
        <w:t>后</w:t>
      </w:r>
      <w:r>
        <w:rPr>
          <w:color w:val="231F20"/>
          <w:sz w:val="22"/>
          <w:u w:val="single" w:color="231F20"/>
        </w:rPr>
        <w:t> </w:t>
        <w:tab/>
      </w:r>
      <w:r>
        <w:rPr>
          <w:color w:val="231F20"/>
          <w:spacing w:val="5"/>
          <w:sz w:val="22"/>
        </w:rPr>
        <w:t>日内审查完毕并报送发包</w:t>
      </w:r>
      <w:r>
        <w:rPr>
          <w:color w:val="231F20"/>
          <w:sz w:val="22"/>
        </w:rPr>
        <w:t>人， </w:t>
      </w:r>
      <w:r>
        <w:rPr>
          <w:color w:val="231F20"/>
          <w:spacing w:val="5"/>
          <w:sz w:val="22"/>
        </w:rPr>
        <w:t>发现其中存在技术上的缺</w:t>
      </w:r>
      <w:r>
        <w:rPr>
          <w:color w:val="231F20"/>
          <w:sz w:val="22"/>
        </w:rPr>
        <w:t>陷</w:t>
      </w:r>
      <w:r>
        <w:rPr>
          <w:color w:val="231F20"/>
          <w:spacing w:val="5"/>
          <w:sz w:val="22"/>
        </w:rPr>
        <w:t>，应通知承包人修</w:t>
      </w:r>
      <w:r>
        <w:rPr>
          <w:color w:val="231F20"/>
          <w:sz w:val="22"/>
        </w:rPr>
        <w:t>改</w:t>
      </w:r>
      <w:r>
        <w:rPr>
          <w:color w:val="231F20"/>
          <w:spacing w:val="5"/>
          <w:sz w:val="22"/>
        </w:rPr>
        <w:t>。发包人应在收到工程师报送的合理化建议</w:t>
      </w:r>
      <w:r>
        <w:rPr>
          <w:color w:val="231F20"/>
          <w:sz w:val="22"/>
        </w:rPr>
        <w:t>后</w:t>
      </w:r>
      <w:r>
        <w:rPr>
          <w:color w:val="231F20"/>
          <w:sz w:val="22"/>
          <w:u w:val="single" w:color="231F20"/>
        </w:rPr>
        <w:t> </w:t>
        <w:tab/>
      </w:r>
      <w:r>
        <w:rPr>
          <w:color w:val="231F20"/>
          <w:sz w:val="22"/>
        </w:rPr>
        <w:t>日内审批完毕。合理化建议经发包人批准的，工程师应及时发出变更指示，由此引 起的合同价格调整按照</w:t>
      </w:r>
      <w:r>
        <w:rPr>
          <w:color w:val="231F20"/>
          <w:sz w:val="22"/>
          <w:u w:val="single" w:color="231F20"/>
        </w:rPr>
        <w:t> </w:t>
        <w:tab/>
      </w:r>
      <w:r>
        <w:rPr>
          <w:color w:val="231F20"/>
          <w:sz w:val="22"/>
        </w:rPr>
        <w:t>执行。发包人不同意变更的，工程师应书面通知承包人</w:t>
      </w:r>
    </w:p>
    <w:p>
      <w:pPr>
        <w:pStyle w:val="ListParagraph"/>
        <w:numPr>
          <w:ilvl w:val="2"/>
          <w:numId w:val="128"/>
        </w:numPr>
        <w:tabs>
          <w:tab w:pos="1157" w:val="left" w:leader="none"/>
          <w:tab w:pos="9078" w:val="left" w:leader="none"/>
        </w:tabs>
        <w:spacing w:line="240" w:lineRule="auto" w:before="21" w:after="0"/>
        <w:ind w:left="1156" w:right="0" w:hanging="599"/>
        <w:jc w:val="left"/>
        <w:rPr>
          <w:sz w:val="22"/>
        </w:rPr>
      </w:pPr>
      <w:r>
        <w:rPr>
          <w:color w:val="231F20"/>
          <w:sz w:val="22"/>
        </w:rPr>
        <w:t>承包人提出的合理化变更建议的利益分享约定</w:t>
      </w:r>
      <w:r>
        <w:rPr>
          <w:color w:val="231F20"/>
          <w:sz w:val="22"/>
          <w:u w:val="single" w:color="231F20"/>
        </w:rPr>
        <w:t>：</w:t>
        <w:tab/>
      </w:r>
      <w:r>
        <w:rPr>
          <w:color w:val="231F20"/>
          <w:sz w:val="22"/>
        </w:rPr>
        <w:t>。</w:t>
      </w:r>
    </w:p>
    <w:p>
      <w:pPr>
        <w:pStyle w:val="BodyText"/>
        <w:spacing w:before="83"/>
        <w:ind w:left="557"/>
        <w:rPr>
          <w:rFonts w:ascii="方正黑体_GBK" w:eastAsia="方正黑体_GBK" w:hint="eastAsia"/>
        </w:rPr>
      </w:pPr>
      <w:r>
        <w:rPr>
          <w:rFonts w:ascii="方正黑体_GBK" w:eastAsia="方正黑体_GBK" w:hint="eastAsia"/>
          <w:color w:val="231F20"/>
        </w:rPr>
        <w:t>13.3 变更程序</w:t>
      </w:r>
    </w:p>
    <w:p>
      <w:pPr>
        <w:pStyle w:val="BodyText"/>
        <w:spacing w:before="102"/>
        <w:ind w:left="557"/>
      </w:pPr>
      <w:r>
        <w:rPr>
          <w:color w:val="231F20"/>
        </w:rPr>
        <w:t>13.3.3 变更估价</w:t>
      </w:r>
    </w:p>
    <w:p>
      <w:pPr>
        <w:pStyle w:val="BodyText"/>
        <w:spacing w:before="89"/>
        <w:ind w:left="557"/>
      </w:pPr>
      <w:r>
        <w:rPr>
          <w:color w:val="231F20"/>
        </w:rPr>
        <w:t>13.3.3.1 变更估价原则</w:t>
      </w:r>
    </w:p>
    <w:p>
      <w:pPr>
        <w:pStyle w:val="BodyText"/>
        <w:tabs>
          <w:tab w:pos="9078" w:val="left" w:leader="none"/>
        </w:tabs>
        <w:spacing w:before="89"/>
        <w:ind w:left="557"/>
      </w:pPr>
      <w:r>
        <w:rPr>
          <w:color w:val="231F20"/>
        </w:rPr>
        <w:t>关于变更估价原则的约定</w:t>
      </w:r>
      <w:r>
        <w:rPr>
          <w:color w:val="231F20"/>
          <w:u w:val="single" w:color="231F20"/>
        </w:rPr>
        <w:t>：</w:t>
        <w:tab/>
      </w:r>
      <w:r>
        <w:rPr>
          <w:color w:val="231F20"/>
        </w:rPr>
        <w:t>。</w:t>
      </w:r>
    </w:p>
    <w:p>
      <w:pPr>
        <w:pStyle w:val="ListParagraph"/>
        <w:numPr>
          <w:ilvl w:val="1"/>
          <w:numId w:val="129"/>
        </w:numPr>
        <w:tabs>
          <w:tab w:pos="1046" w:val="left" w:leader="none"/>
        </w:tabs>
        <w:spacing w:line="240" w:lineRule="auto" w:before="83" w:after="0"/>
        <w:ind w:left="1045" w:right="0" w:hanging="488"/>
        <w:jc w:val="left"/>
        <w:rPr>
          <w:rFonts w:ascii="方正黑体_GBK" w:eastAsia="方正黑体_GBK" w:hint="eastAsia"/>
          <w:sz w:val="22"/>
        </w:rPr>
      </w:pPr>
      <w:r>
        <w:rPr>
          <w:rFonts w:ascii="方正黑体_GBK" w:eastAsia="方正黑体_GBK" w:hint="eastAsia"/>
          <w:color w:val="231F20"/>
          <w:sz w:val="22"/>
        </w:rPr>
        <w:t>暂估价</w:t>
      </w:r>
    </w:p>
    <w:p>
      <w:pPr>
        <w:pStyle w:val="ListParagraph"/>
        <w:numPr>
          <w:ilvl w:val="2"/>
          <w:numId w:val="129"/>
        </w:numPr>
        <w:tabs>
          <w:tab w:pos="1157" w:val="left" w:leader="none"/>
        </w:tabs>
        <w:spacing w:line="240" w:lineRule="auto" w:before="102" w:after="0"/>
        <w:ind w:left="1156" w:right="0" w:hanging="599"/>
        <w:jc w:val="left"/>
        <w:rPr>
          <w:sz w:val="22"/>
        </w:rPr>
      </w:pPr>
      <w:r>
        <w:rPr>
          <w:color w:val="231F20"/>
          <w:sz w:val="22"/>
        </w:rPr>
        <w:t>依法必须招标的暂估价项目</w:t>
      </w:r>
    </w:p>
    <w:p>
      <w:pPr>
        <w:pStyle w:val="BodyText"/>
        <w:tabs>
          <w:tab w:pos="9078" w:val="left" w:leader="none"/>
        </w:tabs>
        <w:spacing w:line="304" w:lineRule="auto" w:before="89"/>
        <w:ind w:left="557" w:right="105"/>
        <w:jc w:val="both"/>
      </w:pPr>
      <w:r>
        <w:rPr>
          <w:color w:val="231F20"/>
        </w:rPr>
        <w:t>承包人可以参与投标的暂估价项目范围</w:t>
      </w:r>
      <w:r>
        <w:rPr>
          <w:color w:val="231F20"/>
          <w:u w:val="single" w:color="231F20"/>
        </w:rPr>
        <w:t>：</w:t>
        <w:tab/>
      </w:r>
      <w:r>
        <w:rPr>
          <w:color w:val="231F20"/>
        </w:rPr>
        <w:t>。承包人不得参与投标的暂估价项目范围</w:t>
      </w:r>
      <w:r>
        <w:rPr>
          <w:color w:val="231F20"/>
          <w:u w:val="single" w:color="231F20"/>
        </w:rPr>
        <w:t>：</w:t>
        <w:tab/>
      </w:r>
      <w:r>
        <w:rPr>
          <w:color w:val="231F20"/>
        </w:rPr>
        <w:t>。招投标程序及其他约定</w:t>
      </w:r>
      <w:r>
        <w:rPr>
          <w:color w:val="231F20"/>
          <w:u w:val="single" w:color="231F20"/>
        </w:rPr>
        <w:t>：</w:t>
        <w:tab/>
      </w:r>
      <w:r>
        <w:rPr>
          <w:color w:val="231F20"/>
        </w:rPr>
        <w:t>。</w:t>
      </w:r>
    </w:p>
    <w:p>
      <w:pPr>
        <w:pStyle w:val="ListParagraph"/>
        <w:numPr>
          <w:ilvl w:val="2"/>
          <w:numId w:val="129"/>
        </w:numPr>
        <w:tabs>
          <w:tab w:pos="1157" w:val="left" w:leader="none"/>
        </w:tabs>
        <w:spacing w:line="240" w:lineRule="auto" w:before="21" w:after="0"/>
        <w:ind w:left="1156" w:right="0" w:hanging="599"/>
        <w:jc w:val="left"/>
        <w:rPr>
          <w:sz w:val="22"/>
        </w:rPr>
      </w:pPr>
      <w:r>
        <w:rPr>
          <w:color w:val="231F20"/>
          <w:sz w:val="22"/>
        </w:rPr>
        <w:t>不属于依法必须招标的暂估价项目</w:t>
      </w:r>
    </w:p>
    <w:p>
      <w:pPr>
        <w:pStyle w:val="BodyText"/>
        <w:tabs>
          <w:tab w:pos="9078" w:val="left" w:leader="none"/>
        </w:tabs>
        <w:spacing w:before="89"/>
        <w:ind w:left="557"/>
      </w:pPr>
      <w:r>
        <w:rPr>
          <w:color w:val="231F20"/>
        </w:rPr>
        <w:t>不属于依法必须招标的暂估价项目的协商及估价的约定</w:t>
      </w:r>
      <w:r>
        <w:rPr>
          <w:color w:val="231F20"/>
          <w:u w:val="single" w:color="231F20"/>
        </w:rPr>
        <w:t>：</w:t>
        <w:tab/>
      </w:r>
      <w:r>
        <w:rPr>
          <w:color w:val="231F20"/>
        </w:rPr>
        <w:t>。</w:t>
      </w:r>
    </w:p>
    <w:p>
      <w:pPr>
        <w:pStyle w:val="BodyText"/>
        <w:spacing w:before="82"/>
        <w:ind w:left="557"/>
        <w:rPr>
          <w:rFonts w:ascii="方正黑体_GBK" w:eastAsia="方正黑体_GBK" w:hint="eastAsia"/>
        </w:rPr>
      </w:pPr>
      <w:r>
        <w:rPr>
          <w:rFonts w:ascii="方正黑体_GBK" w:eastAsia="方正黑体_GBK" w:hint="eastAsia"/>
          <w:color w:val="231F20"/>
        </w:rPr>
        <w:t>13.5 暂列金额</w:t>
      </w:r>
    </w:p>
    <w:p>
      <w:pPr>
        <w:pStyle w:val="BodyText"/>
        <w:tabs>
          <w:tab w:pos="9078" w:val="left" w:leader="none"/>
        </w:tabs>
        <w:spacing w:before="101"/>
        <w:ind w:left="557"/>
      </w:pPr>
      <w:r>
        <w:rPr>
          <w:color w:val="231F20"/>
        </w:rPr>
        <w:t>其他关于暂列金额使用的约定</w:t>
      </w:r>
      <w:r>
        <w:rPr>
          <w:color w:val="231F20"/>
          <w:u w:val="single" w:color="231F20"/>
        </w:rPr>
        <w:t>：</w:t>
        <w:tab/>
      </w:r>
      <w:r>
        <w:rPr>
          <w:color w:val="231F20"/>
        </w:rPr>
        <w:t>。</w:t>
      </w:r>
    </w:p>
    <w:p>
      <w:pPr>
        <w:pStyle w:val="ListParagraph"/>
        <w:numPr>
          <w:ilvl w:val="1"/>
          <w:numId w:val="130"/>
        </w:numPr>
        <w:tabs>
          <w:tab w:pos="1046" w:val="left" w:leader="none"/>
        </w:tabs>
        <w:spacing w:line="240" w:lineRule="auto" w:before="102" w:after="0"/>
        <w:ind w:left="1045" w:right="0" w:hanging="488"/>
        <w:jc w:val="left"/>
        <w:rPr>
          <w:rFonts w:ascii="方正黑体_GBK" w:eastAsia="方正黑体_GBK" w:hint="eastAsia"/>
          <w:sz w:val="22"/>
        </w:rPr>
      </w:pPr>
      <w:r>
        <w:rPr>
          <w:rFonts w:ascii="方正黑体_GBK" w:eastAsia="方正黑体_GBK" w:hint="eastAsia"/>
          <w:color w:val="231F20"/>
          <w:sz w:val="22"/>
        </w:rPr>
        <w:t>市场价格波动引起的调整</w:t>
      </w:r>
    </w:p>
    <w:p>
      <w:pPr>
        <w:pStyle w:val="ListParagraph"/>
        <w:numPr>
          <w:ilvl w:val="2"/>
          <w:numId w:val="130"/>
        </w:numPr>
        <w:tabs>
          <w:tab w:pos="1157" w:val="left" w:leader="none"/>
          <w:tab w:pos="9078" w:val="left" w:leader="none"/>
        </w:tabs>
        <w:spacing w:line="240" w:lineRule="auto" w:before="121" w:after="0"/>
        <w:ind w:left="1156" w:right="0" w:hanging="599"/>
        <w:jc w:val="left"/>
        <w:rPr>
          <w:sz w:val="22"/>
        </w:rPr>
      </w:pPr>
      <w:r>
        <w:rPr>
          <w:color w:val="231F20"/>
          <w:sz w:val="22"/>
        </w:rPr>
        <w:t>关于是否采用《价格指数权重表》的约定</w:t>
      </w:r>
      <w:r>
        <w:rPr>
          <w:color w:val="231F20"/>
          <w:sz w:val="22"/>
          <w:u w:val="single" w:color="231F20"/>
        </w:rPr>
        <w:t>：</w:t>
        <w:tab/>
      </w:r>
      <w:r>
        <w:rPr>
          <w:color w:val="231F20"/>
          <w:sz w:val="22"/>
        </w:rPr>
        <w:t>。</w:t>
      </w:r>
    </w:p>
    <w:p>
      <w:pPr>
        <w:spacing w:after="0" w:line="240" w:lineRule="auto"/>
        <w:jc w:val="left"/>
        <w:rPr>
          <w:sz w:val="22"/>
        </w:rPr>
        <w:sectPr>
          <w:pgSz w:w="11910" w:h="16840"/>
          <w:pgMar w:header="0" w:footer="832" w:top="1580" w:bottom="1020" w:left="1300" w:right="1200"/>
        </w:sectPr>
      </w:pPr>
    </w:p>
    <w:p>
      <w:pPr>
        <w:pStyle w:val="ListParagraph"/>
        <w:numPr>
          <w:ilvl w:val="2"/>
          <w:numId w:val="130"/>
        </w:numPr>
        <w:tabs>
          <w:tab w:pos="1157" w:val="left" w:leader="none"/>
          <w:tab w:pos="9078" w:val="left" w:leader="none"/>
        </w:tabs>
        <w:spacing w:line="240" w:lineRule="auto" w:before="24" w:after="0"/>
        <w:ind w:left="1156" w:right="0" w:hanging="599"/>
        <w:jc w:val="both"/>
        <w:rPr>
          <w:sz w:val="22"/>
        </w:rPr>
      </w:pPr>
      <w:r>
        <w:rPr>
          <w:color w:val="231F20"/>
          <w:sz w:val="22"/>
        </w:rPr>
        <w:t>关于采用其他方式调整合同价款的约定</w:t>
      </w:r>
      <w:r>
        <w:rPr>
          <w:color w:val="231F20"/>
          <w:sz w:val="22"/>
          <w:u w:val="single" w:color="231F20"/>
        </w:rPr>
        <w:t>：</w:t>
        <w:tab/>
      </w:r>
      <w:r>
        <w:rPr>
          <w:color w:val="231F20"/>
          <w:sz w:val="22"/>
        </w:rPr>
        <w:t>。</w:t>
      </w:r>
    </w:p>
    <w:p>
      <w:pPr>
        <w:pStyle w:val="BodyText"/>
        <w:tabs>
          <w:tab w:pos="1131" w:val="left" w:leader="none"/>
        </w:tabs>
        <w:spacing w:before="103"/>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14</w:t>
      </w:r>
      <w:r>
        <w:rPr>
          <w:rFonts w:ascii="方正黑体_GBK" w:eastAsia="方正黑体_GBK" w:hint="eastAsia"/>
          <w:color w:val="231F20"/>
          <w:spacing w:val="-7"/>
        </w:rPr>
        <w:t> </w:t>
      </w:r>
      <w:r>
        <w:rPr>
          <w:rFonts w:ascii="方正黑体_GBK" w:eastAsia="方正黑体_GBK" w:hint="eastAsia"/>
          <w:color w:val="231F20"/>
        </w:rPr>
        <w:t>条</w:t>
        <w:tab/>
        <w:t>合同价格与支付</w:t>
      </w:r>
    </w:p>
    <w:p>
      <w:pPr>
        <w:pStyle w:val="ListParagraph"/>
        <w:numPr>
          <w:ilvl w:val="1"/>
          <w:numId w:val="131"/>
        </w:numPr>
        <w:tabs>
          <w:tab w:pos="1046" w:val="left" w:leader="none"/>
        </w:tabs>
        <w:spacing w:line="240" w:lineRule="auto" w:before="116" w:after="0"/>
        <w:ind w:left="1045" w:right="0" w:hanging="488"/>
        <w:jc w:val="both"/>
        <w:rPr>
          <w:rFonts w:ascii="方正黑体_GBK" w:eastAsia="方正黑体_GBK" w:hint="eastAsia"/>
          <w:sz w:val="22"/>
        </w:rPr>
      </w:pPr>
      <w:r>
        <w:rPr>
          <w:rFonts w:ascii="方正黑体_GBK" w:eastAsia="方正黑体_GBK" w:hint="eastAsia"/>
          <w:color w:val="231F20"/>
          <w:sz w:val="22"/>
        </w:rPr>
        <w:t>合同价格形式</w:t>
      </w:r>
    </w:p>
    <w:p>
      <w:pPr>
        <w:pStyle w:val="ListParagraph"/>
        <w:numPr>
          <w:ilvl w:val="2"/>
          <w:numId w:val="131"/>
        </w:numPr>
        <w:tabs>
          <w:tab w:pos="1157" w:val="left" w:leader="none"/>
          <w:tab w:pos="9078" w:val="left" w:leader="none"/>
        </w:tabs>
        <w:spacing w:line="240" w:lineRule="auto" w:before="122" w:after="0"/>
        <w:ind w:left="1156" w:right="0" w:hanging="599"/>
        <w:jc w:val="both"/>
        <w:rPr>
          <w:sz w:val="22"/>
        </w:rPr>
      </w:pPr>
      <w:r>
        <w:rPr>
          <w:color w:val="231F20"/>
          <w:sz w:val="22"/>
        </w:rPr>
        <w:t>关于合同价格形式的约定</w:t>
      </w:r>
      <w:r>
        <w:rPr>
          <w:color w:val="231F20"/>
          <w:sz w:val="22"/>
          <w:u w:val="single" w:color="231F20"/>
        </w:rPr>
        <w:t>：</w:t>
        <w:tab/>
      </w:r>
      <w:r>
        <w:rPr>
          <w:color w:val="231F20"/>
          <w:sz w:val="22"/>
        </w:rPr>
        <w:t>。</w:t>
      </w:r>
    </w:p>
    <w:p>
      <w:pPr>
        <w:pStyle w:val="ListParagraph"/>
        <w:numPr>
          <w:ilvl w:val="2"/>
          <w:numId w:val="131"/>
        </w:numPr>
        <w:tabs>
          <w:tab w:pos="1157" w:val="left" w:leader="none"/>
          <w:tab w:pos="9078" w:val="left" w:leader="none"/>
        </w:tabs>
        <w:spacing w:line="240" w:lineRule="auto" w:before="109" w:after="0"/>
        <w:ind w:left="1156" w:right="0" w:hanging="599"/>
        <w:jc w:val="both"/>
        <w:rPr>
          <w:sz w:val="22"/>
        </w:rPr>
      </w:pPr>
      <w:r>
        <w:rPr>
          <w:color w:val="231F20"/>
          <w:sz w:val="22"/>
        </w:rPr>
        <w:t>关于合同价格调整的约定</w:t>
      </w:r>
      <w:r>
        <w:rPr>
          <w:color w:val="231F20"/>
          <w:sz w:val="22"/>
          <w:u w:val="single" w:color="231F20"/>
        </w:rPr>
        <w:t>：</w:t>
        <w:tab/>
      </w:r>
      <w:r>
        <w:rPr>
          <w:color w:val="231F20"/>
          <w:sz w:val="22"/>
        </w:rPr>
        <w:t>。</w:t>
      </w:r>
    </w:p>
    <w:p>
      <w:pPr>
        <w:pStyle w:val="ListParagraph"/>
        <w:numPr>
          <w:ilvl w:val="2"/>
          <w:numId w:val="131"/>
        </w:numPr>
        <w:tabs>
          <w:tab w:pos="1157" w:val="left" w:leader="none"/>
          <w:tab w:pos="9188" w:val="left" w:leader="none"/>
        </w:tabs>
        <w:spacing w:line="240" w:lineRule="auto" w:before="109" w:after="0"/>
        <w:ind w:left="1156" w:right="0" w:hanging="599"/>
        <w:jc w:val="both"/>
        <w:rPr>
          <w:sz w:val="22"/>
        </w:rPr>
      </w:pPr>
      <w:r>
        <w:rPr>
          <w:color w:val="231F20"/>
          <w:sz w:val="22"/>
        </w:rPr>
        <w:t>按实际完成的工程量支付工程价款的计量方法、估价方法</w:t>
      </w:r>
      <w:r>
        <w:rPr>
          <w:color w:val="231F20"/>
          <w:sz w:val="22"/>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1"/>
          <w:numId w:val="132"/>
        </w:numPr>
        <w:tabs>
          <w:tab w:pos="1046" w:val="left" w:leader="none"/>
        </w:tabs>
        <w:spacing w:line="240" w:lineRule="auto" w:before="103" w:after="0"/>
        <w:ind w:left="1045" w:right="0" w:hanging="488"/>
        <w:jc w:val="both"/>
        <w:rPr>
          <w:rFonts w:ascii="方正黑体_GBK" w:eastAsia="方正黑体_GBK" w:hint="eastAsia"/>
          <w:sz w:val="22"/>
        </w:rPr>
      </w:pPr>
      <w:r>
        <w:rPr>
          <w:rFonts w:ascii="方正黑体_GBK" w:eastAsia="方正黑体_GBK" w:hint="eastAsia"/>
          <w:color w:val="231F20"/>
          <w:sz w:val="22"/>
        </w:rPr>
        <w:t>预付款</w:t>
      </w:r>
    </w:p>
    <w:p>
      <w:pPr>
        <w:pStyle w:val="ListParagraph"/>
        <w:numPr>
          <w:ilvl w:val="2"/>
          <w:numId w:val="132"/>
        </w:numPr>
        <w:tabs>
          <w:tab w:pos="1157" w:val="left" w:leader="none"/>
        </w:tabs>
        <w:spacing w:line="240" w:lineRule="auto" w:before="122" w:after="0"/>
        <w:ind w:left="1156" w:right="0" w:hanging="599"/>
        <w:jc w:val="both"/>
        <w:rPr>
          <w:sz w:val="22"/>
        </w:rPr>
      </w:pPr>
      <w:r>
        <w:rPr>
          <w:color w:val="231F20"/>
          <w:sz w:val="22"/>
        </w:rPr>
        <w:t>预付款支付</w:t>
      </w:r>
    </w:p>
    <w:p>
      <w:pPr>
        <w:pStyle w:val="BodyText"/>
        <w:tabs>
          <w:tab w:pos="9078" w:val="left" w:leader="none"/>
        </w:tabs>
        <w:spacing w:line="319" w:lineRule="auto"/>
        <w:ind w:left="557" w:right="105"/>
        <w:jc w:val="both"/>
      </w:pPr>
      <w:r>
        <w:rPr>
          <w:color w:val="231F20"/>
        </w:rPr>
        <w:t>预付款的金额或比例为</w:t>
      </w:r>
      <w:r>
        <w:rPr>
          <w:color w:val="231F20"/>
          <w:u w:val="single" w:color="231F20"/>
        </w:rPr>
        <w:t>：</w:t>
        <w:tab/>
      </w:r>
      <w:r>
        <w:rPr>
          <w:color w:val="231F20"/>
        </w:rPr>
        <w:t>。预付款支付期限</w:t>
      </w:r>
      <w:r>
        <w:rPr>
          <w:color w:val="231F20"/>
          <w:u w:val="single" w:color="231F20"/>
        </w:rPr>
        <w:t>：</w:t>
        <w:tab/>
      </w:r>
      <w:r>
        <w:rPr>
          <w:color w:val="231F20"/>
        </w:rPr>
        <w:t>。预付款扣回的方式</w:t>
      </w:r>
      <w:r>
        <w:rPr>
          <w:color w:val="231F20"/>
          <w:u w:val="single" w:color="231F20"/>
        </w:rPr>
        <w:t>：</w:t>
        <w:tab/>
      </w:r>
      <w:r>
        <w:rPr>
          <w:color w:val="231F20"/>
        </w:rPr>
        <w:t>。</w:t>
      </w:r>
    </w:p>
    <w:p>
      <w:pPr>
        <w:pStyle w:val="ListParagraph"/>
        <w:numPr>
          <w:ilvl w:val="2"/>
          <w:numId w:val="132"/>
        </w:numPr>
        <w:tabs>
          <w:tab w:pos="1158" w:val="left" w:leader="none"/>
        </w:tabs>
        <w:spacing w:line="240" w:lineRule="auto" w:before="26" w:after="0"/>
        <w:ind w:left="1157" w:right="0" w:hanging="600"/>
        <w:jc w:val="left"/>
        <w:rPr>
          <w:sz w:val="22"/>
        </w:rPr>
      </w:pPr>
      <w:r>
        <w:rPr>
          <w:color w:val="231F20"/>
          <w:sz w:val="22"/>
        </w:rPr>
        <w:t>预付款担保</w:t>
      </w:r>
    </w:p>
    <w:p>
      <w:pPr>
        <w:pStyle w:val="BodyText"/>
        <w:tabs>
          <w:tab w:pos="9078" w:val="left" w:leader="none"/>
        </w:tabs>
        <w:spacing w:line="319" w:lineRule="auto"/>
        <w:ind w:left="557" w:right="105"/>
      </w:pPr>
      <w:r>
        <w:rPr>
          <w:color w:val="231F20"/>
        </w:rPr>
        <w:t>提供预付款担保期限</w:t>
      </w:r>
      <w:r>
        <w:rPr>
          <w:color w:val="231F20"/>
          <w:u w:val="single" w:color="231F20"/>
        </w:rPr>
        <w:t>：</w:t>
        <w:tab/>
      </w:r>
      <w:r>
        <w:rPr>
          <w:color w:val="231F20"/>
        </w:rPr>
        <w:t>。预付款担保形式</w:t>
      </w:r>
      <w:r>
        <w:rPr>
          <w:color w:val="231F20"/>
          <w:u w:val="single" w:color="231F20"/>
        </w:rPr>
        <w:t>：</w:t>
        <w:tab/>
      </w:r>
      <w:r>
        <w:rPr>
          <w:color w:val="231F20"/>
        </w:rPr>
        <w:t>。</w:t>
      </w:r>
    </w:p>
    <w:p>
      <w:pPr>
        <w:pStyle w:val="ListParagraph"/>
        <w:numPr>
          <w:ilvl w:val="1"/>
          <w:numId w:val="132"/>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工程进度款</w:t>
      </w:r>
    </w:p>
    <w:p>
      <w:pPr>
        <w:pStyle w:val="ListParagraph"/>
        <w:numPr>
          <w:ilvl w:val="2"/>
          <w:numId w:val="132"/>
        </w:numPr>
        <w:tabs>
          <w:tab w:pos="1157" w:val="left" w:leader="none"/>
        </w:tabs>
        <w:spacing w:line="240" w:lineRule="auto" w:before="122" w:after="0"/>
        <w:ind w:left="1156" w:right="0" w:hanging="599"/>
        <w:jc w:val="left"/>
        <w:rPr>
          <w:sz w:val="22"/>
        </w:rPr>
      </w:pPr>
      <w:r>
        <w:rPr>
          <w:color w:val="231F20"/>
          <w:sz w:val="22"/>
        </w:rPr>
        <w:t>工程进度付款申请</w:t>
      </w:r>
    </w:p>
    <w:p>
      <w:pPr>
        <w:pStyle w:val="BodyText"/>
        <w:tabs>
          <w:tab w:pos="9078" w:val="left" w:leader="none"/>
        </w:tabs>
        <w:spacing w:line="319" w:lineRule="auto"/>
        <w:ind w:left="557" w:right="105"/>
        <w:jc w:val="both"/>
      </w:pPr>
      <w:r>
        <w:rPr>
          <w:color w:val="231F20"/>
        </w:rPr>
        <w:t>工程进度付款申请方式</w:t>
      </w:r>
      <w:r>
        <w:rPr>
          <w:color w:val="231F20"/>
          <w:u w:val="single" w:color="231F20"/>
        </w:rPr>
        <w:t>：</w:t>
        <w:tab/>
      </w:r>
      <w:r>
        <w:rPr>
          <w:color w:val="231F20"/>
        </w:rPr>
        <w:t>。承包人提交进度付款申请单的格式、内容、份数和时间</w:t>
      </w:r>
      <w:r>
        <w:rPr>
          <w:color w:val="231F20"/>
          <w:u w:val="single" w:color="231F20"/>
        </w:rPr>
        <w:t>：</w:t>
        <w:tab/>
      </w:r>
      <w:r>
        <w:rPr>
          <w:color w:val="231F20"/>
        </w:rPr>
        <w:t>。进度付款申请单应包括的内容</w:t>
      </w:r>
      <w:r>
        <w:rPr>
          <w:color w:val="231F20"/>
          <w:u w:val="single" w:color="231F20"/>
        </w:rPr>
        <w:t>：</w:t>
        <w:tab/>
      </w:r>
      <w:r>
        <w:rPr>
          <w:color w:val="231F20"/>
        </w:rPr>
        <w:t>。</w:t>
      </w:r>
    </w:p>
    <w:p>
      <w:pPr>
        <w:pStyle w:val="ListParagraph"/>
        <w:numPr>
          <w:ilvl w:val="2"/>
          <w:numId w:val="132"/>
        </w:numPr>
        <w:tabs>
          <w:tab w:pos="1157" w:val="left" w:leader="none"/>
        </w:tabs>
        <w:spacing w:line="240" w:lineRule="auto" w:before="25" w:after="0"/>
        <w:ind w:left="1156" w:right="0" w:hanging="599"/>
        <w:jc w:val="left"/>
        <w:rPr>
          <w:sz w:val="22"/>
        </w:rPr>
      </w:pPr>
      <w:r>
        <w:rPr>
          <w:color w:val="231F20"/>
          <w:sz w:val="22"/>
        </w:rPr>
        <w:t>进度付款审核和支付</w:t>
      </w:r>
    </w:p>
    <w:p>
      <w:pPr>
        <w:pStyle w:val="BodyText"/>
        <w:tabs>
          <w:tab w:pos="6988" w:val="left" w:leader="none"/>
          <w:tab w:pos="9078" w:val="left" w:leader="none"/>
        </w:tabs>
        <w:spacing w:line="319" w:lineRule="auto" w:before="108"/>
        <w:ind w:left="557" w:right="105"/>
      </w:pPr>
      <w:r>
        <w:rPr>
          <w:color w:val="231F20"/>
        </w:rPr>
        <w:t>进度付款的审核方式和支付的约定</w:t>
      </w:r>
      <w:r>
        <w:rPr>
          <w:color w:val="231F20"/>
          <w:u w:val="single" w:color="231F20"/>
        </w:rPr>
        <w:t>：</w:t>
        <w:tab/>
        <w:tab/>
      </w:r>
      <w:r>
        <w:rPr>
          <w:color w:val="231F20"/>
        </w:rPr>
        <w:t>。发包人应在进度款支付证书或临时进度款支付证书签发后的</w:t>
      </w:r>
      <w:r>
        <w:rPr>
          <w:color w:val="231F20"/>
          <w:u w:val="single" w:color="231F20"/>
        </w:rPr>
        <w:t> </w:t>
        <w:tab/>
      </w:r>
      <w:r>
        <w:rPr>
          <w:color w:val="231F20"/>
        </w:rPr>
        <w:t>天内完成支付，发包人</w:t>
      </w:r>
    </w:p>
    <w:p>
      <w:pPr>
        <w:pStyle w:val="BodyText"/>
        <w:tabs>
          <w:tab w:pos="3633" w:val="left" w:leader="none"/>
        </w:tabs>
        <w:spacing w:before="25"/>
      </w:pPr>
      <w:r>
        <w:rPr>
          <w:color w:val="231F20"/>
        </w:rPr>
        <w:t>逾期支付进度款的，应按照</w:t>
      </w:r>
      <w:r>
        <w:rPr>
          <w:color w:val="231F20"/>
          <w:u w:val="single" w:color="231F20"/>
        </w:rPr>
        <w:t> </w:t>
        <w:tab/>
      </w:r>
      <w:r>
        <w:rPr>
          <w:color w:val="231F20"/>
        </w:rPr>
        <w:t>支付违约金。</w:t>
      </w:r>
    </w:p>
    <w:p>
      <w:pPr>
        <w:pStyle w:val="ListParagraph"/>
        <w:numPr>
          <w:ilvl w:val="1"/>
          <w:numId w:val="133"/>
        </w:numPr>
        <w:tabs>
          <w:tab w:pos="1046" w:val="left" w:leader="none"/>
        </w:tabs>
        <w:spacing w:line="240" w:lineRule="auto" w:before="103" w:after="0"/>
        <w:ind w:left="1045" w:right="0" w:hanging="488"/>
        <w:jc w:val="both"/>
        <w:rPr>
          <w:rFonts w:ascii="方正黑体_GBK" w:eastAsia="方正黑体_GBK" w:hint="eastAsia"/>
          <w:sz w:val="22"/>
        </w:rPr>
      </w:pPr>
      <w:r>
        <w:rPr>
          <w:rFonts w:ascii="方正黑体_GBK" w:eastAsia="方正黑体_GBK" w:hint="eastAsia"/>
          <w:color w:val="231F20"/>
          <w:sz w:val="22"/>
        </w:rPr>
        <w:t>付款计划表</w:t>
      </w:r>
    </w:p>
    <w:p>
      <w:pPr>
        <w:pStyle w:val="ListParagraph"/>
        <w:numPr>
          <w:ilvl w:val="2"/>
          <w:numId w:val="133"/>
        </w:numPr>
        <w:tabs>
          <w:tab w:pos="1157" w:val="left" w:leader="none"/>
          <w:tab w:pos="9078" w:val="left" w:leader="none"/>
        </w:tabs>
        <w:spacing w:line="240" w:lineRule="auto" w:before="122" w:after="0"/>
        <w:ind w:left="1156" w:right="0" w:hanging="599"/>
        <w:jc w:val="both"/>
        <w:rPr>
          <w:sz w:val="22"/>
        </w:rPr>
      </w:pPr>
      <w:r>
        <w:rPr>
          <w:color w:val="231F20"/>
          <w:sz w:val="22"/>
        </w:rPr>
        <w:t>付款计划表的编制要求</w:t>
      </w:r>
      <w:r>
        <w:rPr>
          <w:color w:val="231F20"/>
          <w:sz w:val="22"/>
          <w:u w:val="single" w:color="231F20"/>
        </w:rPr>
        <w:t>：</w:t>
        <w:tab/>
      </w:r>
      <w:r>
        <w:rPr>
          <w:color w:val="231F20"/>
          <w:sz w:val="22"/>
        </w:rPr>
        <w:t>。</w:t>
      </w:r>
    </w:p>
    <w:p>
      <w:pPr>
        <w:pStyle w:val="ListParagraph"/>
        <w:numPr>
          <w:ilvl w:val="2"/>
          <w:numId w:val="133"/>
        </w:numPr>
        <w:tabs>
          <w:tab w:pos="1157" w:val="left" w:leader="none"/>
        </w:tabs>
        <w:spacing w:line="240" w:lineRule="auto" w:before="109" w:after="0"/>
        <w:ind w:left="1156" w:right="0" w:hanging="599"/>
        <w:jc w:val="both"/>
        <w:rPr>
          <w:sz w:val="22"/>
        </w:rPr>
      </w:pPr>
      <w:r>
        <w:rPr>
          <w:color w:val="231F20"/>
          <w:sz w:val="22"/>
        </w:rPr>
        <w:t>付款计划表的编制与审批</w:t>
      </w:r>
    </w:p>
    <w:p>
      <w:pPr>
        <w:pStyle w:val="BodyText"/>
        <w:tabs>
          <w:tab w:pos="9078" w:val="left" w:leader="none"/>
        </w:tabs>
        <w:ind w:left="557"/>
        <w:jc w:val="both"/>
      </w:pPr>
      <w:r>
        <w:rPr>
          <w:color w:val="231F20"/>
        </w:rPr>
        <w:t>付款计划表的编制</w:t>
      </w:r>
      <w:r>
        <w:rPr>
          <w:color w:val="231F20"/>
          <w:u w:val="single" w:color="231F20"/>
        </w:rPr>
        <w:t>：</w:t>
        <w:tab/>
      </w:r>
      <w:r>
        <w:rPr>
          <w:color w:val="231F20"/>
        </w:rPr>
        <w:t>。</w:t>
      </w:r>
    </w:p>
    <w:p>
      <w:pPr>
        <w:pStyle w:val="ListParagraph"/>
        <w:numPr>
          <w:ilvl w:val="1"/>
          <w:numId w:val="134"/>
        </w:numPr>
        <w:tabs>
          <w:tab w:pos="1046" w:val="left" w:leader="none"/>
        </w:tabs>
        <w:spacing w:line="240" w:lineRule="auto" w:before="103" w:after="0"/>
        <w:ind w:left="1045" w:right="0" w:hanging="488"/>
        <w:jc w:val="both"/>
        <w:rPr>
          <w:rFonts w:ascii="方正黑体_GBK" w:eastAsia="方正黑体_GBK" w:hint="eastAsia"/>
          <w:sz w:val="22"/>
        </w:rPr>
      </w:pPr>
      <w:r>
        <w:rPr>
          <w:rFonts w:ascii="方正黑体_GBK" w:eastAsia="方正黑体_GBK" w:hint="eastAsia"/>
          <w:color w:val="231F20"/>
          <w:sz w:val="22"/>
        </w:rPr>
        <w:t>竣工结算</w:t>
      </w:r>
    </w:p>
    <w:p>
      <w:pPr>
        <w:pStyle w:val="ListParagraph"/>
        <w:numPr>
          <w:ilvl w:val="2"/>
          <w:numId w:val="134"/>
        </w:numPr>
        <w:tabs>
          <w:tab w:pos="1157" w:val="left" w:leader="none"/>
        </w:tabs>
        <w:spacing w:line="240" w:lineRule="auto" w:before="122" w:after="0"/>
        <w:ind w:left="1156" w:right="0" w:hanging="599"/>
        <w:jc w:val="both"/>
        <w:rPr>
          <w:sz w:val="22"/>
        </w:rPr>
      </w:pPr>
      <w:r>
        <w:rPr>
          <w:color w:val="231F20"/>
          <w:sz w:val="22"/>
        </w:rPr>
        <w:t>竣工结算申请</w:t>
      </w:r>
    </w:p>
    <w:p>
      <w:pPr>
        <w:pStyle w:val="BodyText"/>
        <w:tabs>
          <w:tab w:pos="9078" w:val="left" w:leader="none"/>
        </w:tabs>
        <w:ind w:left="557"/>
        <w:jc w:val="both"/>
      </w:pPr>
      <w:r>
        <w:rPr>
          <w:color w:val="231F20"/>
        </w:rPr>
        <w:t>承包人提交竣工结算申请的时间</w:t>
      </w:r>
      <w:r>
        <w:rPr>
          <w:color w:val="231F20"/>
          <w:u w:val="single" w:color="231F20"/>
        </w:rPr>
        <w:t>：</w:t>
        <w:tab/>
      </w:r>
      <w:r>
        <w:rPr>
          <w:color w:val="231F20"/>
        </w:rPr>
        <w:t>。</w:t>
      </w:r>
    </w:p>
    <w:p>
      <w:pPr>
        <w:spacing w:after="0"/>
        <w:jc w:val="both"/>
        <w:sectPr>
          <w:footerReference w:type="even" r:id="rId40"/>
          <w:footerReference w:type="default" r:id="rId41"/>
          <w:pgSz w:w="11910" w:h="16840"/>
          <w:pgMar w:footer="832" w:header="0" w:top="1580" w:bottom="1020" w:left="1300" w:right="1200"/>
        </w:sectPr>
      </w:pPr>
    </w:p>
    <w:p>
      <w:pPr>
        <w:pStyle w:val="BodyText"/>
        <w:tabs>
          <w:tab w:pos="9078" w:val="left" w:leader="none"/>
        </w:tabs>
        <w:spacing w:line="319" w:lineRule="auto" w:before="24"/>
        <w:ind w:left="557" w:right="105"/>
      </w:pPr>
      <w:r>
        <w:rPr>
          <w:color w:val="231F20"/>
        </w:rPr>
        <w:t>竣工结算申请的资料清单和份数</w:t>
      </w:r>
      <w:r>
        <w:rPr>
          <w:color w:val="231F20"/>
          <w:u w:val="single" w:color="231F20"/>
        </w:rPr>
        <w:t>：</w:t>
        <w:tab/>
      </w:r>
      <w:r>
        <w:rPr>
          <w:color w:val="231F20"/>
        </w:rPr>
        <w:t>。竣工结算申请单的内容应包括</w:t>
      </w:r>
      <w:r>
        <w:rPr>
          <w:color w:val="231F20"/>
          <w:u w:val="single" w:color="231F20"/>
        </w:rPr>
        <w:t>：</w:t>
        <w:tab/>
      </w:r>
      <w:r>
        <w:rPr>
          <w:color w:val="231F20"/>
        </w:rPr>
        <w:t>。</w:t>
      </w:r>
    </w:p>
    <w:p>
      <w:pPr>
        <w:pStyle w:val="ListParagraph"/>
        <w:numPr>
          <w:ilvl w:val="2"/>
          <w:numId w:val="134"/>
        </w:numPr>
        <w:tabs>
          <w:tab w:pos="1157" w:val="left" w:leader="none"/>
        </w:tabs>
        <w:spacing w:line="240" w:lineRule="auto" w:before="26" w:after="0"/>
        <w:ind w:left="1156" w:right="0" w:hanging="599"/>
        <w:jc w:val="left"/>
        <w:rPr>
          <w:sz w:val="22"/>
        </w:rPr>
      </w:pPr>
      <w:r>
        <w:rPr>
          <w:color w:val="231F20"/>
          <w:sz w:val="22"/>
        </w:rPr>
        <w:t>竣工结算审核</w:t>
      </w:r>
    </w:p>
    <w:p>
      <w:pPr>
        <w:pStyle w:val="BodyText"/>
        <w:tabs>
          <w:tab w:pos="9078" w:val="left" w:leader="none"/>
        </w:tabs>
        <w:spacing w:line="319" w:lineRule="auto"/>
        <w:ind w:left="557" w:right="105"/>
        <w:jc w:val="both"/>
      </w:pPr>
      <w:r>
        <w:rPr>
          <w:color w:val="231F20"/>
        </w:rPr>
        <w:t>发包人审批竣工付款申请单的期限</w:t>
      </w:r>
      <w:r>
        <w:rPr>
          <w:color w:val="231F20"/>
          <w:u w:val="single" w:color="231F20"/>
        </w:rPr>
        <w:t>：</w:t>
        <w:tab/>
      </w:r>
      <w:r>
        <w:rPr>
          <w:color w:val="231F20"/>
        </w:rPr>
        <w:t>。发包人完成竣工付款的期限</w:t>
      </w:r>
      <w:r>
        <w:rPr>
          <w:color w:val="231F20"/>
          <w:u w:val="single" w:color="231F20"/>
        </w:rPr>
        <w:t>：</w:t>
        <w:tab/>
      </w:r>
      <w:r>
        <w:rPr>
          <w:color w:val="231F20"/>
        </w:rPr>
        <w:t>。关于竣工付款证书异议部分复核的方式和程序</w:t>
      </w:r>
      <w:r>
        <w:rPr>
          <w:color w:val="231F20"/>
          <w:u w:val="single" w:color="231F20"/>
        </w:rPr>
        <w:t>：</w:t>
        <w:tab/>
      </w:r>
      <w:r>
        <w:rPr>
          <w:color w:val="231F20"/>
        </w:rPr>
        <w:t>。</w:t>
      </w:r>
    </w:p>
    <w:p>
      <w:pPr>
        <w:pStyle w:val="ListParagraph"/>
        <w:numPr>
          <w:ilvl w:val="1"/>
          <w:numId w:val="135"/>
        </w:numPr>
        <w:tabs>
          <w:tab w:pos="1046" w:val="left" w:leader="none"/>
        </w:tabs>
        <w:spacing w:line="240" w:lineRule="auto" w:before="19" w:after="0"/>
        <w:ind w:left="1045" w:right="0" w:hanging="488"/>
        <w:jc w:val="both"/>
        <w:rPr>
          <w:rFonts w:ascii="方正黑体_GBK" w:eastAsia="方正黑体_GBK" w:hint="eastAsia"/>
          <w:sz w:val="22"/>
        </w:rPr>
      </w:pPr>
      <w:r>
        <w:rPr>
          <w:rFonts w:ascii="方正黑体_GBK" w:eastAsia="方正黑体_GBK" w:hint="eastAsia"/>
          <w:color w:val="231F20"/>
          <w:sz w:val="22"/>
        </w:rPr>
        <w:t>质量保证金</w:t>
      </w:r>
    </w:p>
    <w:p>
      <w:pPr>
        <w:pStyle w:val="ListParagraph"/>
        <w:numPr>
          <w:ilvl w:val="2"/>
          <w:numId w:val="135"/>
        </w:numPr>
        <w:tabs>
          <w:tab w:pos="1157" w:val="left" w:leader="none"/>
        </w:tabs>
        <w:spacing w:line="240" w:lineRule="auto" w:before="122" w:after="0"/>
        <w:ind w:left="1156" w:right="0" w:hanging="599"/>
        <w:jc w:val="both"/>
        <w:rPr>
          <w:sz w:val="22"/>
        </w:rPr>
      </w:pPr>
      <w:r>
        <w:rPr>
          <w:color w:val="231F20"/>
          <w:sz w:val="22"/>
        </w:rPr>
        <w:t>承包人提供质量保证金的方式</w:t>
      </w:r>
    </w:p>
    <w:p>
      <w:pPr>
        <w:pStyle w:val="BodyText"/>
        <w:tabs>
          <w:tab w:pos="4290" w:val="left" w:leader="none"/>
        </w:tabs>
        <w:ind w:left="557"/>
        <w:jc w:val="both"/>
      </w:pPr>
      <w:r>
        <w:rPr>
          <w:color w:val="231F20"/>
        </w:rPr>
        <w:t>质量保证金采用以下第</w:t>
      </w:r>
      <w:r>
        <w:rPr>
          <w:color w:val="231F20"/>
          <w:u w:val="single" w:color="231F20"/>
        </w:rPr>
        <w:t> </w:t>
        <w:tab/>
      </w:r>
      <w:r>
        <w:rPr>
          <w:color w:val="231F20"/>
        </w:rPr>
        <w:t>种方式：</w:t>
      </w:r>
    </w:p>
    <w:p>
      <w:pPr>
        <w:pStyle w:val="BodyText"/>
        <w:tabs>
          <w:tab w:pos="5904" w:val="left" w:leader="none"/>
        </w:tabs>
        <w:ind w:left="447"/>
      </w:pPr>
      <w:r>
        <w:rPr>
          <w:color w:val="231F20"/>
        </w:rPr>
        <w:t>（</w:t>
      </w:r>
      <w:r>
        <w:rPr>
          <w:color w:val="231F20"/>
          <w:spacing w:val="-27"/>
        </w:rPr>
        <w:t> </w:t>
      </w:r>
      <w:r>
        <w:rPr>
          <w:color w:val="231F20"/>
          <w:spacing w:val="-29"/>
        </w:rPr>
        <w:t>1）</w:t>
      </w:r>
      <w:r>
        <w:rPr>
          <w:color w:val="231F20"/>
        </w:rPr>
        <w:t>工程质量保证担保，保证金额为</w:t>
      </w:r>
      <w:r>
        <w:rPr>
          <w:color w:val="231F20"/>
          <w:u w:val="single" w:color="231F20"/>
        </w:rPr>
        <w:t>：</w:t>
        <w:tab/>
      </w:r>
      <w:r>
        <w:rPr>
          <w:color w:val="231F20"/>
        </w:rPr>
        <w:t>；</w:t>
      </w:r>
    </w:p>
    <w:p>
      <w:pPr>
        <w:pStyle w:val="BodyText"/>
        <w:tabs>
          <w:tab w:pos="2006" w:val="left" w:leader="none"/>
        </w:tabs>
        <w:ind w:left="447"/>
      </w:pPr>
      <w:r>
        <w:rPr>
          <w:color w:val="231F20"/>
        </w:rPr>
        <w:t>（</w:t>
      </w:r>
      <w:r>
        <w:rPr>
          <w:color w:val="231F20"/>
          <w:spacing w:val="-27"/>
        </w:rPr>
        <w:t> </w:t>
      </w:r>
      <w:r>
        <w:rPr>
          <w:color w:val="231F20"/>
        </w:rPr>
        <w:t>2）</w:t>
        <w:tab/>
        <w:t>% 的工程款；</w:t>
      </w:r>
    </w:p>
    <w:p>
      <w:pPr>
        <w:pStyle w:val="BodyText"/>
        <w:tabs>
          <w:tab w:pos="9078" w:val="left" w:leader="none"/>
        </w:tabs>
        <w:ind w:left="447"/>
      </w:pPr>
      <w:r>
        <w:rPr>
          <w:color w:val="231F20"/>
        </w:rPr>
        <w:t>（</w:t>
      </w:r>
      <w:r>
        <w:rPr>
          <w:color w:val="231F20"/>
          <w:spacing w:val="-27"/>
        </w:rPr>
        <w:t> </w:t>
      </w:r>
      <w:r>
        <w:rPr>
          <w:color w:val="231F20"/>
          <w:spacing w:val="-29"/>
        </w:rPr>
        <w:t>3）</w:t>
      </w:r>
      <w:r>
        <w:rPr>
          <w:color w:val="231F20"/>
        </w:rPr>
        <w:t>其他方式</w:t>
      </w:r>
      <w:r>
        <w:rPr>
          <w:color w:val="231F20"/>
          <w:u w:val="single" w:color="231F20"/>
        </w:rPr>
        <w:t>：</w:t>
        <w:tab/>
      </w:r>
      <w:r>
        <w:rPr>
          <w:color w:val="231F20"/>
        </w:rPr>
        <w:t>。</w:t>
      </w:r>
    </w:p>
    <w:p>
      <w:pPr>
        <w:pStyle w:val="ListParagraph"/>
        <w:numPr>
          <w:ilvl w:val="2"/>
          <w:numId w:val="135"/>
        </w:numPr>
        <w:tabs>
          <w:tab w:pos="1157" w:val="left" w:leader="none"/>
        </w:tabs>
        <w:spacing w:line="240" w:lineRule="auto" w:before="109" w:after="0"/>
        <w:ind w:left="1156" w:right="0" w:hanging="599"/>
        <w:jc w:val="both"/>
        <w:rPr>
          <w:sz w:val="22"/>
        </w:rPr>
      </w:pPr>
      <w:r>
        <w:rPr>
          <w:color w:val="231F20"/>
          <w:sz w:val="22"/>
        </w:rPr>
        <w:t>质量保证金的预留</w:t>
      </w:r>
    </w:p>
    <w:p>
      <w:pPr>
        <w:pStyle w:val="BodyText"/>
        <w:tabs>
          <w:tab w:pos="4182" w:val="left" w:leader="none"/>
        </w:tabs>
        <w:ind w:left="557"/>
        <w:jc w:val="both"/>
      </w:pPr>
      <w:r>
        <w:rPr>
          <w:color w:val="231F20"/>
        </w:rPr>
        <w:t>质量保证金的预留采取以下第</w:t>
      </w:r>
      <w:r>
        <w:rPr>
          <w:color w:val="231F20"/>
          <w:u w:val="single" w:color="231F20"/>
        </w:rPr>
        <w:t> </w:t>
        <w:tab/>
      </w:r>
      <w:r>
        <w:rPr>
          <w:color w:val="231F20"/>
        </w:rPr>
        <w:t>种方式：</w:t>
      </w:r>
    </w:p>
    <w:p>
      <w:pPr>
        <w:pStyle w:val="BodyText"/>
        <w:tabs>
          <w:tab w:pos="6988" w:val="left" w:leader="none"/>
        </w:tabs>
        <w:spacing w:line="319" w:lineRule="auto"/>
        <w:ind w:right="215" w:firstLine="330"/>
      </w:pPr>
      <w:r>
        <w:rPr>
          <w:color w:val="231F20"/>
        </w:rPr>
        <w:t>（</w:t>
      </w:r>
      <w:r>
        <w:rPr>
          <w:color w:val="231F20"/>
          <w:spacing w:val="-27"/>
        </w:rPr>
        <w:t> </w:t>
      </w:r>
      <w:r>
        <w:rPr>
          <w:color w:val="231F20"/>
          <w:spacing w:val="-21"/>
        </w:rPr>
        <w:t>1）</w:t>
      </w:r>
      <w:r>
        <w:rPr>
          <w:color w:val="231F20"/>
        </w:rPr>
        <w:t>在支付工程进度款时逐次预留的质量保证金的比例</w:t>
      </w:r>
      <w:r>
        <w:rPr>
          <w:color w:val="231F20"/>
          <w:u w:val="single" w:color="231F20"/>
        </w:rPr>
        <w:t>：</w:t>
        <w:tab/>
      </w:r>
      <w:r>
        <w:rPr>
          <w:color w:val="231F20"/>
        </w:rPr>
        <w:t>，在此情形下，质量保证金的计算基数不包括预付款的支付、扣回以及价格调整的金额；</w:t>
      </w:r>
    </w:p>
    <w:p>
      <w:pPr>
        <w:pStyle w:val="BodyText"/>
        <w:spacing w:line="319" w:lineRule="auto" w:before="25"/>
        <w:ind w:right="215" w:firstLine="330"/>
      </w:pPr>
      <w:r>
        <w:rPr>
          <w:color w:val="231F20"/>
        </w:rPr>
        <w:t>（ 2）工程竣工结算时一次性预留专用合同条件第 14.6.1 项第（ 2）目约定的工程款预留比例的质量保证金；</w:t>
      </w:r>
    </w:p>
    <w:p>
      <w:pPr>
        <w:pStyle w:val="BodyText"/>
        <w:tabs>
          <w:tab w:pos="8968" w:val="left" w:leader="none"/>
          <w:tab w:pos="9078" w:val="left" w:leader="none"/>
        </w:tabs>
        <w:spacing w:line="319" w:lineRule="auto" w:before="25"/>
        <w:ind w:left="447" w:right="105"/>
        <w:jc w:val="center"/>
      </w:pPr>
      <w:r>
        <w:rPr>
          <w:color w:val="231F20"/>
        </w:rPr>
        <w:t>（</w:t>
      </w:r>
      <w:r>
        <w:rPr>
          <w:color w:val="231F20"/>
          <w:spacing w:val="-27"/>
        </w:rPr>
        <w:t> </w:t>
      </w:r>
      <w:r>
        <w:rPr>
          <w:color w:val="231F20"/>
          <w:spacing w:val="-29"/>
        </w:rPr>
        <w:t>3）</w:t>
      </w:r>
      <w:r>
        <w:rPr>
          <w:color w:val="231F20"/>
        </w:rPr>
        <w:t>其他预留方式 :</w:t>
      </w:r>
      <w:r>
        <w:rPr>
          <w:color w:val="231F20"/>
          <w:u w:val="single" w:color="231F20"/>
        </w:rPr>
        <w:t> </w:t>
        <w:tab/>
        <w:tab/>
      </w:r>
      <w:r>
        <w:rPr>
          <w:color w:val="231F20"/>
        </w:rPr>
        <w:t>。关于质量保证金的补充约定</w:t>
      </w:r>
      <w:r>
        <w:rPr>
          <w:color w:val="231F20"/>
          <w:u w:val="single" w:color="231F20"/>
        </w:rPr>
        <w:t>：</w:t>
        <w:tab/>
      </w:r>
      <w:r>
        <w:rPr>
          <w:color w:val="231F20"/>
        </w:rPr>
        <w:t>。</w:t>
      </w:r>
    </w:p>
    <w:p>
      <w:pPr>
        <w:pStyle w:val="ListParagraph"/>
        <w:numPr>
          <w:ilvl w:val="1"/>
          <w:numId w:val="136"/>
        </w:numPr>
        <w:tabs>
          <w:tab w:pos="1046" w:val="left" w:leader="none"/>
        </w:tabs>
        <w:spacing w:line="240" w:lineRule="auto" w:before="19" w:after="0"/>
        <w:ind w:left="1045" w:right="0" w:hanging="488"/>
        <w:jc w:val="both"/>
        <w:rPr>
          <w:rFonts w:ascii="方正黑体_GBK" w:eastAsia="方正黑体_GBK" w:hint="eastAsia"/>
          <w:sz w:val="22"/>
        </w:rPr>
      </w:pPr>
      <w:r>
        <w:rPr>
          <w:rFonts w:ascii="方正黑体_GBK" w:eastAsia="方正黑体_GBK" w:hint="eastAsia"/>
          <w:color w:val="231F20"/>
          <w:sz w:val="22"/>
        </w:rPr>
        <w:t>最终结清</w:t>
      </w:r>
    </w:p>
    <w:p>
      <w:pPr>
        <w:pStyle w:val="ListParagraph"/>
        <w:numPr>
          <w:ilvl w:val="2"/>
          <w:numId w:val="136"/>
        </w:numPr>
        <w:tabs>
          <w:tab w:pos="1157" w:val="left" w:leader="none"/>
        </w:tabs>
        <w:spacing w:line="240" w:lineRule="auto" w:before="122" w:after="0"/>
        <w:ind w:left="1156" w:right="0" w:hanging="599"/>
        <w:jc w:val="both"/>
        <w:rPr>
          <w:sz w:val="22"/>
        </w:rPr>
      </w:pPr>
      <w:r>
        <w:rPr>
          <w:color w:val="231F20"/>
          <w:sz w:val="22"/>
        </w:rPr>
        <w:t>最终结清申请单</w:t>
      </w:r>
    </w:p>
    <w:p>
      <w:pPr>
        <w:pStyle w:val="BodyText"/>
        <w:tabs>
          <w:tab w:pos="9078" w:val="left" w:leader="none"/>
        </w:tabs>
        <w:ind w:left="557"/>
        <w:jc w:val="both"/>
      </w:pPr>
      <w:r>
        <w:rPr>
          <w:color w:val="231F20"/>
        </w:rPr>
        <w:t>当事人双方关于最终结清申请的其他约定</w:t>
      </w:r>
      <w:r>
        <w:rPr>
          <w:color w:val="231F20"/>
          <w:u w:val="single" w:color="231F20"/>
        </w:rPr>
        <w:t>：</w:t>
        <w:tab/>
      </w:r>
      <w:r>
        <w:rPr>
          <w:color w:val="231F20"/>
        </w:rPr>
        <w:t>。</w:t>
      </w:r>
    </w:p>
    <w:p>
      <w:pPr>
        <w:pStyle w:val="ListParagraph"/>
        <w:numPr>
          <w:ilvl w:val="2"/>
          <w:numId w:val="136"/>
        </w:numPr>
        <w:tabs>
          <w:tab w:pos="1157" w:val="left" w:leader="none"/>
        </w:tabs>
        <w:spacing w:line="240" w:lineRule="auto" w:before="109" w:after="0"/>
        <w:ind w:left="1156" w:right="0" w:hanging="599"/>
        <w:jc w:val="both"/>
        <w:rPr>
          <w:sz w:val="22"/>
        </w:rPr>
      </w:pPr>
      <w:r>
        <w:rPr>
          <w:color w:val="231F20"/>
          <w:sz w:val="22"/>
        </w:rPr>
        <w:t>最终结清证书和支付</w:t>
      </w:r>
    </w:p>
    <w:p>
      <w:pPr>
        <w:pStyle w:val="BodyText"/>
        <w:tabs>
          <w:tab w:pos="9078" w:val="left" w:leader="none"/>
        </w:tabs>
        <w:ind w:left="557"/>
        <w:jc w:val="both"/>
      </w:pPr>
      <w:r>
        <w:rPr>
          <w:color w:val="231F20"/>
        </w:rPr>
        <w:t>当事人双方关于最终结清支付的其他约定</w:t>
      </w:r>
      <w:r>
        <w:rPr>
          <w:color w:val="231F20"/>
          <w:u w:val="single" w:color="231F20"/>
        </w:rPr>
        <w:t>：</w:t>
        <w:tab/>
      </w:r>
      <w:r>
        <w:rPr>
          <w:color w:val="231F20"/>
        </w:rPr>
        <w:t>。</w:t>
      </w:r>
    </w:p>
    <w:p>
      <w:pPr>
        <w:pStyle w:val="BodyText"/>
        <w:tabs>
          <w:tab w:pos="1131" w:val="left" w:leader="none"/>
        </w:tabs>
        <w:spacing w:before="102"/>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15</w:t>
      </w:r>
      <w:r>
        <w:rPr>
          <w:rFonts w:ascii="方正黑体_GBK" w:eastAsia="方正黑体_GBK" w:hint="eastAsia"/>
          <w:color w:val="231F20"/>
          <w:spacing w:val="-7"/>
        </w:rPr>
        <w:t> </w:t>
      </w:r>
      <w:r>
        <w:rPr>
          <w:rFonts w:ascii="方正黑体_GBK" w:eastAsia="方正黑体_GBK" w:hint="eastAsia"/>
          <w:color w:val="231F20"/>
        </w:rPr>
        <w:t>条</w:t>
        <w:tab/>
        <w:t>违约</w:t>
      </w:r>
    </w:p>
    <w:p>
      <w:pPr>
        <w:pStyle w:val="BodyText"/>
        <w:spacing w:before="115"/>
        <w:ind w:left="557"/>
        <w:jc w:val="both"/>
        <w:rPr>
          <w:rFonts w:ascii="方正黑体_GBK" w:eastAsia="方正黑体_GBK" w:hint="eastAsia"/>
        </w:rPr>
      </w:pPr>
      <w:r>
        <w:rPr>
          <w:rFonts w:ascii="方正黑体_GBK" w:eastAsia="方正黑体_GBK" w:hint="eastAsia"/>
          <w:color w:val="231F20"/>
        </w:rPr>
        <w:t>15.1 发包人违约</w:t>
      </w:r>
    </w:p>
    <w:p>
      <w:pPr>
        <w:pStyle w:val="BodyText"/>
        <w:spacing w:before="122"/>
        <w:ind w:left="557"/>
        <w:jc w:val="both"/>
      </w:pPr>
      <w:r>
        <w:rPr>
          <w:color w:val="231F20"/>
        </w:rPr>
        <w:t>15.1.1 发包人违约的情形</w:t>
      </w:r>
    </w:p>
    <w:p>
      <w:pPr>
        <w:pStyle w:val="BodyText"/>
        <w:tabs>
          <w:tab w:pos="9078" w:val="left" w:leader="none"/>
        </w:tabs>
        <w:ind w:left="557"/>
        <w:jc w:val="both"/>
      </w:pPr>
      <w:r>
        <w:rPr>
          <w:color w:val="231F20"/>
        </w:rPr>
        <w:t>发包人违约的其他情形</w:t>
      </w:r>
      <w:r>
        <w:rPr>
          <w:color w:val="231F20"/>
          <w:u w:val="single" w:color="231F20"/>
        </w:rPr>
        <w:t> </w:t>
        <w:tab/>
      </w:r>
      <w:r>
        <w:rPr>
          <w:color w:val="231F20"/>
        </w:rPr>
        <w:t>。</w:t>
      </w:r>
    </w:p>
    <w:p>
      <w:pPr>
        <w:pStyle w:val="BodyText"/>
        <w:ind w:left="557"/>
        <w:jc w:val="both"/>
      </w:pPr>
      <w:r>
        <w:rPr>
          <w:color w:val="231F20"/>
        </w:rPr>
        <w:t>15.1.3 发包人违约的责任</w:t>
      </w:r>
    </w:p>
    <w:p>
      <w:pPr>
        <w:pStyle w:val="BodyText"/>
        <w:tabs>
          <w:tab w:pos="9078" w:val="left" w:leader="none"/>
        </w:tabs>
        <w:ind w:left="557"/>
        <w:jc w:val="both"/>
      </w:pPr>
      <w:r>
        <w:rPr>
          <w:color w:val="231F20"/>
        </w:rPr>
        <w:t>发包人违约责任的承担方式和计算方法</w:t>
      </w:r>
      <w:r>
        <w:rPr>
          <w:color w:val="231F20"/>
          <w:u w:val="single" w:color="231F20"/>
        </w:rPr>
        <w:t>：</w:t>
        <w:tab/>
      </w:r>
      <w:r>
        <w:rPr>
          <w:color w:val="231F20"/>
        </w:rPr>
        <w:t>。</w:t>
      </w:r>
    </w:p>
    <w:p>
      <w:pPr>
        <w:spacing w:after="0"/>
        <w:jc w:val="both"/>
        <w:sectPr>
          <w:pgSz w:w="11910" w:h="16840"/>
          <w:pgMar w:header="0" w:footer="832" w:top="1580" w:bottom="1020" w:left="1300" w:right="1200"/>
        </w:sectPr>
      </w:pPr>
    </w:p>
    <w:p>
      <w:pPr>
        <w:pStyle w:val="ListParagraph"/>
        <w:numPr>
          <w:ilvl w:val="1"/>
          <w:numId w:val="137"/>
        </w:numPr>
        <w:tabs>
          <w:tab w:pos="1046" w:val="left" w:leader="none"/>
        </w:tabs>
        <w:spacing w:line="240" w:lineRule="auto" w:before="18" w:after="0"/>
        <w:ind w:left="1045" w:right="0" w:hanging="488"/>
        <w:jc w:val="left"/>
        <w:rPr>
          <w:rFonts w:ascii="方正黑体_GBK" w:eastAsia="方正黑体_GBK" w:hint="eastAsia"/>
          <w:sz w:val="22"/>
        </w:rPr>
      </w:pPr>
      <w:r>
        <w:rPr>
          <w:rFonts w:ascii="方正黑体_GBK" w:eastAsia="方正黑体_GBK" w:hint="eastAsia"/>
          <w:color w:val="231F20"/>
          <w:sz w:val="22"/>
        </w:rPr>
        <w:t>承包人违约</w:t>
      </w:r>
    </w:p>
    <w:p>
      <w:pPr>
        <w:pStyle w:val="ListParagraph"/>
        <w:numPr>
          <w:ilvl w:val="2"/>
          <w:numId w:val="137"/>
        </w:numPr>
        <w:tabs>
          <w:tab w:pos="1157" w:val="left" w:leader="none"/>
        </w:tabs>
        <w:spacing w:line="240" w:lineRule="auto" w:before="122" w:after="0"/>
        <w:ind w:left="1156" w:right="0" w:hanging="599"/>
        <w:jc w:val="left"/>
        <w:rPr>
          <w:sz w:val="22"/>
        </w:rPr>
      </w:pPr>
      <w:r>
        <w:rPr>
          <w:color w:val="231F20"/>
          <w:sz w:val="22"/>
        </w:rPr>
        <w:t>承包人违约的情形</w:t>
      </w:r>
    </w:p>
    <w:p>
      <w:pPr>
        <w:pStyle w:val="BodyText"/>
        <w:tabs>
          <w:tab w:pos="9078" w:val="left" w:leader="none"/>
        </w:tabs>
        <w:ind w:left="557"/>
      </w:pPr>
      <w:r>
        <w:rPr>
          <w:color w:val="231F20"/>
        </w:rPr>
        <w:t>承包人违约的其他情形</w:t>
      </w:r>
      <w:r>
        <w:rPr>
          <w:color w:val="231F20"/>
          <w:u w:val="single" w:color="231F20"/>
        </w:rPr>
        <w:t>：</w:t>
        <w:tab/>
      </w:r>
      <w:r>
        <w:rPr>
          <w:color w:val="231F20"/>
        </w:rPr>
        <w:t>。</w:t>
      </w:r>
    </w:p>
    <w:p>
      <w:pPr>
        <w:pStyle w:val="ListParagraph"/>
        <w:numPr>
          <w:ilvl w:val="2"/>
          <w:numId w:val="137"/>
        </w:numPr>
        <w:tabs>
          <w:tab w:pos="1157" w:val="left" w:leader="none"/>
        </w:tabs>
        <w:spacing w:line="240" w:lineRule="auto" w:before="109" w:after="0"/>
        <w:ind w:left="1156" w:right="0" w:hanging="599"/>
        <w:jc w:val="left"/>
        <w:rPr>
          <w:sz w:val="22"/>
        </w:rPr>
      </w:pPr>
      <w:r>
        <w:rPr>
          <w:color w:val="231F20"/>
          <w:sz w:val="22"/>
        </w:rPr>
        <w:t>通知改正</w:t>
      </w:r>
    </w:p>
    <w:p>
      <w:pPr>
        <w:pStyle w:val="BodyText"/>
        <w:tabs>
          <w:tab w:pos="9078" w:val="left" w:leader="none"/>
        </w:tabs>
        <w:ind w:left="557"/>
      </w:pPr>
      <w:r>
        <w:rPr>
          <w:color w:val="231F20"/>
        </w:rPr>
        <w:t>工程师通知承包人改正的合理期限是</w:t>
      </w:r>
      <w:r>
        <w:rPr>
          <w:color w:val="231F20"/>
          <w:u w:val="single" w:color="231F20"/>
        </w:rPr>
        <w:t>：</w:t>
        <w:tab/>
      </w:r>
      <w:r>
        <w:rPr>
          <w:color w:val="231F20"/>
        </w:rPr>
        <w:t>。</w:t>
      </w:r>
    </w:p>
    <w:p>
      <w:pPr>
        <w:pStyle w:val="ListParagraph"/>
        <w:numPr>
          <w:ilvl w:val="2"/>
          <w:numId w:val="137"/>
        </w:numPr>
        <w:tabs>
          <w:tab w:pos="1157" w:val="left" w:leader="none"/>
        </w:tabs>
        <w:spacing w:line="240" w:lineRule="auto" w:before="109" w:after="0"/>
        <w:ind w:left="1156" w:right="0" w:hanging="599"/>
        <w:jc w:val="left"/>
        <w:rPr>
          <w:sz w:val="22"/>
        </w:rPr>
      </w:pPr>
      <w:r>
        <w:rPr>
          <w:color w:val="231F20"/>
          <w:sz w:val="22"/>
        </w:rPr>
        <w:t>承包人违约的责任</w:t>
      </w:r>
    </w:p>
    <w:p>
      <w:pPr>
        <w:pStyle w:val="BodyText"/>
        <w:tabs>
          <w:tab w:pos="9078" w:val="left" w:leader="none"/>
        </w:tabs>
        <w:ind w:left="557"/>
      </w:pPr>
      <w:r>
        <w:rPr>
          <w:color w:val="231F20"/>
        </w:rPr>
        <w:t>承包人违约责任的承担方式和计算方法</w:t>
      </w:r>
      <w:r>
        <w:rPr>
          <w:color w:val="231F20"/>
          <w:u w:val="single" w:color="231F20"/>
        </w:rPr>
        <w:t>：</w:t>
        <w:tab/>
      </w:r>
      <w:r>
        <w:rPr>
          <w:color w:val="231F20"/>
        </w:rPr>
        <w:t>。</w:t>
      </w:r>
    </w:p>
    <w:p>
      <w:pPr>
        <w:pStyle w:val="BodyText"/>
        <w:tabs>
          <w:tab w:pos="1131" w:val="left" w:leader="none"/>
        </w:tabs>
        <w:spacing w:before="103"/>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16</w:t>
      </w:r>
      <w:r>
        <w:rPr>
          <w:rFonts w:ascii="方正黑体_GBK" w:eastAsia="方正黑体_GBK" w:hint="eastAsia"/>
          <w:color w:val="231F20"/>
          <w:spacing w:val="-7"/>
        </w:rPr>
        <w:t> </w:t>
      </w:r>
      <w:r>
        <w:rPr>
          <w:rFonts w:ascii="方正黑体_GBK" w:eastAsia="方正黑体_GBK" w:hint="eastAsia"/>
          <w:color w:val="231F20"/>
        </w:rPr>
        <w:t>条</w:t>
        <w:tab/>
        <w:t>合同解除</w:t>
      </w:r>
    </w:p>
    <w:p>
      <w:pPr>
        <w:pStyle w:val="ListParagraph"/>
        <w:numPr>
          <w:ilvl w:val="1"/>
          <w:numId w:val="138"/>
        </w:numPr>
        <w:tabs>
          <w:tab w:pos="1046" w:val="left" w:leader="none"/>
        </w:tabs>
        <w:spacing w:line="240" w:lineRule="auto" w:before="116" w:after="0"/>
        <w:ind w:left="1045" w:right="0" w:hanging="488"/>
        <w:jc w:val="left"/>
        <w:rPr>
          <w:rFonts w:ascii="方正黑体_GBK" w:eastAsia="方正黑体_GBK" w:hint="eastAsia"/>
          <w:sz w:val="22"/>
        </w:rPr>
      </w:pPr>
      <w:r>
        <w:rPr>
          <w:rFonts w:ascii="方正黑体_GBK" w:eastAsia="方正黑体_GBK" w:hint="eastAsia"/>
          <w:color w:val="231F20"/>
          <w:sz w:val="22"/>
        </w:rPr>
        <w:t>由发包人解除合同</w:t>
      </w:r>
    </w:p>
    <w:p>
      <w:pPr>
        <w:pStyle w:val="ListParagraph"/>
        <w:numPr>
          <w:ilvl w:val="2"/>
          <w:numId w:val="138"/>
        </w:numPr>
        <w:tabs>
          <w:tab w:pos="1157" w:val="left" w:leader="none"/>
        </w:tabs>
        <w:spacing w:line="240" w:lineRule="auto" w:before="122" w:after="0"/>
        <w:ind w:left="1156" w:right="0" w:hanging="599"/>
        <w:jc w:val="left"/>
        <w:rPr>
          <w:sz w:val="22"/>
        </w:rPr>
      </w:pPr>
      <w:r>
        <w:rPr>
          <w:color w:val="231F20"/>
          <w:sz w:val="22"/>
        </w:rPr>
        <w:t>因承包人违约解除合同</w:t>
      </w:r>
    </w:p>
    <w:p>
      <w:pPr>
        <w:pStyle w:val="BodyText"/>
        <w:tabs>
          <w:tab w:pos="9078" w:val="left" w:leader="none"/>
        </w:tabs>
        <w:ind w:left="557"/>
      </w:pPr>
      <w:r>
        <w:rPr>
          <w:color w:val="231F20"/>
        </w:rPr>
        <w:t>双方约定可由发包人解除合同的其他事由</w:t>
      </w:r>
      <w:r>
        <w:rPr>
          <w:color w:val="231F20"/>
          <w:u w:val="single" w:color="231F20"/>
        </w:rPr>
        <w:t>：</w:t>
        <w:tab/>
      </w:r>
      <w:r>
        <w:rPr>
          <w:color w:val="231F20"/>
        </w:rPr>
        <w:t>。</w:t>
      </w:r>
    </w:p>
    <w:p>
      <w:pPr>
        <w:pStyle w:val="ListParagraph"/>
        <w:numPr>
          <w:ilvl w:val="1"/>
          <w:numId w:val="138"/>
        </w:numPr>
        <w:tabs>
          <w:tab w:pos="1046" w:val="left" w:leader="none"/>
        </w:tabs>
        <w:spacing w:line="240" w:lineRule="auto" w:before="103" w:after="0"/>
        <w:ind w:left="1045" w:right="0" w:hanging="488"/>
        <w:jc w:val="left"/>
        <w:rPr>
          <w:rFonts w:ascii="方正黑体_GBK" w:eastAsia="方正黑体_GBK" w:hint="eastAsia"/>
          <w:sz w:val="22"/>
        </w:rPr>
      </w:pPr>
      <w:r>
        <w:rPr>
          <w:rFonts w:ascii="方正黑体_GBK" w:eastAsia="方正黑体_GBK" w:hint="eastAsia"/>
          <w:color w:val="231F20"/>
          <w:sz w:val="22"/>
        </w:rPr>
        <w:t>由承包人解除合同</w:t>
      </w:r>
    </w:p>
    <w:p>
      <w:pPr>
        <w:pStyle w:val="ListParagraph"/>
        <w:numPr>
          <w:ilvl w:val="2"/>
          <w:numId w:val="138"/>
        </w:numPr>
        <w:tabs>
          <w:tab w:pos="1157" w:val="left" w:leader="none"/>
        </w:tabs>
        <w:spacing w:line="240" w:lineRule="auto" w:before="122" w:after="0"/>
        <w:ind w:left="1156" w:right="0" w:hanging="599"/>
        <w:jc w:val="left"/>
        <w:rPr>
          <w:sz w:val="22"/>
        </w:rPr>
      </w:pPr>
      <w:r>
        <w:rPr>
          <w:color w:val="231F20"/>
          <w:sz w:val="22"/>
        </w:rPr>
        <w:t>因发包人违约解除合同</w:t>
      </w:r>
    </w:p>
    <w:p>
      <w:pPr>
        <w:pStyle w:val="BodyText"/>
        <w:tabs>
          <w:tab w:pos="9078" w:val="left" w:leader="none"/>
        </w:tabs>
        <w:ind w:left="557"/>
      </w:pPr>
      <w:r>
        <w:rPr>
          <w:color w:val="231F20"/>
        </w:rPr>
        <w:t>双方约定可由承包人解除合同的其他事由</w:t>
      </w:r>
      <w:r>
        <w:rPr>
          <w:color w:val="231F20"/>
          <w:u w:val="single" w:color="231F20"/>
        </w:rPr>
        <w:t>：</w:t>
        <w:tab/>
      </w:r>
      <w:r>
        <w:rPr>
          <w:color w:val="231F20"/>
        </w:rPr>
        <w:t>。</w:t>
      </w:r>
    </w:p>
    <w:p>
      <w:pPr>
        <w:pStyle w:val="BodyText"/>
        <w:tabs>
          <w:tab w:pos="1131" w:val="left" w:leader="none"/>
        </w:tabs>
        <w:spacing w:before="103"/>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17</w:t>
      </w:r>
      <w:r>
        <w:rPr>
          <w:rFonts w:ascii="方正黑体_GBK" w:eastAsia="方正黑体_GBK" w:hint="eastAsia"/>
          <w:color w:val="231F20"/>
          <w:spacing w:val="-7"/>
        </w:rPr>
        <w:t> </w:t>
      </w:r>
      <w:r>
        <w:rPr>
          <w:rFonts w:ascii="方正黑体_GBK" w:eastAsia="方正黑体_GBK" w:hint="eastAsia"/>
          <w:color w:val="231F20"/>
        </w:rPr>
        <w:t>条</w:t>
        <w:tab/>
        <w:t>不可抗力</w:t>
      </w:r>
    </w:p>
    <w:p>
      <w:pPr>
        <w:pStyle w:val="BodyText"/>
        <w:spacing w:before="116"/>
        <w:ind w:left="557"/>
        <w:rPr>
          <w:rFonts w:ascii="方正黑体_GBK" w:eastAsia="方正黑体_GBK" w:hint="eastAsia"/>
        </w:rPr>
      </w:pPr>
      <w:r>
        <w:rPr>
          <w:rFonts w:ascii="方正黑体_GBK" w:eastAsia="方正黑体_GBK" w:hint="eastAsia"/>
          <w:color w:val="231F20"/>
        </w:rPr>
        <w:t>17.1 不可抗力的定义</w:t>
      </w:r>
    </w:p>
    <w:p>
      <w:pPr>
        <w:pStyle w:val="BodyText"/>
        <w:tabs>
          <w:tab w:pos="9188" w:val="left" w:leader="none"/>
        </w:tabs>
        <w:spacing w:before="122"/>
        <w:ind w:left="557"/>
      </w:pPr>
      <w:r>
        <w:rPr>
          <w:color w:val="231F20"/>
        </w:rPr>
        <w:t>除通用合同条件约定的不可抗力事件之外，视为不可抗力的其他情形</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BodyText"/>
        <w:ind w:left="557"/>
      </w:pPr>
      <w:r>
        <w:rPr>
          <w:color w:val="231F20"/>
        </w:rPr>
        <w:t>17.6 因不可抗力解除合同</w:t>
      </w:r>
    </w:p>
    <w:p>
      <w:pPr>
        <w:pStyle w:val="BodyText"/>
        <w:tabs>
          <w:tab w:pos="7096" w:val="left" w:leader="none"/>
        </w:tabs>
        <w:ind w:left="557"/>
      </w:pPr>
      <w:r>
        <w:rPr>
          <w:color w:val="231F20"/>
        </w:rPr>
        <w:t>合同解除后，发包人应当在商定或确定发包人应支付款项后的</w:t>
      </w:r>
      <w:r>
        <w:rPr>
          <w:color w:val="231F20"/>
          <w:u w:val="single" w:color="231F20"/>
        </w:rPr>
        <w:t> </w:t>
        <w:tab/>
      </w:r>
      <w:r>
        <w:rPr>
          <w:color w:val="231F20"/>
        </w:rPr>
        <w:t>天内完成款项的支付。</w:t>
      </w:r>
    </w:p>
    <w:p>
      <w:pPr>
        <w:pStyle w:val="BodyText"/>
        <w:tabs>
          <w:tab w:pos="1131" w:val="left" w:leader="none"/>
        </w:tabs>
        <w:spacing w:before="103"/>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18</w:t>
      </w:r>
      <w:r>
        <w:rPr>
          <w:rFonts w:ascii="方正黑体_GBK" w:eastAsia="方正黑体_GBK" w:hint="eastAsia"/>
          <w:color w:val="231F20"/>
          <w:spacing w:val="-7"/>
        </w:rPr>
        <w:t> </w:t>
      </w:r>
      <w:r>
        <w:rPr>
          <w:rFonts w:ascii="方正黑体_GBK" w:eastAsia="方正黑体_GBK" w:hint="eastAsia"/>
          <w:color w:val="231F20"/>
        </w:rPr>
        <w:t>条</w:t>
        <w:tab/>
        <w:t>保险</w:t>
      </w:r>
    </w:p>
    <w:p>
      <w:pPr>
        <w:pStyle w:val="ListParagraph"/>
        <w:numPr>
          <w:ilvl w:val="1"/>
          <w:numId w:val="139"/>
        </w:numPr>
        <w:tabs>
          <w:tab w:pos="993" w:val="left" w:leader="none"/>
        </w:tabs>
        <w:spacing w:line="240" w:lineRule="auto" w:before="122" w:after="0"/>
        <w:ind w:left="992" w:right="0" w:hanging="435"/>
        <w:jc w:val="left"/>
        <w:rPr>
          <w:sz w:val="22"/>
        </w:rPr>
      </w:pPr>
      <w:r>
        <w:rPr>
          <w:color w:val="231F20"/>
          <w:sz w:val="22"/>
        </w:rPr>
        <w:t>设计和工程保险</w:t>
      </w:r>
    </w:p>
    <w:p>
      <w:pPr>
        <w:pStyle w:val="ListParagraph"/>
        <w:numPr>
          <w:ilvl w:val="2"/>
          <w:numId w:val="139"/>
        </w:numPr>
        <w:tabs>
          <w:tab w:pos="1157" w:val="left" w:leader="none"/>
          <w:tab w:pos="9078" w:val="left" w:leader="none"/>
        </w:tabs>
        <w:spacing w:line="240" w:lineRule="auto" w:before="109" w:after="0"/>
        <w:ind w:left="1156" w:right="0" w:hanging="599"/>
        <w:jc w:val="left"/>
        <w:rPr>
          <w:sz w:val="22"/>
        </w:rPr>
      </w:pPr>
      <w:r>
        <w:rPr>
          <w:color w:val="231F20"/>
          <w:sz w:val="22"/>
        </w:rPr>
        <w:t>双方当事人关于设计和工程保险的特别约定</w:t>
      </w:r>
      <w:r>
        <w:rPr>
          <w:color w:val="231F20"/>
          <w:sz w:val="22"/>
          <w:u w:val="single" w:color="231F20"/>
        </w:rPr>
        <w:t>：</w:t>
        <w:tab/>
      </w:r>
      <w:r>
        <w:rPr>
          <w:color w:val="231F20"/>
          <w:sz w:val="22"/>
        </w:rPr>
        <w:t>。</w:t>
      </w:r>
    </w:p>
    <w:p>
      <w:pPr>
        <w:pStyle w:val="ListParagraph"/>
        <w:numPr>
          <w:ilvl w:val="2"/>
          <w:numId w:val="139"/>
        </w:numPr>
        <w:tabs>
          <w:tab w:pos="1157" w:val="left" w:leader="none"/>
          <w:tab w:pos="9078" w:val="left" w:leader="none"/>
        </w:tabs>
        <w:spacing w:line="240" w:lineRule="auto" w:before="109" w:after="0"/>
        <w:ind w:left="1156" w:right="0" w:hanging="599"/>
        <w:jc w:val="left"/>
        <w:rPr>
          <w:sz w:val="22"/>
        </w:rPr>
      </w:pPr>
      <w:r>
        <w:rPr>
          <w:color w:val="231F20"/>
          <w:sz w:val="22"/>
        </w:rPr>
        <w:t>双方当事人关于第三方责任险的特别约定</w:t>
      </w:r>
      <w:r>
        <w:rPr>
          <w:color w:val="231F20"/>
          <w:sz w:val="22"/>
          <w:u w:val="single" w:color="231F20"/>
        </w:rPr>
        <w:t>：</w:t>
        <w:tab/>
      </w:r>
      <w:r>
        <w:rPr>
          <w:color w:val="231F20"/>
          <w:sz w:val="22"/>
        </w:rPr>
        <w:t>。</w:t>
      </w:r>
    </w:p>
    <w:p>
      <w:pPr>
        <w:pStyle w:val="BodyText"/>
        <w:ind w:left="557"/>
      </w:pPr>
      <w:r>
        <w:rPr>
          <w:color w:val="231F20"/>
        </w:rPr>
        <w:t>18.2 工伤和意外伤害保险</w:t>
      </w:r>
    </w:p>
    <w:p>
      <w:pPr>
        <w:pStyle w:val="BodyText"/>
        <w:tabs>
          <w:tab w:pos="9078" w:val="left" w:leader="none"/>
        </w:tabs>
        <w:ind w:left="557"/>
      </w:pPr>
      <w:r>
        <w:rPr>
          <w:color w:val="231F20"/>
        </w:rPr>
        <w:t>18.2.3</w:t>
      </w:r>
      <w:r>
        <w:rPr>
          <w:color w:val="231F20"/>
          <w:spacing w:val="-3"/>
        </w:rPr>
        <w:t> </w:t>
      </w:r>
      <w:r>
        <w:rPr>
          <w:color w:val="231F20"/>
        </w:rPr>
        <w:t>关于工伤保险和意外伤害保险的特别约定</w:t>
      </w:r>
      <w:r>
        <w:rPr>
          <w:color w:val="231F20"/>
          <w:u w:val="single" w:color="231F20"/>
        </w:rPr>
        <w:t>：</w:t>
        <w:tab/>
      </w:r>
      <w:r>
        <w:rPr>
          <w:color w:val="231F20"/>
        </w:rPr>
        <w:t>。</w:t>
      </w:r>
    </w:p>
    <w:p>
      <w:pPr>
        <w:pStyle w:val="ListParagraph"/>
        <w:numPr>
          <w:ilvl w:val="1"/>
          <w:numId w:val="140"/>
        </w:numPr>
        <w:tabs>
          <w:tab w:pos="1046" w:val="left" w:leader="none"/>
        </w:tabs>
        <w:spacing w:line="240" w:lineRule="auto" w:before="103" w:after="0"/>
        <w:ind w:left="1045" w:right="0" w:hanging="488"/>
        <w:jc w:val="left"/>
        <w:rPr>
          <w:rFonts w:ascii="方正黑体_GBK" w:eastAsia="方正黑体_GBK" w:hint="eastAsia"/>
          <w:sz w:val="22"/>
        </w:rPr>
      </w:pPr>
      <w:r>
        <w:rPr>
          <w:rFonts w:ascii="方正黑体_GBK" w:eastAsia="方正黑体_GBK" w:hint="eastAsia"/>
          <w:color w:val="231F20"/>
          <w:sz w:val="22"/>
        </w:rPr>
        <w:t>货物保险</w:t>
      </w:r>
    </w:p>
    <w:p>
      <w:pPr>
        <w:pStyle w:val="BodyText"/>
        <w:tabs>
          <w:tab w:pos="9188" w:val="left" w:leader="none"/>
        </w:tabs>
        <w:spacing w:before="122"/>
        <w:ind w:left="557"/>
      </w:pPr>
      <w:r>
        <w:rPr>
          <w:color w:val="231F20"/>
        </w:rPr>
        <w:t>关于承包人应为其施工设备、材料、工程设备和临时工程等办理财产保险的特别约定</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1"/>
          <w:numId w:val="140"/>
        </w:numPr>
        <w:tabs>
          <w:tab w:pos="1046" w:val="left" w:leader="none"/>
        </w:tabs>
        <w:spacing w:line="240" w:lineRule="auto" w:before="103" w:after="0"/>
        <w:ind w:left="1045" w:right="0" w:hanging="488"/>
        <w:jc w:val="left"/>
        <w:rPr>
          <w:rFonts w:ascii="方正黑体_GBK" w:eastAsia="方正黑体_GBK" w:hint="eastAsia"/>
          <w:sz w:val="22"/>
        </w:rPr>
      </w:pPr>
      <w:r>
        <w:rPr>
          <w:rFonts w:ascii="方正黑体_GBK" w:eastAsia="方正黑体_GBK" w:hint="eastAsia"/>
          <w:color w:val="231F20"/>
          <w:sz w:val="22"/>
        </w:rPr>
        <w:t>其他保险</w:t>
      </w:r>
    </w:p>
    <w:p>
      <w:pPr>
        <w:pStyle w:val="BodyText"/>
        <w:tabs>
          <w:tab w:pos="9078" w:val="left" w:leader="none"/>
        </w:tabs>
        <w:spacing w:before="122"/>
        <w:ind w:left="557"/>
      </w:pPr>
      <w:r>
        <w:rPr>
          <w:color w:val="231F20"/>
        </w:rPr>
        <w:t>关于其他保险的约定</w:t>
      </w:r>
      <w:r>
        <w:rPr>
          <w:color w:val="231F20"/>
          <w:u w:val="single" w:color="231F20"/>
        </w:rPr>
        <w:t>：</w:t>
        <w:tab/>
      </w:r>
      <w:r>
        <w:rPr>
          <w:color w:val="231F20"/>
        </w:rPr>
        <w:t>。</w:t>
      </w:r>
    </w:p>
    <w:p>
      <w:pPr>
        <w:spacing w:after="0"/>
        <w:sectPr>
          <w:footerReference w:type="even" r:id="rId42"/>
          <w:footerReference w:type="default" r:id="rId43"/>
          <w:pgSz w:w="11910" w:h="16840"/>
          <w:pgMar w:footer="832" w:header="0" w:top="1580" w:bottom="1020" w:left="1300" w:right="1200"/>
          <w:pgNumType w:start="92"/>
        </w:sectPr>
      </w:pPr>
    </w:p>
    <w:p>
      <w:pPr>
        <w:pStyle w:val="ListParagraph"/>
        <w:numPr>
          <w:ilvl w:val="1"/>
          <w:numId w:val="140"/>
        </w:numPr>
        <w:tabs>
          <w:tab w:pos="1046" w:val="left" w:leader="none"/>
        </w:tabs>
        <w:spacing w:line="240" w:lineRule="auto" w:before="18" w:after="0"/>
        <w:ind w:left="1045" w:right="0" w:hanging="488"/>
        <w:jc w:val="both"/>
        <w:rPr>
          <w:rFonts w:ascii="方正黑体_GBK" w:eastAsia="方正黑体_GBK" w:hint="eastAsia"/>
          <w:sz w:val="22"/>
        </w:rPr>
      </w:pPr>
      <w:r>
        <w:rPr>
          <w:rFonts w:ascii="方正黑体_GBK" w:eastAsia="方正黑体_GBK" w:hint="eastAsia"/>
          <w:color w:val="231F20"/>
          <w:sz w:val="22"/>
        </w:rPr>
        <w:t>对各项保险的一般要求</w:t>
      </w:r>
    </w:p>
    <w:p>
      <w:pPr>
        <w:pStyle w:val="BodyText"/>
        <w:spacing w:before="122"/>
        <w:ind w:left="557"/>
        <w:jc w:val="both"/>
      </w:pPr>
      <w:r>
        <w:rPr>
          <w:color w:val="231F20"/>
        </w:rPr>
        <w:t>18.5.2 保险凭证</w:t>
      </w:r>
    </w:p>
    <w:p>
      <w:pPr>
        <w:pStyle w:val="BodyText"/>
        <w:tabs>
          <w:tab w:pos="9078" w:val="left" w:leader="none"/>
        </w:tabs>
        <w:ind w:left="557"/>
        <w:jc w:val="both"/>
      </w:pPr>
      <w:r>
        <w:rPr>
          <w:color w:val="231F20"/>
        </w:rPr>
        <w:t>保险单的条件</w:t>
      </w:r>
      <w:r>
        <w:rPr>
          <w:color w:val="231F20"/>
          <w:u w:val="single" w:color="231F20"/>
        </w:rPr>
        <w:t>：</w:t>
        <w:tab/>
      </w:r>
      <w:r>
        <w:rPr>
          <w:color w:val="231F20"/>
        </w:rPr>
        <w:t>。</w:t>
      </w:r>
    </w:p>
    <w:p>
      <w:pPr>
        <w:pStyle w:val="BodyText"/>
        <w:ind w:left="557"/>
        <w:jc w:val="both"/>
      </w:pPr>
      <w:r>
        <w:rPr>
          <w:color w:val="231F20"/>
        </w:rPr>
        <w:t>18.5.4 通知义务</w:t>
      </w:r>
    </w:p>
    <w:p>
      <w:pPr>
        <w:pStyle w:val="BodyText"/>
        <w:tabs>
          <w:tab w:pos="9078" w:val="left" w:leader="none"/>
        </w:tabs>
        <w:ind w:left="557"/>
        <w:jc w:val="both"/>
      </w:pPr>
      <w:r>
        <w:rPr>
          <w:color w:val="231F20"/>
        </w:rPr>
        <w:t>关于变更保险合同时的通知义务的约定</w:t>
      </w:r>
      <w:r>
        <w:rPr>
          <w:color w:val="231F20"/>
          <w:u w:val="single" w:color="231F20"/>
        </w:rPr>
        <w:t>：</w:t>
        <w:tab/>
      </w:r>
      <w:r>
        <w:rPr>
          <w:color w:val="231F20"/>
        </w:rPr>
        <w:t>。</w:t>
      </w:r>
    </w:p>
    <w:p>
      <w:pPr>
        <w:pStyle w:val="BodyText"/>
        <w:tabs>
          <w:tab w:pos="1131" w:val="left" w:leader="none"/>
        </w:tabs>
        <w:spacing w:before="103"/>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w:t>
      </w:r>
      <w:r>
        <w:rPr>
          <w:rFonts w:ascii="方正黑体_GBK" w:eastAsia="方正黑体_GBK" w:hint="eastAsia"/>
          <w:color w:val="231F20"/>
        </w:rPr>
        <w:t>20</w:t>
      </w:r>
      <w:r>
        <w:rPr>
          <w:rFonts w:ascii="方正黑体_GBK" w:eastAsia="方正黑体_GBK" w:hint="eastAsia"/>
          <w:color w:val="231F20"/>
          <w:spacing w:val="-7"/>
        </w:rPr>
        <w:t> </w:t>
      </w:r>
      <w:r>
        <w:rPr>
          <w:rFonts w:ascii="方正黑体_GBK" w:eastAsia="方正黑体_GBK" w:hint="eastAsia"/>
          <w:color w:val="231F20"/>
        </w:rPr>
        <w:t>条</w:t>
        <w:tab/>
        <w:t>争议解决</w:t>
      </w:r>
    </w:p>
    <w:p>
      <w:pPr>
        <w:pStyle w:val="ListParagraph"/>
        <w:numPr>
          <w:ilvl w:val="1"/>
          <w:numId w:val="141"/>
        </w:numPr>
        <w:tabs>
          <w:tab w:pos="1046" w:val="left" w:leader="none"/>
        </w:tabs>
        <w:spacing w:line="240" w:lineRule="auto" w:before="116" w:after="0"/>
        <w:ind w:left="1045" w:right="0" w:hanging="488"/>
        <w:jc w:val="both"/>
        <w:rPr>
          <w:rFonts w:ascii="方正黑体_GBK" w:eastAsia="方正黑体_GBK" w:hint="eastAsia"/>
          <w:sz w:val="22"/>
        </w:rPr>
      </w:pPr>
      <w:r>
        <w:rPr>
          <w:rFonts w:ascii="方正黑体_GBK" w:eastAsia="方正黑体_GBK" w:hint="eastAsia"/>
          <w:color w:val="231F20"/>
          <w:sz w:val="22"/>
        </w:rPr>
        <w:t>争议评审</w:t>
      </w:r>
    </w:p>
    <w:p>
      <w:pPr>
        <w:pStyle w:val="BodyText"/>
        <w:tabs>
          <w:tab w:pos="9078" w:val="left" w:leader="none"/>
        </w:tabs>
        <w:spacing w:before="122"/>
        <w:ind w:left="557"/>
        <w:jc w:val="both"/>
      </w:pPr>
      <w:r>
        <w:rPr>
          <w:color w:val="231F20"/>
        </w:rPr>
        <w:t>合同当事人是否同意将工程争议提交争议评审小组决定</w:t>
      </w:r>
      <w:r>
        <w:rPr>
          <w:color w:val="231F20"/>
          <w:u w:val="single" w:color="231F20"/>
        </w:rPr>
        <w:t>：</w:t>
        <w:tab/>
      </w:r>
      <w:r>
        <w:rPr>
          <w:color w:val="231F20"/>
        </w:rPr>
        <w:t>。</w:t>
      </w:r>
    </w:p>
    <w:p>
      <w:pPr>
        <w:pStyle w:val="ListParagraph"/>
        <w:numPr>
          <w:ilvl w:val="2"/>
          <w:numId w:val="141"/>
        </w:numPr>
        <w:tabs>
          <w:tab w:pos="1157" w:val="left" w:leader="none"/>
        </w:tabs>
        <w:spacing w:line="240" w:lineRule="auto" w:before="109" w:after="0"/>
        <w:ind w:left="1156" w:right="0" w:hanging="599"/>
        <w:jc w:val="both"/>
        <w:rPr>
          <w:sz w:val="22"/>
        </w:rPr>
      </w:pPr>
      <w:r>
        <w:rPr>
          <w:color w:val="231F20"/>
          <w:sz w:val="22"/>
        </w:rPr>
        <w:t>争议评审小组的确定</w:t>
      </w:r>
    </w:p>
    <w:p>
      <w:pPr>
        <w:pStyle w:val="BodyText"/>
        <w:tabs>
          <w:tab w:pos="9078" w:val="left" w:leader="none"/>
        </w:tabs>
        <w:spacing w:line="319" w:lineRule="auto"/>
        <w:ind w:left="557" w:right="105"/>
        <w:jc w:val="both"/>
      </w:pPr>
      <w:r>
        <w:rPr>
          <w:color w:val="231F20"/>
        </w:rPr>
        <w:t>争议评审小组成员的人数</w:t>
      </w:r>
      <w:r>
        <w:rPr>
          <w:color w:val="231F20"/>
          <w:u w:val="single" w:color="231F20"/>
        </w:rPr>
        <w:t>：</w:t>
        <w:tab/>
      </w:r>
      <w:r>
        <w:rPr>
          <w:color w:val="231F20"/>
        </w:rPr>
        <w:t>。争议评审小组成员的确定</w:t>
      </w:r>
      <w:r>
        <w:rPr>
          <w:color w:val="231F20"/>
          <w:u w:val="single" w:color="231F20"/>
        </w:rPr>
        <w:t>：</w:t>
        <w:tab/>
      </w:r>
      <w:r>
        <w:rPr>
          <w:color w:val="231F20"/>
        </w:rPr>
        <w:t>。选定争议避免 / 评审组的期限</w:t>
      </w:r>
      <w:r>
        <w:rPr>
          <w:color w:val="231F20"/>
          <w:u w:val="single" w:color="231F20"/>
        </w:rPr>
        <w:t>：</w:t>
        <w:tab/>
      </w:r>
      <w:r>
        <w:rPr>
          <w:color w:val="231F20"/>
        </w:rPr>
        <w:t>。评审机构</w:t>
      </w:r>
      <w:r>
        <w:rPr>
          <w:color w:val="231F20"/>
          <w:u w:val="single" w:color="231F20"/>
        </w:rPr>
        <w:t>：</w:t>
        <w:tab/>
      </w:r>
      <w:r>
        <w:rPr>
          <w:color w:val="231F20"/>
        </w:rPr>
        <w:t>。其他事项的约定</w:t>
      </w:r>
      <w:r>
        <w:rPr>
          <w:color w:val="231F20"/>
          <w:u w:val="single" w:color="231F20"/>
        </w:rPr>
        <w:t>：</w:t>
        <w:tab/>
      </w:r>
      <w:r>
        <w:rPr>
          <w:color w:val="231F20"/>
        </w:rPr>
        <w:t>。争议评审员报酬的承担人</w:t>
      </w:r>
      <w:r>
        <w:rPr>
          <w:color w:val="231F20"/>
          <w:u w:val="single" w:color="231F20"/>
        </w:rPr>
        <w:t>：</w:t>
        <w:tab/>
      </w:r>
      <w:r>
        <w:rPr>
          <w:color w:val="231F20"/>
        </w:rPr>
        <w:t>。</w:t>
      </w:r>
    </w:p>
    <w:p>
      <w:pPr>
        <w:pStyle w:val="ListParagraph"/>
        <w:numPr>
          <w:ilvl w:val="2"/>
          <w:numId w:val="141"/>
        </w:numPr>
        <w:tabs>
          <w:tab w:pos="1157" w:val="left" w:leader="none"/>
        </w:tabs>
        <w:spacing w:line="240" w:lineRule="auto" w:before="25" w:after="0"/>
        <w:ind w:left="1156" w:right="0" w:hanging="599"/>
        <w:jc w:val="both"/>
        <w:rPr>
          <w:sz w:val="22"/>
        </w:rPr>
      </w:pPr>
      <w:r>
        <w:rPr>
          <w:color w:val="231F20"/>
          <w:sz w:val="22"/>
        </w:rPr>
        <w:t>争议的避免</w:t>
      </w:r>
    </w:p>
    <w:p>
      <w:pPr>
        <w:pStyle w:val="BodyText"/>
        <w:tabs>
          <w:tab w:pos="9078" w:val="left" w:leader="none"/>
        </w:tabs>
        <w:spacing w:before="108"/>
        <w:ind w:left="557"/>
        <w:jc w:val="both"/>
      </w:pPr>
      <w:r>
        <w:rPr>
          <w:color w:val="231F20"/>
        </w:rPr>
        <w:t>发包人和承包人是否均出席争议避免的非正式讨论</w:t>
      </w:r>
      <w:r>
        <w:rPr>
          <w:color w:val="231F20"/>
          <w:u w:val="single" w:color="231F20"/>
        </w:rPr>
        <w:t>：</w:t>
        <w:tab/>
      </w:r>
      <w:r>
        <w:rPr>
          <w:color w:val="231F20"/>
        </w:rPr>
        <w:t>。</w:t>
      </w:r>
    </w:p>
    <w:p>
      <w:pPr>
        <w:pStyle w:val="ListParagraph"/>
        <w:numPr>
          <w:ilvl w:val="2"/>
          <w:numId w:val="141"/>
        </w:numPr>
        <w:tabs>
          <w:tab w:pos="1157" w:val="left" w:leader="none"/>
        </w:tabs>
        <w:spacing w:line="240" w:lineRule="auto" w:before="108" w:after="0"/>
        <w:ind w:left="1156" w:right="0" w:hanging="599"/>
        <w:jc w:val="both"/>
        <w:rPr>
          <w:sz w:val="22"/>
        </w:rPr>
      </w:pPr>
      <w:r>
        <w:rPr>
          <w:color w:val="231F20"/>
          <w:sz w:val="22"/>
        </w:rPr>
        <w:t>争议评审小组的决定</w:t>
      </w:r>
    </w:p>
    <w:p>
      <w:pPr>
        <w:pStyle w:val="BodyText"/>
        <w:tabs>
          <w:tab w:pos="9078" w:val="left" w:leader="none"/>
        </w:tabs>
        <w:spacing w:before="108"/>
        <w:ind w:left="557"/>
        <w:jc w:val="both"/>
      </w:pPr>
      <w:r>
        <w:rPr>
          <w:color w:val="231F20"/>
        </w:rPr>
        <w:t>关于争议评审小组的决定的特别约定</w:t>
      </w:r>
      <w:r>
        <w:rPr>
          <w:color w:val="231F20"/>
          <w:u w:val="single" w:color="231F20"/>
        </w:rPr>
        <w:t>：</w:t>
        <w:tab/>
      </w:r>
      <w:r>
        <w:rPr>
          <w:color w:val="231F20"/>
        </w:rPr>
        <w:t>。</w:t>
      </w:r>
    </w:p>
    <w:p>
      <w:pPr>
        <w:pStyle w:val="ListParagraph"/>
        <w:numPr>
          <w:ilvl w:val="1"/>
          <w:numId w:val="141"/>
        </w:numPr>
        <w:tabs>
          <w:tab w:pos="1046" w:val="left" w:leader="none"/>
        </w:tabs>
        <w:spacing w:line="240" w:lineRule="auto" w:before="102" w:after="0"/>
        <w:ind w:left="1045" w:right="0" w:hanging="488"/>
        <w:jc w:val="both"/>
        <w:rPr>
          <w:rFonts w:ascii="方正黑体_GBK" w:eastAsia="方正黑体_GBK" w:hint="eastAsia"/>
          <w:sz w:val="22"/>
        </w:rPr>
      </w:pPr>
      <w:r>
        <w:rPr>
          <w:rFonts w:ascii="方正黑体_GBK" w:eastAsia="方正黑体_GBK" w:hint="eastAsia"/>
          <w:color w:val="231F20"/>
          <w:sz w:val="22"/>
        </w:rPr>
        <w:t>仲裁或诉讼</w:t>
      </w:r>
    </w:p>
    <w:p>
      <w:pPr>
        <w:pStyle w:val="BodyText"/>
        <w:tabs>
          <w:tab w:pos="5613" w:val="left" w:leader="none"/>
        </w:tabs>
        <w:spacing w:before="121"/>
        <w:ind w:left="557"/>
        <w:jc w:val="both"/>
      </w:pPr>
      <w:r>
        <w:rPr>
          <w:color w:val="231F20"/>
        </w:rPr>
        <w:t>因合同及合同有关事项发生的争议，按下列第</w:t>
      </w:r>
      <w:r>
        <w:rPr>
          <w:color w:val="231F20"/>
          <w:u w:val="single" w:color="231F20"/>
        </w:rPr>
        <w:t> </w:t>
        <w:tab/>
      </w:r>
      <w:r>
        <w:rPr>
          <w:color w:val="231F20"/>
        </w:rPr>
        <w:t>种方式解决：</w:t>
      </w:r>
    </w:p>
    <w:p>
      <w:pPr>
        <w:pStyle w:val="BodyText"/>
        <w:tabs>
          <w:tab w:pos="2817" w:val="left" w:leader="none"/>
        </w:tabs>
        <w:spacing w:before="108"/>
        <w:ind w:left="447"/>
      </w:pPr>
      <w:r>
        <w:rPr>
          <w:color w:val="231F20"/>
        </w:rPr>
        <w:t>（</w:t>
      </w:r>
      <w:r>
        <w:rPr>
          <w:color w:val="231F20"/>
          <w:spacing w:val="-28"/>
        </w:rPr>
        <w:t> </w:t>
      </w:r>
      <w:r>
        <w:rPr>
          <w:color w:val="231F20"/>
        </w:rPr>
        <w:t>1）向</w:t>
      </w:r>
      <w:r>
        <w:rPr>
          <w:color w:val="231F20"/>
          <w:u w:val="single" w:color="231F20"/>
        </w:rPr>
        <w:t> </w:t>
        <w:tab/>
      </w:r>
      <w:r>
        <w:rPr>
          <w:color w:val="231F20"/>
        </w:rPr>
        <w:t>仲裁委员会申请仲裁；</w:t>
      </w:r>
    </w:p>
    <w:p>
      <w:pPr>
        <w:pStyle w:val="BodyText"/>
        <w:tabs>
          <w:tab w:pos="2597" w:val="left" w:leader="none"/>
        </w:tabs>
        <w:spacing w:before="108"/>
        <w:ind w:left="447"/>
      </w:pPr>
      <w:r>
        <w:rPr>
          <w:color w:val="231F20"/>
        </w:rPr>
        <w:t>（</w:t>
      </w:r>
      <w:r>
        <w:rPr>
          <w:color w:val="231F20"/>
          <w:spacing w:val="-28"/>
        </w:rPr>
        <w:t> </w:t>
      </w:r>
      <w:r>
        <w:rPr>
          <w:color w:val="231F20"/>
        </w:rPr>
        <w:t>2）向</w:t>
      </w:r>
      <w:r>
        <w:rPr>
          <w:color w:val="231F20"/>
          <w:u w:val="single" w:color="231F20"/>
        </w:rPr>
        <w:t> </w:t>
        <w:tab/>
      </w:r>
      <w:r>
        <w:rPr>
          <w:color w:val="231F20"/>
        </w:rPr>
        <w:t>人民法院起诉。</w:t>
      </w:r>
    </w:p>
    <w:p>
      <w:pPr>
        <w:spacing w:after="0"/>
        <w:sectPr>
          <w:pgSz w:w="11910" w:h="16840"/>
          <w:pgMar w:header="0" w:footer="832" w:top="1580" w:bottom="1020" w:left="1300" w:right="1200"/>
        </w:sectPr>
      </w:pPr>
    </w:p>
    <w:p>
      <w:pPr>
        <w:pStyle w:val="BodyText"/>
        <w:spacing w:before="0"/>
        <w:ind w:left="0"/>
        <w:rPr>
          <w:sz w:val="20"/>
        </w:rPr>
      </w:pPr>
    </w:p>
    <w:p>
      <w:pPr>
        <w:pStyle w:val="BodyText"/>
        <w:spacing w:before="0"/>
        <w:ind w:left="0"/>
        <w:rPr>
          <w:sz w:val="20"/>
        </w:rPr>
      </w:pPr>
    </w:p>
    <w:p>
      <w:pPr>
        <w:spacing w:before="166"/>
        <w:ind w:left="379" w:right="0" w:firstLine="0"/>
        <w:jc w:val="center"/>
        <w:rPr>
          <w:rFonts w:ascii="方正黑体_GBK" w:eastAsia="方正黑体_GBK" w:hint="eastAsia"/>
          <w:sz w:val="30"/>
        </w:rPr>
      </w:pPr>
      <w:r>
        <w:rPr>
          <w:rFonts w:ascii="方正黑体_GBK" w:eastAsia="方正黑体_GBK" w:hint="eastAsia"/>
          <w:color w:val="231F20"/>
          <w:sz w:val="30"/>
        </w:rPr>
        <w:t>专用合同条件附件</w:t>
      </w:r>
    </w:p>
    <w:p>
      <w:pPr>
        <w:pStyle w:val="BodyText"/>
        <w:spacing w:before="7"/>
        <w:ind w:left="0"/>
        <w:rPr>
          <w:rFonts w:ascii="方正黑体_GBK"/>
          <w:sz w:val="25"/>
        </w:rPr>
      </w:pPr>
    </w:p>
    <w:p>
      <w:pPr>
        <w:pStyle w:val="BodyText"/>
        <w:spacing w:before="0"/>
        <w:ind w:left="557"/>
      </w:pPr>
      <w:r>
        <w:rPr>
          <w:color w:val="231F20"/>
        </w:rPr>
        <w:t>附件 1 ：发包人要求</w:t>
      </w:r>
    </w:p>
    <w:p>
      <w:pPr>
        <w:pStyle w:val="BodyText"/>
        <w:spacing w:line="319" w:lineRule="auto"/>
        <w:ind w:left="557" w:right="4835"/>
      </w:pPr>
      <w:r>
        <w:rPr>
          <w:color w:val="231F20"/>
        </w:rPr>
        <w:t>附件 2 ：发包人供应材料设备一览表附件 3 ：工程质量保修书</w:t>
      </w:r>
    </w:p>
    <w:p>
      <w:pPr>
        <w:pStyle w:val="BodyText"/>
        <w:spacing w:line="319" w:lineRule="auto" w:before="26"/>
        <w:ind w:left="557" w:right="5342"/>
        <w:jc w:val="both"/>
      </w:pPr>
      <w:r>
        <w:rPr>
          <w:color w:val="231F20"/>
        </w:rPr>
        <w:t>附件 4</w:t>
      </w:r>
      <w:r>
        <w:rPr>
          <w:color w:val="231F20"/>
          <w:spacing w:val="-8"/>
        </w:rPr>
        <w:t> ：主要建设工程文件目录附件 5</w:t>
      </w:r>
      <w:r>
        <w:rPr>
          <w:color w:val="231F20"/>
          <w:spacing w:val="-9"/>
        </w:rPr>
        <w:t> ：承包人主要管理人员表附件 6 ：价格指数权重表</w:t>
      </w:r>
    </w:p>
    <w:p>
      <w:pPr>
        <w:spacing w:after="0" w:line="319" w:lineRule="auto"/>
        <w:jc w:val="both"/>
        <w:sectPr>
          <w:pgSz w:w="11910" w:h="16840"/>
          <w:pgMar w:header="0" w:footer="832" w:top="1580" w:bottom="1020" w:left="1300" w:right="1680"/>
        </w:sectPr>
      </w:pPr>
    </w:p>
    <w:p>
      <w:pPr>
        <w:pStyle w:val="BodyText"/>
        <w:spacing w:before="18"/>
        <w:ind w:left="557"/>
        <w:rPr>
          <w:rFonts w:ascii="方正黑体_GBK" w:eastAsia="方正黑体_GBK" w:hint="eastAsia"/>
        </w:rPr>
      </w:pPr>
      <w:r>
        <w:rPr>
          <w:rFonts w:ascii="方正黑体_GBK" w:eastAsia="方正黑体_GBK" w:hint="eastAsia"/>
          <w:color w:val="231F20"/>
          <w:spacing w:val="-3"/>
        </w:rPr>
        <w:t>附件 </w:t>
      </w:r>
      <w:r>
        <w:rPr>
          <w:rFonts w:ascii="方正黑体_GBK" w:eastAsia="方正黑体_GBK" w:hint="eastAsia"/>
          <w:color w:val="231F20"/>
        </w:rPr>
        <w:t>1</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《发包人要求》</w:t>
      </w:r>
    </w:p>
    <w:p>
      <w:pPr>
        <w:spacing w:after="0"/>
        <w:sectPr>
          <w:pgSz w:w="11910" w:h="16840"/>
          <w:pgMar w:header="0" w:footer="832" w:top="1580" w:bottom="1020" w:left="1300" w:right="1300"/>
          <w:cols w:num="2" w:equalWidth="0">
            <w:col w:w="1175" w:space="2011"/>
            <w:col w:w="6124"/>
          </w:cols>
        </w:sectPr>
      </w:pPr>
    </w:p>
    <w:p>
      <w:pPr>
        <w:pStyle w:val="BodyText"/>
        <w:spacing w:line="319" w:lineRule="auto" w:before="79"/>
        <w:ind w:right="113" w:firstLine="330"/>
        <w:jc w:val="both"/>
      </w:pPr>
      <w:r>
        <w:rPr>
          <w:color w:val="231F20"/>
          <w:spacing w:val="-4"/>
        </w:rPr>
        <w:t>《发包人要求》应尽可能清晰准确，对于可以进行定量评估的工作，《发包人要求》不仅应明确规定其产能、功能、用途、质量、环境、安全，并且要规定偏离的范围和计算方法，以及检验、试验、试运行的具体要求。对于承包人负责提供的有关设备和服务，对发包人人员进行培训和提供一些消耗品等，在《发包人要求》中应一并明确规定。</w:t>
      </w:r>
    </w:p>
    <w:p>
      <w:pPr>
        <w:pStyle w:val="BodyText"/>
        <w:spacing w:before="26"/>
        <w:ind w:left="447"/>
      </w:pPr>
      <w:r>
        <w:rPr>
          <w:color w:val="231F20"/>
        </w:rPr>
        <w:t>《发包人要求》通常包括但不限于以下内容：</w:t>
      </w:r>
    </w:p>
    <w:p>
      <w:pPr>
        <w:pStyle w:val="BodyText"/>
        <w:spacing w:before="103"/>
        <w:ind w:left="557"/>
        <w:rPr>
          <w:rFonts w:ascii="方正黑体_GBK" w:eastAsia="方正黑体_GBK" w:hint="eastAsia"/>
        </w:rPr>
      </w:pPr>
      <w:r>
        <w:rPr>
          <w:rFonts w:ascii="方正黑体_GBK" w:eastAsia="方正黑体_GBK" w:hint="eastAsia"/>
          <w:color w:val="231F20"/>
        </w:rPr>
        <w:t>一、功能要求</w:t>
      </w:r>
    </w:p>
    <w:p>
      <w:pPr>
        <w:pStyle w:val="BodyText"/>
        <w:spacing w:before="122"/>
        <w:ind w:left="447"/>
      </w:pPr>
      <w:r>
        <w:rPr>
          <w:color w:val="231F20"/>
        </w:rPr>
        <w:t>（一）工程目的。</w:t>
      </w:r>
    </w:p>
    <w:p>
      <w:pPr>
        <w:pStyle w:val="BodyText"/>
        <w:ind w:left="447"/>
      </w:pPr>
      <w:r>
        <w:rPr>
          <w:color w:val="231F20"/>
        </w:rPr>
        <w:t>（二）工程规模。</w:t>
      </w:r>
    </w:p>
    <w:p>
      <w:pPr>
        <w:pStyle w:val="BodyText"/>
        <w:ind w:left="447"/>
      </w:pPr>
      <w:r>
        <w:rPr>
          <w:color w:val="231F20"/>
        </w:rPr>
        <w:t>（三）性能保证指标（性能保证表</w:t>
      </w:r>
      <w:r>
        <w:rPr>
          <w:color w:val="231F20"/>
          <w:spacing w:val="-83"/>
        </w:rPr>
        <w:t>）</w:t>
      </w:r>
      <w:r>
        <w:rPr>
          <w:color w:val="231F20"/>
        </w:rPr>
        <w:t>。</w:t>
      </w:r>
    </w:p>
    <w:p>
      <w:pPr>
        <w:pStyle w:val="BodyText"/>
        <w:ind w:left="447"/>
      </w:pPr>
      <w:r>
        <w:rPr>
          <w:color w:val="231F20"/>
        </w:rPr>
        <w:t>（四）产能保证指标。</w:t>
      </w:r>
    </w:p>
    <w:p>
      <w:pPr>
        <w:pStyle w:val="BodyText"/>
        <w:spacing w:before="103"/>
        <w:ind w:left="557"/>
        <w:rPr>
          <w:rFonts w:ascii="方正黑体_GBK" w:eastAsia="方正黑体_GBK" w:hint="eastAsia"/>
        </w:rPr>
      </w:pPr>
      <w:r>
        <w:rPr>
          <w:rFonts w:ascii="方正黑体_GBK" w:eastAsia="方正黑体_GBK" w:hint="eastAsia"/>
          <w:color w:val="231F20"/>
        </w:rPr>
        <w:t>二、工程范围</w:t>
      </w:r>
    </w:p>
    <w:p>
      <w:pPr>
        <w:pStyle w:val="BodyText"/>
        <w:spacing w:before="122"/>
        <w:ind w:left="447"/>
      </w:pPr>
      <w:r>
        <w:rPr>
          <w:color w:val="231F20"/>
        </w:rPr>
        <w:t>（一）概述</w:t>
      </w:r>
    </w:p>
    <w:p>
      <w:pPr>
        <w:pStyle w:val="BodyText"/>
        <w:ind w:left="447"/>
      </w:pPr>
      <w:r>
        <w:rPr>
          <w:color w:val="231F20"/>
        </w:rPr>
        <w:t>（二）包括的工作</w:t>
      </w:r>
    </w:p>
    <w:p>
      <w:pPr>
        <w:pStyle w:val="ListParagraph"/>
        <w:numPr>
          <w:ilvl w:val="0"/>
          <w:numId w:val="142"/>
        </w:numPr>
        <w:tabs>
          <w:tab w:pos="775" w:val="left" w:leader="none"/>
        </w:tabs>
        <w:spacing w:line="240" w:lineRule="auto" w:before="109" w:after="0"/>
        <w:ind w:left="774" w:right="0" w:hanging="217"/>
        <w:jc w:val="left"/>
        <w:rPr>
          <w:sz w:val="22"/>
        </w:rPr>
      </w:pPr>
      <w:r>
        <w:rPr>
          <w:color w:val="231F20"/>
          <w:sz w:val="22"/>
        </w:rPr>
        <w:t>永久工程的设计、采购、施工范围。</w:t>
      </w:r>
    </w:p>
    <w:p>
      <w:pPr>
        <w:pStyle w:val="ListParagraph"/>
        <w:numPr>
          <w:ilvl w:val="0"/>
          <w:numId w:val="142"/>
        </w:numPr>
        <w:tabs>
          <w:tab w:pos="775" w:val="left" w:leader="none"/>
        </w:tabs>
        <w:spacing w:line="240" w:lineRule="auto" w:before="109" w:after="0"/>
        <w:ind w:left="774" w:right="0" w:hanging="217"/>
        <w:jc w:val="left"/>
        <w:rPr>
          <w:sz w:val="22"/>
        </w:rPr>
      </w:pPr>
      <w:r>
        <w:rPr>
          <w:color w:val="231F20"/>
          <w:sz w:val="22"/>
        </w:rPr>
        <w:t>临时工程的设计与施工范围。</w:t>
      </w:r>
    </w:p>
    <w:p>
      <w:pPr>
        <w:pStyle w:val="ListParagraph"/>
        <w:numPr>
          <w:ilvl w:val="0"/>
          <w:numId w:val="142"/>
        </w:numPr>
        <w:tabs>
          <w:tab w:pos="775" w:val="left" w:leader="none"/>
        </w:tabs>
        <w:spacing w:line="240" w:lineRule="auto" w:before="109" w:after="0"/>
        <w:ind w:left="774" w:right="0" w:hanging="217"/>
        <w:jc w:val="left"/>
        <w:rPr>
          <w:sz w:val="22"/>
        </w:rPr>
      </w:pPr>
      <w:r>
        <w:rPr>
          <w:color w:val="231F20"/>
          <w:sz w:val="22"/>
        </w:rPr>
        <w:t>竣工验收工作范围。</w:t>
      </w:r>
    </w:p>
    <w:p>
      <w:pPr>
        <w:pStyle w:val="ListParagraph"/>
        <w:numPr>
          <w:ilvl w:val="0"/>
          <w:numId w:val="142"/>
        </w:numPr>
        <w:tabs>
          <w:tab w:pos="775" w:val="left" w:leader="none"/>
        </w:tabs>
        <w:spacing w:line="240" w:lineRule="auto" w:before="109" w:after="0"/>
        <w:ind w:left="774" w:right="0" w:hanging="217"/>
        <w:jc w:val="left"/>
        <w:rPr>
          <w:sz w:val="22"/>
        </w:rPr>
      </w:pPr>
      <w:r>
        <w:rPr>
          <w:color w:val="231F20"/>
          <w:sz w:val="22"/>
        </w:rPr>
        <w:t>技术服务工作范围。</w:t>
      </w:r>
    </w:p>
    <w:p>
      <w:pPr>
        <w:pStyle w:val="ListParagraph"/>
        <w:numPr>
          <w:ilvl w:val="0"/>
          <w:numId w:val="142"/>
        </w:numPr>
        <w:tabs>
          <w:tab w:pos="775" w:val="left" w:leader="none"/>
        </w:tabs>
        <w:spacing w:line="240" w:lineRule="auto" w:before="109" w:after="0"/>
        <w:ind w:left="774" w:right="0" w:hanging="217"/>
        <w:jc w:val="left"/>
        <w:rPr>
          <w:sz w:val="22"/>
        </w:rPr>
      </w:pPr>
      <w:r>
        <w:rPr>
          <w:color w:val="231F20"/>
          <w:sz w:val="22"/>
        </w:rPr>
        <w:t>培训工作范围。</w:t>
      </w:r>
    </w:p>
    <w:p>
      <w:pPr>
        <w:pStyle w:val="ListParagraph"/>
        <w:numPr>
          <w:ilvl w:val="0"/>
          <w:numId w:val="142"/>
        </w:numPr>
        <w:tabs>
          <w:tab w:pos="775" w:val="left" w:leader="none"/>
        </w:tabs>
        <w:spacing w:line="240" w:lineRule="auto" w:before="109" w:after="0"/>
        <w:ind w:left="774" w:right="0" w:hanging="217"/>
        <w:jc w:val="left"/>
        <w:rPr>
          <w:sz w:val="22"/>
        </w:rPr>
      </w:pPr>
      <w:r>
        <w:rPr>
          <w:color w:val="231F20"/>
          <w:sz w:val="22"/>
        </w:rPr>
        <w:t>保修工作范围。</w:t>
      </w:r>
    </w:p>
    <w:p>
      <w:pPr>
        <w:pStyle w:val="BodyText"/>
        <w:ind w:left="447"/>
      </w:pPr>
      <w:r>
        <w:rPr>
          <w:color w:val="231F20"/>
        </w:rPr>
        <w:t>（三）工作界区</w:t>
      </w:r>
    </w:p>
    <w:p>
      <w:pPr>
        <w:pStyle w:val="BodyText"/>
        <w:ind w:left="447"/>
      </w:pPr>
      <w:r>
        <w:rPr>
          <w:color w:val="231F20"/>
        </w:rPr>
        <w:t>（四）发包人提供的现场条件</w:t>
      </w:r>
    </w:p>
    <w:p>
      <w:pPr>
        <w:pStyle w:val="ListParagraph"/>
        <w:numPr>
          <w:ilvl w:val="0"/>
          <w:numId w:val="143"/>
        </w:numPr>
        <w:tabs>
          <w:tab w:pos="775" w:val="left" w:leader="none"/>
        </w:tabs>
        <w:spacing w:line="240" w:lineRule="auto" w:before="109" w:after="0"/>
        <w:ind w:left="774" w:right="0" w:hanging="217"/>
        <w:jc w:val="left"/>
        <w:rPr>
          <w:sz w:val="22"/>
        </w:rPr>
      </w:pPr>
      <w:r>
        <w:rPr>
          <w:color w:val="231F20"/>
          <w:sz w:val="22"/>
        </w:rPr>
        <w:t>施工用电。</w:t>
      </w:r>
    </w:p>
    <w:p>
      <w:pPr>
        <w:pStyle w:val="ListParagraph"/>
        <w:numPr>
          <w:ilvl w:val="0"/>
          <w:numId w:val="143"/>
        </w:numPr>
        <w:tabs>
          <w:tab w:pos="775" w:val="left" w:leader="none"/>
        </w:tabs>
        <w:spacing w:line="240" w:lineRule="auto" w:before="109" w:after="0"/>
        <w:ind w:left="774" w:right="0" w:hanging="217"/>
        <w:jc w:val="left"/>
        <w:rPr>
          <w:sz w:val="22"/>
        </w:rPr>
      </w:pPr>
      <w:r>
        <w:rPr>
          <w:color w:val="231F20"/>
          <w:sz w:val="22"/>
        </w:rPr>
        <w:t>施工用水。</w:t>
      </w:r>
    </w:p>
    <w:p>
      <w:pPr>
        <w:pStyle w:val="ListParagraph"/>
        <w:numPr>
          <w:ilvl w:val="0"/>
          <w:numId w:val="143"/>
        </w:numPr>
        <w:tabs>
          <w:tab w:pos="775" w:val="left" w:leader="none"/>
        </w:tabs>
        <w:spacing w:line="240" w:lineRule="auto" w:before="109" w:after="0"/>
        <w:ind w:left="774" w:right="0" w:hanging="217"/>
        <w:jc w:val="left"/>
        <w:rPr>
          <w:sz w:val="22"/>
        </w:rPr>
      </w:pPr>
      <w:r>
        <w:rPr>
          <w:color w:val="231F20"/>
          <w:sz w:val="22"/>
        </w:rPr>
        <w:t>施工排水。</w:t>
      </w:r>
    </w:p>
    <w:p>
      <w:pPr>
        <w:pStyle w:val="ListParagraph"/>
        <w:numPr>
          <w:ilvl w:val="0"/>
          <w:numId w:val="143"/>
        </w:numPr>
        <w:tabs>
          <w:tab w:pos="775" w:val="left" w:leader="none"/>
        </w:tabs>
        <w:spacing w:line="240" w:lineRule="auto" w:before="109" w:after="0"/>
        <w:ind w:left="774" w:right="0" w:hanging="217"/>
        <w:jc w:val="left"/>
        <w:rPr>
          <w:sz w:val="22"/>
        </w:rPr>
      </w:pPr>
      <w:r>
        <w:rPr>
          <w:color w:val="231F20"/>
          <w:sz w:val="22"/>
        </w:rPr>
        <w:t>施工道路。</w:t>
      </w:r>
    </w:p>
    <w:p>
      <w:pPr>
        <w:pStyle w:val="BodyText"/>
        <w:ind w:left="447"/>
      </w:pPr>
      <w:r>
        <w:rPr>
          <w:color w:val="231F20"/>
        </w:rPr>
        <w:t>（五）发包人提供的技术文件</w:t>
      </w:r>
    </w:p>
    <w:p>
      <w:pPr>
        <w:pStyle w:val="BodyText"/>
        <w:ind w:left="557"/>
      </w:pPr>
      <w:r>
        <w:rPr>
          <w:color w:val="231F20"/>
        </w:rPr>
        <w:t>除另有批准外，承包人的工作需要遵照发包人的下列技术文件 :</w:t>
      </w:r>
    </w:p>
    <w:p>
      <w:pPr>
        <w:pStyle w:val="ListParagraph"/>
        <w:numPr>
          <w:ilvl w:val="0"/>
          <w:numId w:val="144"/>
        </w:numPr>
        <w:tabs>
          <w:tab w:pos="775" w:val="left" w:leader="none"/>
        </w:tabs>
        <w:spacing w:line="240" w:lineRule="auto" w:before="109" w:after="0"/>
        <w:ind w:left="774" w:right="0" w:hanging="217"/>
        <w:jc w:val="left"/>
        <w:rPr>
          <w:sz w:val="22"/>
        </w:rPr>
      </w:pPr>
      <w:r>
        <w:rPr>
          <w:color w:val="231F20"/>
          <w:sz w:val="22"/>
        </w:rPr>
        <w:t>发包人需求任务书。</w:t>
      </w:r>
    </w:p>
    <w:p>
      <w:pPr>
        <w:pStyle w:val="ListParagraph"/>
        <w:numPr>
          <w:ilvl w:val="0"/>
          <w:numId w:val="144"/>
        </w:numPr>
        <w:tabs>
          <w:tab w:pos="775" w:val="left" w:leader="none"/>
        </w:tabs>
        <w:spacing w:line="240" w:lineRule="auto" w:before="109" w:after="0"/>
        <w:ind w:left="774" w:right="0" w:hanging="217"/>
        <w:jc w:val="left"/>
        <w:rPr>
          <w:sz w:val="22"/>
        </w:rPr>
      </w:pPr>
      <w:r>
        <w:rPr>
          <w:color w:val="231F20"/>
          <w:sz w:val="22"/>
        </w:rPr>
        <w:t>发包人已完成的设计文件。</w:t>
      </w:r>
    </w:p>
    <w:p>
      <w:pPr>
        <w:spacing w:after="0" w:line="240" w:lineRule="auto"/>
        <w:jc w:val="left"/>
        <w:rPr>
          <w:sz w:val="22"/>
        </w:rPr>
        <w:sectPr>
          <w:type w:val="continuous"/>
          <w:pgSz w:w="11910" w:h="16840"/>
          <w:pgMar w:top="1580" w:bottom="1020" w:left="1300" w:right="1300"/>
        </w:sectPr>
      </w:pPr>
    </w:p>
    <w:p>
      <w:pPr>
        <w:pStyle w:val="BodyText"/>
        <w:spacing w:line="326" w:lineRule="auto" w:before="18"/>
        <w:ind w:left="557" w:right="5973"/>
        <w:rPr>
          <w:rFonts w:ascii="方正黑体_GBK" w:eastAsia="方正黑体_GBK" w:hint="eastAsia"/>
        </w:rPr>
      </w:pPr>
      <w:r>
        <w:rPr>
          <w:rFonts w:ascii="方正黑体_GBK" w:eastAsia="方正黑体_GBK" w:hint="eastAsia"/>
          <w:color w:val="231F20"/>
        </w:rPr>
        <w:t>三、工艺安排或要求（如有） 四、时间要求</w:t>
      </w:r>
    </w:p>
    <w:p>
      <w:pPr>
        <w:pStyle w:val="BodyText"/>
        <w:spacing w:before="33"/>
        <w:ind w:left="447"/>
      </w:pPr>
      <w:r>
        <w:rPr>
          <w:color w:val="231F20"/>
        </w:rPr>
        <w:t>（一）开始工作时间。</w:t>
      </w:r>
    </w:p>
    <w:p>
      <w:pPr>
        <w:pStyle w:val="BodyText"/>
        <w:ind w:left="447"/>
      </w:pPr>
      <w:r>
        <w:rPr>
          <w:color w:val="231F20"/>
        </w:rPr>
        <w:t>（二）设计完成时间。</w:t>
      </w:r>
    </w:p>
    <w:p>
      <w:pPr>
        <w:pStyle w:val="BodyText"/>
        <w:ind w:left="447"/>
      </w:pPr>
      <w:r>
        <w:rPr>
          <w:color w:val="231F20"/>
        </w:rPr>
        <w:t>（三）进度计划。</w:t>
      </w:r>
    </w:p>
    <w:p>
      <w:pPr>
        <w:pStyle w:val="BodyText"/>
        <w:ind w:left="447"/>
      </w:pPr>
      <w:r>
        <w:rPr>
          <w:color w:val="231F20"/>
        </w:rPr>
        <w:t>（四）竣工时间。</w:t>
      </w:r>
    </w:p>
    <w:p>
      <w:pPr>
        <w:pStyle w:val="BodyText"/>
        <w:ind w:left="447"/>
      </w:pPr>
      <w:r>
        <w:rPr>
          <w:color w:val="231F20"/>
        </w:rPr>
        <w:t>（五）缺陷责任期。</w:t>
      </w:r>
    </w:p>
    <w:p>
      <w:pPr>
        <w:pStyle w:val="BodyText"/>
        <w:ind w:left="447"/>
      </w:pPr>
      <w:r>
        <w:rPr>
          <w:color w:val="231F20"/>
        </w:rPr>
        <w:t>（六）其他时间要求。</w:t>
      </w:r>
    </w:p>
    <w:p>
      <w:pPr>
        <w:pStyle w:val="BodyText"/>
        <w:spacing w:before="103"/>
        <w:ind w:left="557"/>
        <w:rPr>
          <w:rFonts w:ascii="方正黑体_GBK" w:eastAsia="方正黑体_GBK" w:hint="eastAsia"/>
        </w:rPr>
      </w:pPr>
      <w:r>
        <w:rPr>
          <w:rFonts w:ascii="方正黑体_GBK" w:eastAsia="方正黑体_GBK" w:hint="eastAsia"/>
          <w:color w:val="231F20"/>
        </w:rPr>
        <w:t>五、技术要求</w:t>
      </w:r>
    </w:p>
    <w:p>
      <w:pPr>
        <w:pStyle w:val="BodyText"/>
        <w:spacing w:before="122"/>
        <w:ind w:left="447"/>
      </w:pPr>
      <w:r>
        <w:rPr>
          <w:color w:val="231F20"/>
        </w:rPr>
        <w:t>（一）设计阶段和设计任务。</w:t>
      </w:r>
    </w:p>
    <w:p>
      <w:pPr>
        <w:pStyle w:val="BodyText"/>
        <w:ind w:left="447"/>
      </w:pPr>
      <w:r>
        <w:rPr>
          <w:color w:val="231F20"/>
        </w:rPr>
        <w:t>（二）设计标准和规范。</w:t>
      </w:r>
    </w:p>
    <w:p>
      <w:pPr>
        <w:pStyle w:val="BodyText"/>
        <w:ind w:left="447"/>
      </w:pPr>
      <w:r>
        <w:rPr>
          <w:color w:val="231F20"/>
        </w:rPr>
        <w:t>（三）技术标准和要求。</w:t>
      </w:r>
    </w:p>
    <w:p>
      <w:pPr>
        <w:pStyle w:val="BodyText"/>
        <w:ind w:left="447"/>
      </w:pPr>
      <w:r>
        <w:rPr>
          <w:color w:val="231F20"/>
        </w:rPr>
        <w:t>（四）质量标准。</w:t>
      </w:r>
    </w:p>
    <w:p>
      <w:pPr>
        <w:pStyle w:val="BodyText"/>
        <w:ind w:left="447"/>
      </w:pPr>
      <w:r>
        <w:rPr>
          <w:color w:val="231F20"/>
        </w:rPr>
        <w:t>（五）设计、施工和设备监造、试验（如有</w:t>
      </w:r>
      <w:r>
        <w:rPr>
          <w:color w:val="231F20"/>
          <w:spacing w:val="-83"/>
        </w:rPr>
        <w:t>）</w:t>
      </w:r>
      <w:r>
        <w:rPr>
          <w:color w:val="231F20"/>
        </w:rPr>
        <w:t>。</w:t>
      </w:r>
    </w:p>
    <w:p>
      <w:pPr>
        <w:pStyle w:val="BodyText"/>
        <w:ind w:left="447"/>
      </w:pPr>
      <w:r>
        <w:rPr>
          <w:color w:val="231F20"/>
        </w:rPr>
        <w:t>（六）样品。</w:t>
      </w:r>
    </w:p>
    <w:p>
      <w:pPr>
        <w:pStyle w:val="BodyText"/>
        <w:spacing w:line="319" w:lineRule="auto"/>
        <w:ind w:right="215" w:firstLine="330"/>
      </w:pPr>
      <w:r>
        <w:rPr>
          <w:color w:val="231F20"/>
        </w:rPr>
        <w:t>（七）发包人提供的其他条件，如发包人或其委托的第三人提供的设计、工艺包、用于试验检验的工器具等，以及据此对承包人提出的予以配套的要求。</w:t>
      </w:r>
    </w:p>
    <w:p>
      <w:pPr>
        <w:pStyle w:val="BodyText"/>
        <w:spacing w:before="19"/>
        <w:ind w:left="557"/>
        <w:rPr>
          <w:rFonts w:ascii="方正黑体_GBK" w:eastAsia="方正黑体_GBK" w:hint="eastAsia"/>
        </w:rPr>
      </w:pPr>
      <w:r>
        <w:rPr>
          <w:rFonts w:ascii="方正黑体_GBK" w:eastAsia="方正黑体_GBK" w:hint="eastAsia"/>
          <w:color w:val="231F20"/>
        </w:rPr>
        <w:t>六、竣工试验</w:t>
      </w:r>
    </w:p>
    <w:p>
      <w:pPr>
        <w:pStyle w:val="BodyText"/>
        <w:spacing w:before="121"/>
        <w:ind w:left="447"/>
      </w:pPr>
      <w:r>
        <w:rPr>
          <w:color w:val="231F20"/>
        </w:rPr>
        <w:t>（一）第一阶段，如对单车试验等的要求，包括试验前准备。</w:t>
      </w:r>
    </w:p>
    <w:p>
      <w:pPr>
        <w:pStyle w:val="BodyText"/>
        <w:spacing w:line="319" w:lineRule="auto" w:before="108"/>
        <w:ind w:right="215" w:firstLine="330"/>
      </w:pPr>
      <w:r>
        <w:rPr>
          <w:color w:val="231F20"/>
        </w:rPr>
        <w:t>（二）第二阶段，如对联动试车、投料试车等的要求，包括人员、设备、材料、燃料、电力、消耗品、工具等必要条件。</w:t>
      </w:r>
    </w:p>
    <w:p>
      <w:pPr>
        <w:pStyle w:val="BodyText"/>
        <w:spacing w:line="319" w:lineRule="auto" w:before="25"/>
        <w:ind w:firstLine="330"/>
      </w:pPr>
      <w:r>
        <w:rPr>
          <w:color w:val="231F20"/>
        </w:rPr>
        <w:t>（三）第三阶段，如对性能测试及其他竣工试验的要求，包括产能指标、产品质量标准、运营指标、环保指标等。</w:t>
      </w:r>
    </w:p>
    <w:p>
      <w:pPr>
        <w:pStyle w:val="BodyText"/>
        <w:spacing w:before="19"/>
        <w:ind w:left="557"/>
        <w:rPr>
          <w:rFonts w:ascii="方正黑体_GBK" w:eastAsia="方正黑体_GBK" w:hint="eastAsia"/>
        </w:rPr>
      </w:pPr>
      <w:r>
        <w:rPr>
          <w:rFonts w:ascii="方正黑体_GBK" w:eastAsia="方正黑体_GBK" w:hint="eastAsia"/>
          <w:color w:val="231F20"/>
        </w:rPr>
        <w:t>七、竣工验收</w:t>
      </w:r>
    </w:p>
    <w:p>
      <w:pPr>
        <w:pStyle w:val="BodyText"/>
        <w:spacing w:line="326" w:lineRule="auto" w:before="115"/>
        <w:ind w:left="557" w:right="6413"/>
        <w:rPr>
          <w:rFonts w:ascii="方正黑体_GBK" w:eastAsia="方正黑体_GBK" w:hint="eastAsia"/>
        </w:rPr>
      </w:pPr>
      <w:r>
        <w:rPr>
          <w:rFonts w:ascii="方正黑体_GBK" w:eastAsia="方正黑体_GBK" w:hint="eastAsia"/>
          <w:color w:val="231F20"/>
        </w:rPr>
        <w:t>八、竣工后试验（如有） 九、文件要求</w:t>
      </w:r>
    </w:p>
    <w:p>
      <w:pPr>
        <w:pStyle w:val="BodyText"/>
        <w:spacing w:before="32"/>
        <w:ind w:left="447"/>
      </w:pPr>
      <w:r>
        <w:rPr>
          <w:color w:val="231F20"/>
        </w:rPr>
        <w:t>（一）设计文件，及其相关审批、核准、备案要求。</w:t>
      </w:r>
    </w:p>
    <w:p>
      <w:pPr>
        <w:pStyle w:val="BodyText"/>
        <w:spacing w:before="108"/>
        <w:ind w:left="447"/>
      </w:pPr>
      <w:r>
        <w:rPr>
          <w:color w:val="231F20"/>
        </w:rPr>
        <w:t>（二）沟通计划。</w:t>
      </w:r>
    </w:p>
    <w:p>
      <w:pPr>
        <w:pStyle w:val="BodyText"/>
        <w:spacing w:before="108"/>
        <w:ind w:left="447"/>
      </w:pPr>
      <w:r>
        <w:rPr>
          <w:color w:val="231F20"/>
        </w:rPr>
        <w:t>（三）风险管理计划。</w:t>
      </w:r>
    </w:p>
    <w:p>
      <w:pPr>
        <w:pStyle w:val="BodyText"/>
        <w:spacing w:before="108"/>
        <w:ind w:left="447"/>
      </w:pPr>
      <w:r>
        <w:rPr>
          <w:color w:val="231F20"/>
        </w:rPr>
        <w:t>（四）竣工文件和工程的其他记录。</w:t>
      </w:r>
    </w:p>
    <w:p>
      <w:pPr>
        <w:pStyle w:val="BodyText"/>
        <w:spacing w:before="108"/>
        <w:ind w:left="447"/>
      </w:pPr>
      <w:r>
        <w:rPr>
          <w:color w:val="231F20"/>
        </w:rPr>
        <w:t>（五）操作和维修手册。</w:t>
      </w:r>
    </w:p>
    <w:p>
      <w:pPr>
        <w:spacing w:after="0"/>
        <w:sectPr>
          <w:pgSz w:w="11910" w:h="16840"/>
          <w:pgMar w:header="0" w:footer="832" w:top="1580" w:bottom="1020" w:left="1300" w:right="1200"/>
        </w:sectPr>
      </w:pPr>
    </w:p>
    <w:p>
      <w:pPr>
        <w:pStyle w:val="BodyText"/>
        <w:spacing w:before="24"/>
        <w:ind w:left="107"/>
      </w:pPr>
      <w:r>
        <w:rPr>
          <w:color w:val="231F20"/>
        </w:rPr>
        <w:t>（六）其他承包人文件。</w:t>
      </w:r>
    </w:p>
    <w:p>
      <w:pPr>
        <w:pStyle w:val="BodyText"/>
        <w:spacing w:before="103"/>
        <w:ind w:left="217"/>
        <w:rPr>
          <w:rFonts w:ascii="方正黑体_GBK" w:eastAsia="方正黑体_GBK" w:hint="eastAsia"/>
        </w:rPr>
      </w:pPr>
      <w:r>
        <w:rPr>
          <w:rFonts w:ascii="方正黑体_GBK" w:eastAsia="方正黑体_GBK" w:hint="eastAsia"/>
          <w:color w:val="231F20"/>
        </w:rPr>
        <w:t>十、工程项目管理规定</w:t>
      </w:r>
    </w:p>
    <w:p>
      <w:pPr>
        <w:pStyle w:val="BodyText"/>
        <w:spacing w:before="122"/>
        <w:ind w:left="107"/>
      </w:pPr>
      <w:r>
        <w:rPr>
          <w:color w:val="231F20"/>
        </w:rPr>
        <w:t>（一）质量。</w:t>
      </w:r>
    </w:p>
    <w:p>
      <w:pPr>
        <w:pStyle w:val="BodyText"/>
        <w:ind w:left="107"/>
      </w:pPr>
      <w:r>
        <w:rPr>
          <w:color w:val="231F20"/>
        </w:rPr>
        <w:t>（二）进度，包括里程碑进度计划（如果有</w:t>
      </w:r>
      <w:r>
        <w:rPr>
          <w:color w:val="231F20"/>
          <w:spacing w:val="-83"/>
        </w:rPr>
        <w:t>）</w:t>
      </w:r>
      <w:r>
        <w:rPr>
          <w:color w:val="231F20"/>
        </w:rPr>
        <w:t>。</w:t>
      </w:r>
    </w:p>
    <w:p>
      <w:pPr>
        <w:pStyle w:val="BodyText"/>
        <w:ind w:left="107"/>
      </w:pPr>
      <w:r>
        <w:rPr>
          <w:color w:val="231F20"/>
        </w:rPr>
        <w:t>（三）支付。</w:t>
      </w:r>
    </w:p>
    <w:p>
      <w:pPr>
        <w:pStyle w:val="BodyText"/>
        <w:ind w:left="107"/>
      </w:pPr>
      <w:r>
        <w:rPr>
          <w:color w:val="231F20"/>
        </w:rPr>
        <w:t>（四）HSE（健康、安全与环境管理体系</w:t>
      </w:r>
      <w:r>
        <w:rPr>
          <w:color w:val="231F20"/>
          <w:spacing w:val="-83"/>
        </w:rPr>
        <w:t>）</w:t>
      </w:r>
      <w:r>
        <w:rPr>
          <w:color w:val="231F20"/>
        </w:rPr>
        <w:t>。</w:t>
      </w:r>
    </w:p>
    <w:p>
      <w:pPr>
        <w:pStyle w:val="BodyText"/>
        <w:ind w:left="107"/>
      </w:pPr>
      <w:r>
        <w:rPr>
          <w:color w:val="231F20"/>
        </w:rPr>
        <w:t>（五）沟通。</w:t>
      </w:r>
    </w:p>
    <w:p>
      <w:pPr>
        <w:pStyle w:val="BodyText"/>
        <w:ind w:left="107"/>
      </w:pPr>
      <w:r>
        <w:rPr>
          <w:color w:val="231F20"/>
        </w:rPr>
        <w:t>（六）变更。</w:t>
      </w:r>
    </w:p>
    <w:p>
      <w:pPr>
        <w:pStyle w:val="BodyText"/>
        <w:ind w:left="217"/>
      </w:pPr>
      <w:r>
        <w:rPr>
          <w:color w:val="231F20"/>
        </w:rPr>
        <w:t>十一、其他要求</w:t>
      </w:r>
    </w:p>
    <w:p>
      <w:pPr>
        <w:pStyle w:val="BodyText"/>
        <w:ind w:left="107"/>
      </w:pPr>
      <w:r>
        <w:rPr>
          <w:color w:val="231F20"/>
        </w:rPr>
        <w:t>（一）对承包人的主要人员资格要求。</w:t>
      </w:r>
    </w:p>
    <w:p>
      <w:pPr>
        <w:pStyle w:val="BodyText"/>
        <w:ind w:left="107"/>
      </w:pPr>
      <w:r>
        <w:rPr>
          <w:color w:val="231F20"/>
        </w:rPr>
        <w:t>（二）相关审批、核准和备案手续的办理。</w:t>
      </w:r>
    </w:p>
    <w:p>
      <w:pPr>
        <w:pStyle w:val="BodyText"/>
        <w:ind w:left="107"/>
      </w:pPr>
      <w:r>
        <w:rPr>
          <w:color w:val="231F20"/>
        </w:rPr>
        <w:t>（三）对项目业主人员的操作培训。</w:t>
      </w:r>
    </w:p>
    <w:p>
      <w:pPr>
        <w:pStyle w:val="BodyText"/>
        <w:ind w:left="107"/>
      </w:pPr>
      <w:r>
        <w:rPr>
          <w:color w:val="231F20"/>
        </w:rPr>
        <w:t>（四）分包。</w:t>
      </w:r>
    </w:p>
    <w:p>
      <w:pPr>
        <w:pStyle w:val="BodyText"/>
        <w:ind w:left="107"/>
      </w:pPr>
      <w:r>
        <w:rPr>
          <w:color w:val="231F20"/>
        </w:rPr>
        <w:t>（五）设备供应商。</w:t>
      </w:r>
    </w:p>
    <w:p>
      <w:pPr>
        <w:pStyle w:val="BodyText"/>
        <w:ind w:left="107"/>
      </w:pPr>
      <w:r>
        <w:rPr>
          <w:color w:val="231F20"/>
        </w:rPr>
        <w:t>（六）缺陷责任期的服务要求。</w:t>
      </w:r>
    </w:p>
    <w:p>
      <w:pPr>
        <w:spacing w:after="0"/>
        <w:sectPr>
          <w:pgSz w:w="11910" w:h="16840"/>
          <w:pgMar w:header="0" w:footer="832" w:top="1580" w:bottom="1020" w:left="1640" w:right="1300"/>
        </w:sectPr>
      </w:pPr>
    </w:p>
    <w:p>
      <w:pPr>
        <w:pStyle w:val="BodyText"/>
        <w:spacing w:before="18"/>
        <w:ind w:left="557"/>
        <w:rPr>
          <w:rFonts w:ascii="方正黑体_GBK" w:eastAsia="方正黑体_GBK" w:hint="eastAsia"/>
        </w:rPr>
      </w:pPr>
      <w:r>
        <w:rPr>
          <w:rFonts w:ascii="方正黑体_GBK" w:eastAsia="方正黑体_GBK" w:hint="eastAsia"/>
          <w:color w:val="231F20"/>
          <w:spacing w:val="-3"/>
        </w:rPr>
        <w:t>附件 </w:t>
      </w:r>
      <w:r>
        <w:rPr>
          <w:rFonts w:ascii="方正黑体_GBK" w:eastAsia="方正黑体_GBK" w:hint="eastAsia"/>
          <w:color w:val="231F20"/>
        </w:rPr>
        <w:t>2</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发包人供应材料设备一览表</w:t>
      </w:r>
    </w:p>
    <w:p>
      <w:pPr>
        <w:spacing w:after="0"/>
        <w:sectPr>
          <w:pgSz w:w="11910" w:h="16840"/>
          <w:pgMar w:header="0" w:footer="832" w:top="1580" w:bottom="1020" w:left="1300" w:right="1300"/>
          <w:cols w:num="2" w:equalWidth="0">
            <w:col w:w="1175" w:space="1361"/>
            <w:col w:w="677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25"/>
        <w:gridCol w:w="1191"/>
        <w:gridCol w:w="986"/>
        <w:gridCol w:w="603"/>
        <w:gridCol w:w="633"/>
        <w:gridCol w:w="978"/>
        <w:gridCol w:w="1118"/>
        <w:gridCol w:w="1118"/>
        <w:gridCol w:w="1118"/>
        <w:gridCol w:w="699"/>
      </w:tblGrid>
      <w:tr>
        <w:trPr>
          <w:trHeight w:val="640" w:hRule="atLeast"/>
        </w:trPr>
        <w:tc>
          <w:tcPr>
            <w:tcW w:w="625" w:type="dxa"/>
          </w:tcPr>
          <w:p>
            <w:pPr>
              <w:pStyle w:val="TableParagraph"/>
              <w:spacing w:before="174"/>
              <w:ind w:left="131"/>
              <w:rPr>
                <w:sz w:val="18"/>
              </w:rPr>
            </w:pPr>
            <w:r>
              <w:rPr>
                <w:color w:val="231F20"/>
                <w:sz w:val="18"/>
              </w:rPr>
              <w:t>序号</w:t>
            </w:r>
          </w:p>
        </w:tc>
        <w:tc>
          <w:tcPr>
            <w:tcW w:w="1191" w:type="dxa"/>
          </w:tcPr>
          <w:p>
            <w:pPr>
              <w:pStyle w:val="TableParagraph"/>
              <w:spacing w:line="230" w:lineRule="auto" w:before="54"/>
              <w:ind w:left="414" w:right="117" w:hanging="270"/>
              <w:rPr>
                <w:sz w:val="18"/>
              </w:rPr>
            </w:pPr>
            <w:r>
              <w:rPr>
                <w:color w:val="231F20"/>
                <w:sz w:val="18"/>
              </w:rPr>
              <w:t>材料、设备品种</w:t>
            </w:r>
          </w:p>
        </w:tc>
        <w:tc>
          <w:tcPr>
            <w:tcW w:w="986" w:type="dxa"/>
          </w:tcPr>
          <w:p>
            <w:pPr>
              <w:pStyle w:val="TableParagraph"/>
              <w:spacing w:before="174"/>
              <w:ind w:left="131"/>
              <w:rPr>
                <w:sz w:val="18"/>
              </w:rPr>
            </w:pPr>
            <w:r>
              <w:rPr>
                <w:color w:val="231F20"/>
                <w:sz w:val="18"/>
              </w:rPr>
              <w:t>规格型号</w:t>
            </w:r>
          </w:p>
        </w:tc>
        <w:tc>
          <w:tcPr>
            <w:tcW w:w="603" w:type="dxa"/>
          </w:tcPr>
          <w:p>
            <w:pPr>
              <w:pStyle w:val="TableParagraph"/>
              <w:spacing w:before="174"/>
              <w:ind w:left="119"/>
              <w:rPr>
                <w:sz w:val="18"/>
              </w:rPr>
            </w:pPr>
            <w:r>
              <w:rPr>
                <w:color w:val="231F20"/>
                <w:sz w:val="18"/>
              </w:rPr>
              <w:t>单位</w:t>
            </w:r>
          </w:p>
        </w:tc>
        <w:tc>
          <w:tcPr>
            <w:tcW w:w="633" w:type="dxa"/>
          </w:tcPr>
          <w:p>
            <w:pPr>
              <w:pStyle w:val="TableParagraph"/>
              <w:spacing w:before="174"/>
              <w:ind w:left="133"/>
              <w:rPr>
                <w:sz w:val="18"/>
              </w:rPr>
            </w:pPr>
            <w:r>
              <w:rPr>
                <w:color w:val="231F20"/>
                <w:sz w:val="18"/>
              </w:rPr>
              <w:t>数量</w:t>
            </w:r>
          </w:p>
        </w:tc>
        <w:tc>
          <w:tcPr>
            <w:tcW w:w="978" w:type="dxa"/>
          </w:tcPr>
          <w:p>
            <w:pPr>
              <w:pStyle w:val="TableParagraph"/>
              <w:spacing w:before="174"/>
              <w:ind w:left="109"/>
              <w:rPr>
                <w:sz w:val="18"/>
              </w:rPr>
            </w:pPr>
            <w:r>
              <w:rPr>
                <w:color w:val="231F20"/>
                <w:spacing w:val="-30"/>
                <w:sz w:val="18"/>
              </w:rPr>
              <w:t>单价</w:t>
            </w:r>
            <w:r>
              <w:rPr>
                <w:color w:val="231F20"/>
                <w:sz w:val="18"/>
              </w:rPr>
              <w:t>（元）</w:t>
            </w:r>
          </w:p>
        </w:tc>
        <w:tc>
          <w:tcPr>
            <w:tcW w:w="1118" w:type="dxa"/>
          </w:tcPr>
          <w:p>
            <w:pPr>
              <w:pStyle w:val="TableParagraph"/>
              <w:spacing w:before="174"/>
              <w:ind w:left="194"/>
              <w:rPr>
                <w:sz w:val="18"/>
              </w:rPr>
            </w:pPr>
            <w:r>
              <w:rPr>
                <w:color w:val="231F20"/>
                <w:sz w:val="18"/>
              </w:rPr>
              <w:t>质量等级</w:t>
            </w:r>
          </w:p>
        </w:tc>
        <w:tc>
          <w:tcPr>
            <w:tcW w:w="1118" w:type="dxa"/>
          </w:tcPr>
          <w:p>
            <w:pPr>
              <w:pStyle w:val="TableParagraph"/>
              <w:spacing w:before="174"/>
              <w:ind w:left="193"/>
              <w:rPr>
                <w:sz w:val="18"/>
              </w:rPr>
            </w:pPr>
            <w:r>
              <w:rPr>
                <w:color w:val="231F20"/>
                <w:sz w:val="18"/>
              </w:rPr>
              <w:t>供应时间</w:t>
            </w:r>
          </w:p>
        </w:tc>
        <w:tc>
          <w:tcPr>
            <w:tcW w:w="1118" w:type="dxa"/>
          </w:tcPr>
          <w:p>
            <w:pPr>
              <w:pStyle w:val="TableParagraph"/>
              <w:spacing w:before="174"/>
              <w:ind w:left="192"/>
              <w:rPr>
                <w:sz w:val="18"/>
              </w:rPr>
            </w:pPr>
            <w:r>
              <w:rPr>
                <w:color w:val="231F20"/>
                <w:sz w:val="18"/>
              </w:rPr>
              <w:t>送达地点</w:t>
            </w:r>
          </w:p>
        </w:tc>
        <w:tc>
          <w:tcPr>
            <w:tcW w:w="699" w:type="dxa"/>
          </w:tcPr>
          <w:p>
            <w:pPr>
              <w:pStyle w:val="TableParagraph"/>
              <w:spacing w:before="174"/>
              <w:ind w:left="162"/>
              <w:rPr>
                <w:sz w:val="18"/>
              </w:rPr>
            </w:pPr>
            <w:r>
              <w:rPr>
                <w:color w:val="231F20"/>
                <w:sz w:val="18"/>
              </w:rPr>
              <w:t>备注</w:t>
            </w: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bl>
    <w:p>
      <w:pPr>
        <w:spacing w:after="0"/>
        <w:rPr>
          <w:rFonts w:ascii="Times New Roman"/>
          <w:sz w:val="20"/>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spacing w:val="-3"/>
        </w:rPr>
        <w:t>附件 </w:t>
      </w:r>
      <w:r>
        <w:rPr>
          <w:rFonts w:ascii="方正黑体_GBK" w:eastAsia="方正黑体_GBK" w:hint="eastAsia"/>
          <w:color w:val="231F20"/>
        </w:rPr>
        <w:t>3</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工程质量保修书</w:t>
      </w:r>
    </w:p>
    <w:p>
      <w:pPr>
        <w:spacing w:after="0"/>
        <w:sectPr>
          <w:pgSz w:w="11910" w:h="16840"/>
          <w:pgMar w:header="0" w:footer="832" w:top="1580" w:bottom="1020" w:left="1300" w:right="1200"/>
          <w:cols w:num="2" w:equalWidth="0">
            <w:col w:w="1175" w:space="2011"/>
            <w:col w:w="6224"/>
          </w:cols>
        </w:sectPr>
      </w:pPr>
    </w:p>
    <w:p>
      <w:pPr>
        <w:pStyle w:val="BodyText"/>
        <w:tabs>
          <w:tab w:pos="9188" w:val="left" w:leader="none"/>
        </w:tabs>
        <w:spacing w:line="319" w:lineRule="auto" w:before="79"/>
        <w:ind w:left="557" w:right="209"/>
        <w:jc w:val="both"/>
      </w:pPr>
      <w:r>
        <w:rPr>
          <w:color w:val="231F20"/>
        </w:rPr>
        <w:t>发包人（全称</w:t>
      </w:r>
      <w:r>
        <w:rPr>
          <w:color w:val="231F20"/>
          <w:spacing w:val="-28"/>
        </w:rPr>
        <w:t>）：</w:t>
      </w:r>
      <w:r>
        <w:rPr>
          <w:color w:val="231F20"/>
        </w:rPr>
        <w:tab/>
        <w:t> 承包人（全称</w:t>
      </w:r>
      <w:r>
        <w:rPr>
          <w:color w:val="231F20"/>
          <w:spacing w:val="-28"/>
        </w:rPr>
        <w:t>）：</w:t>
      </w:r>
      <w:r>
        <w:rPr>
          <w:color w:val="231F20"/>
        </w:rPr>
        <w:tab/>
        <w:t> </w:t>
      </w:r>
      <w:r>
        <w:rPr>
          <w:color w:val="231F20"/>
          <w:spacing w:val="2"/>
        </w:rPr>
        <w:t>发包人和承包人根</w:t>
      </w:r>
      <w:r>
        <w:rPr>
          <w:color w:val="231F20"/>
        </w:rPr>
        <w:t>据</w:t>
      </w:r>
      <w:r>
        <w:rPr>
          <w:color w:val="231F20"/>
          <w:spacing w:val="2"/>
        </w:rPr>
        <w:t>《中华人民共和国建筑法》</w:t>
      </w:r>
      <w:r>
        <w:rPr>
          <w:color w:val="231F20"/>
        </w:rPr>
        <w:t>和</w:t>
      </w:r>
      <w:r>
        <w:rPr>
          <w:color w:val="231F20"/>
          <w:spacing w:val="2"/>
        </w:rPr>
        <w:t>《建设工程质量管理条例</w:t>
      </w:r>
      <w:r>
        <w:rPr>
          <w:color w:val="231F20"/>
          <w:spacing w:val="-110"/>
        </w:rPr>
        <w:t>》</w:t>
      </w:r>
      <w:r>
        <w:rPr>
          <w:color w:val="231F20"/>
          <w:spacing w:val="2"/>
        </w:rPr>
        <w:t>，经协商一</w:t>
      </w:r>
    </w:p>
    <w:p>
      <w:pPr>
        <w:pStyle w:val="BodyText"/>
        <w:tabs>
          <w:tab w:pos="2687" w:val="left" w:leader="none"/>
        </w:tabs>
        <w:spacing w:before="26"/>
      </w:pPr>
      <w:r>
        <w:rPr>
          <w:color w:val="231F20"/>
        </w:rPr>
        <w:t>致就</w:t>
      </w:r>
      <w:r>
        <w:rPr>
          <w:color w:val="231F20"/>
          <w:u w:val="single" w:color="231F20"/>
        </w:rPr>
        <w:t> </w:t>
        <w:tab/>
        <w:t>（</w:t>
      </w:r>
      <w:r>
        <w:rPr>
          <w:color w:val="231F20"/>
        </w:rPr>
        <w:t>工程全称）订立工程质量保修书。</w:t>
      </w:r>
    </w:p>
    <w:p>
      <w:pPr>
        <w:pStyle w:val="BodyText"/>
        <w:spacing w:before="103"/>
        <w:ind w:left="557"/>
        <w:rPr>
          <w:rFonts w:ascii="方正黑体_GBK" w:eastAsia="方正黑体_GBK" w:hint="eastAsia"/>
        </w:rPr>
      </w:pPr>
      <w:r>
        <w:rPr>
          <w:rFonts w:ascii="方正黑体_GBK" w:eastAsia="方正黑体_GBK" w:hint="eastAsia"/>
          <w:color w:val="231F20"/>
        </w:rPr>
        <w:t>一、工程质量保修范围和内容</w:t>
      </w:r>
    </w:p>
    <w:p>
      <w:pPr>
        <w:pStyle w:val="BodyText"/>
        <w:spacing w:before="122"/>
        <w:ind w:left="557"/>
      </w:pPr>
      <w:r>
        <w:rPr>
          <w:color w:val="231F20"/>
        </w:rPr>
        <w:t>承包人在质量保修期内，按照有关法律规定和合同约定，承担工程质量保修责任。</w:t>
      </w:r>
    </w:p>
    <w:p>
      <w:pPr>
        <w:pStyle w:val="BodyText"/>
        <w:tabs>
          <w:tab w:pos="9078" w:val="left" w:leader="none"/>
        </w:tabs>
        <w:spacing w:line="319" w:lineRule="auto"/>
        <w:ind w:right="105" w:firstLine="440"/>
      </w:pPr>
      <w:r>
        <w:rPr>
          <w:color w:val="231F20"/>
          <w:spacing w:val="2"/>
        </w:rPr>
        <w:t>质量保修范围包括地基基础工</w:t>
      </w:r>
      <w:r>
        <w:rPr>
          <w:color w:val="231F20"/>
        </w:rPr>
        <w:t>程</w:t>
      </w:r>
      <w:r>
        <w:rPr>
          <w:color w:val="231F20"/>
          <w:spacing w:val="2"/>
        </w:rPr>
        <w:t>、主体结构工</w:t>
      </w:r>
      <w:r>
        <w:rPr>
          <w:color w:val="231F20"/>
        </w:rPr>
        <w:t>程</w:t>
      </w:r>
      <w:r>
        <w:rPr>
          <w:color w:val="231F20"/>
          <w:spacing w:val="2"/>
        </w:rPr>
        <w:t>，屋面防水工</w:t>
      </w:r>
      <w:r>
        <w:rPr>
          <w:color w:val="231F20"/>
        </w:rPr>
        <w:t>程</w:t>
      </w:r>
      <w:r>
        <w:rPr>
          <w:color w:val="231F20"/>
          <w:spacing w:val="2"/>
        </w:rPr>
        <w:t>、有防水要求的卫生</w:t>
      </w:r>
      <w:r>
        <w:rPr>
          <w:color w:val="231F20"/>
        </w:rPr>
        <w:t>间、房间和外墙面的防渗漏，供热与供冷系统，电气管线、给排水管道、设备安装和装修工程，以及双方约定的其他项目。具体保修的内容，双方约定如下</w:t>
      </w:r>
      <w:r>
        <w:rPr>
          <w:color w:val="231F20"/>
          <w:u w:val="single" w:color="231F20"/>
        </w:rPr>
        <w:t>：</w:t>
        <w:tab/>
      </w:r>
      <w:r>
        <w:rPr>
          <w:color w:val="231F20"/>
        </w:rPr>
        <w:t>。</w:t>
      </w:r>
    </w:p>
    <w:p>
      <w:pPr>
        <w:pStyle w:val="BodyText"/>
        <w:spacing w:before="19"/>
        <w:ind w:left="557"/>
        <w:rPr>
          <w:rFonts w:ascii="方正黑体_GBK" w:eastAsia="方正黑体_GBK" w:hint="eastAsia"/>
        </w:rPr>
      </w:pPr>
      <w:r>
        <w:rPr>
          <w:rFonts w:ascii="方正黑体_GBK" w:eastAsia="方正黑体_GBK" w:hint="eastAsia"/>
          <w:color w:val="231F20"/>
        </w:rPr>
        <w:t>二、质量保修期</w:t>
      </w:r>
    </w:p>
    <w:p>
      <w:pPr>
        <w:pStyle w:val="BodyText"/>
        <w:spacing w:before="121"/>
        <w:ind w:left="557"/>
      </w:pPr>
      <w:r>
        <w:rPr>
          <w:color w:val="231F20"/>
        </w:rPr>
        <w:t>根据《建设工程质量管理条例》及有关规定，工程的质量保修期如下：</w:t>
      </w:r>
    </w:p>
    <w:p>
      <w:pPr>
        <w:pStyle w:val="ListParagraph"/>
        <w:numPr>
          <w:ilvl w:val="0"/>
          <w:numId w:val="145"/>
        </w:numPr>
        <w:tabs>
          <w:tab w:pos="776" w:val="left" w:leader="none"/>
        </w:tabs>
        <w:spacing w:line="240" w:lineRule="auto" w:before="108" w:after="0"/>
        <w:ind w:left="557" w:right="0" w:firstLine="0"/>
        <w:jc w:val="left"/>
        <w:rPr>
          <w:sz w:val="22"/>
        </w:rPr>
      </w:pPr>
      <w:r>
        <w:rPr>
          <w:color w:val="231F20"/>
          <w:sz w:val="22"/>
        </w:rPr>
        <w:t>地基基础工程和主体结构工程为设计文件规定的工程合理使用年限；</w:t>
      </w:r>
    </w:p>
    <w:p>
      <w:pPr>
        <w:pStyle w:val="ListParagraph"/>
        <w:numPr>
          <w:ilvl w:val="0"/>
          <w:numId w:val="145"/>
        </w:numPr>
        <w:tabs>
          <w:tab w:pos="776" w:val="left" w:leader="none"/>
          <w:tab w:pos="7974" w:val="left" w:leader="none"/>
        </w:tabs>
        <w:spacing w:line="240" w:lineRule="auto" w:before="108" w:after="0"/>
        <w:ind w:left="557" w:right="0" w:firstLine="0"/>
        <w:jc w:val="left"/>
        <w:rPr>
          <w:sz w:val="22"/>
        </w:rPr>
      </w:pPr>
      <w:r>
        <w:rPr>
          <w:color w:val="231F20"/>
          <w:sz w:val="22"/>
        </w:rPr>
        <w:t>屋面防水工程、有防水要求的卫生间、房间和外墙面的防渗为</w:t>
      </w:r>
      <w:r>
        <w:rPr>
          <w:color w:val="231F20"/>
          <w:sz w:val="22"/>
          <w:u w:val="single" w:color="231F20"/>
        </w:rPr>
        <w:t> </w:t>
        <w:tab/>
      </w:r>
      <w:r>
        <w:rPr>
          <w:color w:val="231F20"/>
          <w:sz w:val="22"/>
        </w:rPr>
        <w:t>年；</w:t>
      </w:r>
    </w:p>
    <w:p>
      <w:pPr>
        <w:pStyle w:val="ListParagraph"/>
        <w:numPr>
          <w:ilvl w:val="0"/>
          <w:numId w:val="145"/>
        </w:numPr>
        <w:tabs>
          <w:tab w:pos="776" w:val="left" w:leader="none"/>
          <w:tab w:pos="3022" w:val="left" w:leader="none"/>
        </w:tabs>
        <w:spacing w:line="240" w:lineRule="auto" w:before="108" w:after="0"/>
        <w:ind w:left="557" w:right="0" w:firstLine="0"/>
        <w:jc w:val="left"/>
        <w:rPr>
          <w:sz w:val="22"/>
        </w:rPr>
      </w:pPr>
      <w:r>
        <w:rPr>
          <w:color w:val="231F20"/>
          <w:sz w:val="22"/>
        </w:rPr>
        <w:t>装修工程为</w:t>
      </w:r>
      <w:r>
        <w:rPr>
          <w:color w:val="231F20"/>
          <w:sz w:val="22"/>
          <w:u w:val="single" w:color="231F20"/>
        </w:rPr>
        <w:t> </w:t>
        <w:tab/>
      </w:r>
      <w:r>
        <w:rPr>
          <w:color w:val="231F20"/>
          <w:sz w:val="22"/>
        </w:rPr>
        <w:t>年；</w:t>
      </w:r>
    </w:p>
    <w:p>
      <w:pPr>
        <w:pStyle w:val="ListParagraph"/>
        <w:numPr>
          <w:ilvl w:val="0"/>
          <w:numId w:val="145"/>
        </w:numPr>
        <w:tabs>
          <w:tab w:pos="776" w:val="left" w:leader="none"/>
          <w:tab w:pos="5771" w:val="left" w:leader="none"/>
        </w:tabs>
        <w:spacing w:line="240" w:lineRule="auto" w:before="108" w:after="0"/>
        <w:ind w:left="557" w:right="0" w:firstLine="0"/>
        <w:jc w:val="left"/>
        <w:rPr>
          <w:sz w:val="22"/>
        </w:rPr>
      </w:pPr>
      <w:r>
        <w:rPr>
          <w:color w:val="231F20"/>
          <w:sz w:val="22"/>
        </w:rPr>
        <w:t>电气管线、给排水管道、设备安装工程为</w:t>
      </w:r>
      <w:r>
        <w:rPr>
          <w:color w:val="231F20"/>
          <w:sz w:val="22"/>
          <w:u w:val="single" w:color="231F20"/>
        </w:rPr>
        <w:t> </w:t>
        <w:tab/>
      </w:r>
      <w:r>
        <w:rPr>
          <w:color w:val="231F20"/>
          <w:sz w:val="22"/>
        </w:rPr>
        <w:t>年；</w:t>
      </w:r>
    </w:p>
    <w:p>
      <w:pPr>
        <w:pStyle w:val="ListParagraph"/>
        <w:numPr>
          <w:ilvl w:val="0"/>
          <w:numId w:val="145"/>
        </w:numPr>
        <w:tabs>
          <w:tab w:pos="776" w:val="left" w:leader="none"/>
          <w:tab w:pos="3408" w:val="left" w:leader="none"/>
        </w:tabs>
        <w:spacing w:line="240" w:lineRule="auto" w:before="108" w:after="0"/>
        <w:ind w:left="557" w:right="0" w:firstLine="0"/>
        <w:jc w:val="left"/>
        <w:rPr>
          <w:sz w:val="22"/>
        </w:rPr>
      </w:pPr>
      <w:r>
        <w:rPr>
          <w:color w:val="231F20"/>
          <w:sz w:val="22"/>
        </w:rPr>
        <w:t>供热与供冷系统为</w:t>
      </w:r>
      <w:r>
        <w:rPr>
          <w:color w:val="231F20"/>
          <w:sz w:val="22"/>
          <w:u w:val="single" w:color="231F20"/>
        </w:rPr>
        <w:t> </w:t>
        <w:tab/>
      </w:r>
      <w:r>
        <w:rPr>
          <w:color w:val="231F20"/>
          <w:sz w:val="22"/>
        </w:rPr>
        <w:t>个采暖期、供冷期；</w:t>
      </w:r>
    </w:p>
    <w:p>
      <w:pPr>
        <w:pStyle w:val="ListParagraph"/>
        <w:numPr>
          <w:ilvl w:val="0"/>
          <w:numId w:val="145"/>
        </w:numPr>
        <w:tabs>
          <w:tab w:pos="776" w:val="left" w:leader="none"/>
          <w:tab w:pos="6102" w:val="left" w:leader="none"/>
        </w:tabs>
        <w:spacing w:line="240" w:lineRule="auto" w:before="108" w:after="0"/>
        <w:ind w:left="557" w:right="0" w:firstLine="0"/>
        <w:jc w:val="left"/>
        <w:rPr>
          <w:sz w:val="22"/>
        </w:rPr>
      </w:pPr>
      <w:r>
        <w:rPr>
          <w:color w:val="231F20"/>
          <w:sz w:val="22"/>
        </w:rPr>
        <w:t>住宅小区内的给排水设施、道路等配套工程为</w:t>
      </w:r>
      <w:r>
        <w:rPr>
          <w:color w:val="231F20"/>
          <w:sz w:val="22"/>
          <w:u w:val="single" w:color="231F20"/>
        </w:rPr>
        <w:t> </w:t>
        <w:tab/>
      </w:r>
      <w:r>
        <w:rPr>
          <w:color w:val="231F20"/>
          <w:sz w:val="22"/>
        </w:rPr>
        <w:t>年；</w:t>
      </w:r>
    </w:p>
    <w:p>
      <w:pPr>
        <w:pStyle w:val="ListParagraph"/>
        <w:numPr>
          <w:ilvl w:val="0"/>
          <w:numId w:val="145"/>
        </w:numPr>
        <w:tabs>
          <w:tab w:pos="776" w:val="left" w:leader="none"/>
          <w:tab w:pos="9078" w:val="left" w:leader="none"/>
        </w:tabs>
        <w:spacing w:line="319" w:lineRule="auto" w:before="108" w:after="0"/>
        <w:ind w:left="557" w:right="105" w:firstLine="0"/>
        <w:jc w:val="left"/>
        <w:rPr>
          <w:sz w:val="22"/>
        </w:rPr>
      </w:pPr>
      <w:r>
        <w:rPr>
          <w:color w:val="231F20"/>
          <w:sz w:val="22"/>
        </w:rPr>
        <w:t>其他项目保修期限约定如下</w:t>
      </w:r>
      <w:r>
        <w:rPr>
          <w:color w:val="231F20"/>
          <w:sz w:val="22"/>
          <w:u w:val="single" w:color="231F20"/>
        </w:rPr>
        <w:t>：</w:t>
        <w:tab/>
      </w:r>
      <w:r>
        <w:rPr>
          <w:color w:val="231F20"/>
          <w:sz w:val="22"/>
        </w:rPr>
        <w:t>。质量保修期自工程竣工验收合格之日起计算。</w:t>
      </w:r>
    </w:p>
    <w:p>
      <w:pPr>
        <w:pStyle w:val="BodyText"/>
        <w:spacing w:before="19"/>
        <w:ind w:left="557"/>
        <w:rPr>
          <w:rFonts w:ascii="方正黑体_GBK" w:eastAsia="方正黑体_GBK" w:hint="eastAsia"/>
        </w:rPr>
      </w:pPr>
      <w:r>
        <w:rPr>
          <w:rFonts w:ascii="方正黑体_GBK" w:eastAsia="方正黑体_GBK" w:hint="eastAsia"/>
          <w:color w:val="231F20"/>
        </w:rPr>
        <w:t>三、缺陷责任期</w:t>
      </w:r>
    </w:p>
    <w:p>
      <w:pPr>
        <w:pStyle w:val="BodyText"/>
        <w:tabs>
          <w:tab w:pos="2862" w:val="left" w:leader="none"/>
        </w:tabs>
        <w:spacing w:line="319" w:lineRule="auto" w:before="122"/>
        <w:ind w:right="215" w:firstLine="440"/>
      </w:pPr>
      <w:r>
        <w:rPr>
          <w:color w:val="231F20"/>
        </w:rPr>
        <w:t>工程缺陷责任期为</w:t>
      </w:r>
      <w:r>
        <w:rPr>
          <w:color w:val="231F20"/>
          <w:u w:val="single" w:color="231F20"/>
        </w:rPr>
        <w:t> </w:t>
        <w:tab/>
      </w:r>
      <w:r>
        <w:rPr>
          <w:color w:val="231F20"/>
        </w:rPr>
        <w:t>个月，缺陷责任期自工程通过竣工验收之日起计算。单</w:t>
      </w:r>
      <w:r>
        <w:rPr>
          <w:color w:val="231F20"/>
          <w:spacing w:val="50"/>
        </w:rPr>
        <w:t>位</w:t>
      </w:r>
      <w:r>
        <w:rPr>
          <w:color w:val="231F20"/>
        </w:rPr>
        <w:t>/</w:t>
      </w:r>
      <w:r>
        <w:rPr>
          <w:color w:val="231F20"/>
          <w:spacing w:val="-1"/>
        </w:rPr>
        <w:t> </w:t>
      </w:r>
      <w:r>
        <w:rPr>
          <w:color w:val="231F20"/>
        </w:rPr>
        <w:t>区段工程先于全部工程进行验收，单位 / 区段工程缺陷责任期自单位 / 区段工程验收合格之日起算。</w:t>
      </w:r>
    </w:p>
    <w:p>
      <w:pPr>
        <w:pStyle w:val="BodyText"/>
        <w:spacing w:before="26"/>
        <w:ind w:left="557"/>
      </w:pPr>
      <w:r>
        <w:rPr>
          <w:color w:val="231F20"/>
        </w:rPr>
        <w:t>缺陷责任期终止后，发包人应返还剩余的质量保证金。</w:t>
      </w:r>
    </w:p>
    <w:p>
      <w:pPr>
        <w:pStyle w:val="BodyText"/>
        <w:spacing w:before="103"/>
        <w:ind w:left="557"/>
        <w:rPr>
          <w:rFonts w:ascii="方正黑体_GBK" w:eastAsia="方正黑体_GBK" w:hint="eastAsia"/>
        </w:rPr>
      </w:pPr>
      <w:r>
        <w:rPr>
          <w:rFonts w:ascii="方正黑体_GBK" w:eastAsia="方正黑体_GBK" w:hint="eastAsia"/>
          <w:color w:val="231F20"/>
        </w:rPr>
        <w:t>四、质量保修责任</w:t>
      </w:r>
    </w:p>
    <w:p>
      <w:pPr>
        <w:pStyle w:val="ListParagraph"/>
        <w:numPr>
          <w:ilvl w:val="0"/>
          <w:numId w:val="146"/>
        </w:numPr>
        <w:tabs>
          <w:tab w:pos="777" w:val="left" w:leader="none"/>
        </w:tabs>
        <w:spacing w:line="319" w:lineRule="auto" w:before="122" w:after="0"/>
        <w:ind w:left="117" w:right="216" w:firstLine="440"/>
        <w:jc w:val="left"/>
        <w:rPr>
          <w:sz w:val="22"/>
        </w:rPr>
      </w:pPr>
      <w:r>
        <w:rPr>
          <w:color w:val="231F20"/>
          <w:sz w:val="22"/>
        </w:rPr>
        <w:t>属于保修范围、内容的项目，承包人应当在接到保修通知之日起 7 天内派人保修。承包人不在约定期限内派人保修的，发包人可以委托他人修理。</w:t>
      </w:r>
    </w:p>
    <w:p>
      <w:pPr>
        <w:pStyle w:val="ListParagraph"/>
        <w:numPr>
          <w:ilvl w:val="0"/>
          <w:numId w:val="146"/>
        </w:numPr>
        <w:tabs>
          <w:tab w:pos="776" w:val="left" w:leader="none"/>
        </w:tabs>
        <w:spacing w:line="240" w:lineRule="auto" w:before="26" w:after="0"/>
        <w:ind w:left="775" w:right="0" w:hanging="218"/>
        <w:jc w:val="left"/>
        <w:rPr>
          <w:sz w:val="22"/>
        </w:rPr>
      </w:pPr>
      <w:r>
        <w:rPr>
          <w:color w:val="231F20"/>
          <w:sz w:val="22"/>
        </w:rPr>
        <w:t>发生紧急事故需抢修的，承包人在接到事故通知后，应当立即到达事故现场抢修。</w:t>
      </w:r>
    </w:p>
    <w:p>
      <w:pPr>
        <w:pStyle w:val="ListParagraph"/>
        <w:numPr>
          <w:ilvl w:val="0"/>
          <w:numId w:val="146"/>
        </w:numPr>
        <w:tabs>
          <w:tab w:pos="776" w:val="left" w:leader="none"/>
        </w:tabs>
        <w:spacing w:line="319" w:lineRule="auto" w:before="109" w:after="0"/>
        <w:ind w:left="117" w:right="213" w:firstLine="440"/>
        <w:jc w:val="left"/>
        <w:rPr>
          <w:sz w:val="22"/>
        </w:rPr>
      </w:pPr>
      <w:r>
        <w:rPr>
          <w:color w:val="231F20"/>
          <w:sz w:val="22"/>
        </w:rPr>
        <w:t>对于涉及结构安全的质量问题，应当按照《建设工程质量管理条例》的规定，立即向当地建设行政主管部门和有关部门报告，采取安全防范措施，并由承包人提出保修方案，承包人</w:t>
      </w:r>
    </w:p>
    <w:p>
      <w:pPr>
        <w:spacing w:after="0" w:line="319" w:lineRule="auto"/>
        <w:jc w:val="left"/>
        <w:rPr>
          <w:sz w:val="22"/>
        </w:rPr>
        <w:sectPr>
          <w:type w:val="continuous"/>
          <w:pgSz w:w="11910" w:h="16840"/>
          <w:pgMar w:top="1580" w:bottom="1020" w:left="1300" w:right="1200"/>
        </w:sectPr>
      </w:pPr>
    </w:p>
    <w:p>
      <w:pPr>
        <w:pStyle w:val="BodyText"/>
        <w:spacing w:line="319" w:lineRule="auto" w:before="24"/>
        <w:ind w:right="215"/>
      </w:pPr>
      <w:r>
        <w:rPr>
          <w:color w:val="231F20"/>
        </w:rPr>
        <w:t>将设计业务分包的，应由原设计分包人或具有相应资质等级的设计人提出保修方案，承包人实施保修。</w:t>
      </w:r>
    </w:p>
    <w:p>
      <w:pPr>
        <w:pStyle w:val="ListParagraph"/>
        <w:numPr>
          <w:ilvl w:val="0"/>
          <w:numId w:val="146"/>
        </w:numPr>
        <w:tabs>
          <w:tab w:pos="776" w:val="left" w:leader="none"/>
        </w:tabs>
        <w:spacing w:line="240" w:lineRule="auto" w:before="26" w:after="0"/>
        <w:ind w:left="775" w:right="0" w:hanging="218"/>
        <w:jc w:val="left"/>
        <w:rPr>
          <w:sz w:val="22"/>
        </w:rPr>
      </w:pPr>
      <w:r>
        <w:rPr>
          <w:color w:val="231F20"/>
          <w:sz w:val="22"/>
        </w:rPr>
        <w:t>质量保修完成后，由发包人组织验收。</w:t>
      </w:r>
    </w:p>
    <w:p>
      <w:pPr>
        <w:pStyle w:val="BodyText"/>
        <w:spacing w:before="103"/>
        <w:ind w:left="557"/>
        <w:rPr>
          <w:rFonts w:ascii="方正黑体_GBK" w:eastAsia="方正黑体_GBK" w:hint="eastAsia"/>
        </w:rPr>
      </w:pPr>
      <w:r>
        <w:rPr>
          <w:rFonts w:ascii="方正黑体_GBK" w:eastAsia="方正黑体_GBK" w:hint="eastAsia"/>
          <w:color w:val="231F20"/>
        </w:rPr>
        <w:t>五、保修费用</w:t>
      </w:r>
    </w:p>
    <w:p>
      <w:pPr>
        <w:pStyle w:val="BodyText"/>
        <w:spacing w:before="122"/>
        <w:ind w:left="557"/>
      </w:pPr>
      <w:r>
        <w:rPr>
          <w:color w:val="231F20"/>
        </w:rPr>
        <w:t>保修费用由造成质量缺陷的责任方承担。</w:t>
      </w:r>
    </w:p>
    <w:p>
      <w:pPr>
        <w:pStyle w:val="BodyText"/>
        <w:tabs>
          <w:tab w:pos="9078" w:val="left" w:leader="none"/>
        </w:tabs>
        <w:spacing w:before="103"/>
        <w:ind w:left="557"/>
        <w:rPr>
          <w:rFonts w:ascii="方正黑体_GBK" w:eastAsia="方正黑体_GBK" w:hint="eastAsia"/>
        </w:rPr>
      </w:pPr>
      <w:r>
        <w:rPr>
          <w:rFonts w:ascii="方正黑体_GBK" w:eastAsia="方正黑体_GBK" w:hint="eastAsia"/>
          <w:color w:val="231F20"/>
        </w:rPr>
        <w:t>六、双方约定的其他工程质量保修事项</w:t>
      </w:r>
      <w:r>
        <w:rPr>
          <w:rFonts w:ascii="方正黑体_GBK" w:eastAsia="方正黑体_GBK" w:hint="eastAsia"/>
          <w:color w:val="231F20"/>
          <w:u w:val="single" w:color="231F20"/>
        </w:rPr>
        <w:t>：</w:t>
        <w:tab/>
      </w:r>
      <w:r>
        <w:rPr>
          <w:rFonts w:ascii="方正黑体_GBK" w:eastAsia="方正黑体_GBK" w:hint="eastAsia"/>
          <w:color w:val="231F20"/>
        </w:rPr>
        <w:t>。</w:t>
      </w:r>
    </w:p>
    <w:p>
      <w:pPr>
        <w:pStyle w:val="BodyText"/>
        <w:spacing w:line="319" w:lineRule="auto" w:before="122"/>
        <w:ind w:right="215" w:firstLine="440"/>
      </w:pPr>
      <w:r>
        <w:rPr>
          <w:color w:val="231F20"/>
        </w:rPr>
        <w:t>工程质量保修书由发包人、承包人在工程竣工验收前共同签署，作为工程总承包合同附件，其有效期限至保修期满。</w:t>
      </w:r>
    </w:p>
    <w:p>
      <w:pPr>
        <w:pStyle w:val="BodyText"/>
        <w:spacing w:before="0"/>
        <w:ind w:left="0"/>
        <w:rPr>
          <w:sz w:val="31"/>
        </w:rPr>
      </w:pPr>
    </w:p>
    <w:p>
      <w:pPr>
        <w:pStyle w:val="BodyText"/>
        <w:tabs>
          <w:tab w:pos="4857" w:val="left" w:leader="none"/>
        </w:tabs>
        <w:spacing w:before="0"/>
        <w:ind w:left="557"/>
      </w:pPr>
      <w:r>
        <w:rPr>
          <w:color w:val="231F20"/>
        </w:rPr>
        <w:t>发包人（公章</w:t>
      </w:r>
      <w:r>
        <w:rPr>
          <w:color w:val="231F20"/>
          <w:spacing w:val="-28"/>
        </w:rPr>
        <w:t>）：</w:t>
        <w:tab/>
      </w:r>
      <w:r>
        <w:rPr>
          <w:color w:val="231F20"/>
        </w:rPr>
        <w:t>承包人（公章</w:t>
      </w:r>
      <w:r>
        <w:rPr>
          <w:color w:val="231F20"/>
          <w:spacing w:val="-28"/>
        </w:rPr>
        <w:t>）：</w:t>
      </w:r>
    </w:p>
    <w:p>
      <w:pPr>
        <w:pStyle w:val="BodyText"/>
        <w:tabs>
          <w:tab w:pos="1217" w:val="left" w:leader="none"/>
          <w:tab w:pos="4857" w:val="left" w:leader="none"/>
          <w:tab w:pos="5517" w:val="left" w:leader="none"/>
        </w:tabs>
        <w:ind w:left="557"/>
      </w:pPr>
      <w:r>
        <w:rPr>
          <w:color w:val="231F20"/>
        </w:rPr>
        <w:t>地</w:t>
        <w:tab/>
        <w:t>址：</w:t>
        <w:tab/>
        <w:t>地</w:t>
        <w:tab/>
        <w:t>址：</w:t>
      </w:r>
    </w:p>
    <w:p>
      <w:pPr>
        <w:pStyle w:val="BodyText"/>
        <w:tabs>
          <w:tab w:pos="4857" w:val="left" w:leader="none"/>
        </w:tabs>
        <w:ind w:left="557"/>
      </w:pPr>
      <w:r>
        <w:rPr>
          <w:color w:val="231F20"/>
        </w:rPr>
        <w:t>法定代表人（签字</w:t>
      </w:r>
      <w:r>
        <w:rPr>
          <w:color w:val="231F20"/>
          <w:spacing w:val="-28"/>
        </w:rPr>
        <w:t>）：</w:t>
        <w:tab/>
      </w:r>
      <w:r>
        <w:rPr>
          <w:color w:val="231F20"/>
        </w:rPr>
        <w:t>法定代表人（签字</w:t>
      </w:r>
      <w:r>
        <w:rPr>
          <w:color w:val="231F20"/>
          <w:spacing w:val="-28"/>
        </w:rPr>
        <w:t>）：</w:t>
      </w:r>
    </w:p>
    <w:p>
      <w:pPr>
        <w:pStyle w:val="BodyText"/>
        <w:tabs>
          <w:tab w:pos="4857" w:val="left" w:leader="none"/>
        </w:tabs>
        <w:ind w:left="557"/>
      </w:pPr>
      <w:r>
        <w:rPr>
          <w:color w:val="231F20"/>
        </w:rPr>
        <w:t>委托代理人（签字</w:t>
      </w:r>
      <w:r>
        <w:rPr>
          <w:color w:val="231F20"/>
          <w:spacing w:val="-28"/>
        </w:rPr>
        <w:t>）：</w:t>
        <w:tab/>
      </w:r>
      <w:r>
        <w:rPr>
          <w:color w:val="231F20"/>
        </w:rPr>
        <w:t>委托代理人（签字</w:t>
      </w:r>
      <w:r>
        <w:rPr>
          <w:color w:val="231F20"/>
          <w:spacing w:val="-28"/>
        </w:rPr>
        <w:t>）：</w:t>
      </w:r>
    </w:p>
    <w:p>
      <w:pPr>
        <w:pStyle w:val="BodyText"/>
        <w:tabs>
          <w:tab w:pos="1217" w:val="left" w:leader="none"/>
          <w:tab w:pos="4857" w:val="left" w:leader="none"/>
          <w:tab w:pos="5517" w:val="left" w:leader="none"/>
        </w:tabs>
        <w:ind w:left="557"/>
      </w:pPr>
      <w:r>
        <w:rPr>
          <w:color w:val="231F20"/>
        </w:rPr>
        <w:t>电</w:t>
        <w:tab/>
        <w:t>话：</w:t>
        <w:tab/>
        <w:t>电</w:t>
        <w:tab/>
        <w:t>话：</w:t>
      </w:r>
    </w:p>
    <w:p>
      <w:pPr>
        <w:pStyle w:val="BodyText"/>
        <w:tabs>
          <w:tab w:pos="1217" w:val="left" w:leader="none"/>
          <w:tab w:pos="4857" w:val="left" w:leader="none"/>
          <w:tab w:pos="5517" w:val="left" w:leader="none"/>
        </w:tabs>
        <w:ind w:left="557"/>
      </w:pPr>
      <w:r>
        <w:rPr>
          <w:color w:val="231F20"/>
        </w:rPr>
        <w:t>传</w:t>
        <w:tab/>
        <w:t>真：</w:t>
        <w:tab/>
        <w:t>传</w:t>
        <w:tab/>
        <w:t>真：</w:t>
      </w:r>
    </w:p>
    <w:p>
      <w:pPr>
        <w:pStyle w:val="BodyText"/>
        <w:tabs>
          <w:tab w:pos="4857" w:val="left" w:leader="none"/>
        </w:tabs>
        <w:ind w:left="557"/>
      </w:pPr>
      <w:r>
        <w:rPr>
          <w:color w:val="231F20"/>
        </w:rPr>
        <w:t>开户银行：</w:t>
        <w:tab/>
        <w:t>开户银行：</w:t>
      </w:r>
    </w:p>
    <w:p>
      <w:pPr>
        <w:pStyle w:val="BodyText"/>
        <w:tabs>
          <w:tab w:pos="1217" w:val="left" w:leader="none"/>
          <w:tab w:pos="4857" w:val="left" w:leader="none"/>
          <w:tab w:pos="5517" w:val="left" w:leader="none"/>
        </w:tabs>
        <w:ind w:left="557"/>
      </w:pPr>
      <w:r>
        <w:rPr>
          <w:color w:val="231F20"/>
        </w:rPr>
        <w:t>账</w:t>
        <w:tab/>
        <w:t>号：</w:t>
        <w:tab/>
        <w:t>账</w:t>
        <w:tab/>
        <w:t>号：</w:t>
      </w:r>
    </w:p>
    <w:p>
      <w:pPr>
        <w:pStyle w:val="BodyText"/>
        <w:tabs>
          <w:tab w:pos="4857" w:val="left" w:leader="none"/>
        </w:tabs>
        <w:ind w:left="557"/>
      </w:pPr>
      <w:r>
        <w:rPr>
          <w:color w:val="231F20"/>
        </w:rPr>
        <w:t>邮政编码：</w:t>
        <w:tab/>
        <w:t>邮政编码：</w:t>
      </w:r>
    </w:p>
    <w:p>
      <w:pPr>
        <w:spacing w:after="0"/>
        <w:sectPr>
          <w:footerReference w:type="even" r:id="rId44"/>
          <w:footerReference w:type="default" r:id="rId45"/>
          <w:pgSz w:w="11910" w:h="16840"/>
          <w:pgMar w:footer="832" w:header="0" w:top="1580" w:bottom="1020" w:left="1300" w:right="1200"/>
        </w:sectPr>
      </w:pPr>
    </w:p>
    <w:p>
      <w:pPr>
        <w:pStyle w:val="BodyText"/>
        <w:spacing w:before="18"/>
        <w:ind w:left="557"/>
        <w:rPr>
          <w:rFonts w:ascii="方正黑体_GBK" w:eastAsia="方正黑体_GBK" w:hint="eastAsia"/>
        </w:rPr>
      </w:pPr>
      <w:r>
        <w:rPr>
          <w:rFonts w:ascii="方正黑体_GBK" w:eastAsia="方正黑体_GBK" w:hint="eastAsia"/>
          <w:color w:val="231F20"/>
          <w:spacing w:val="-3"/>
        </w:rPr>
        <w:t>附件 </w:t>
      </w:r>
      <w:r>
        <w:rPr>
          <w:rFonts w:ascii="方正黑体_GBK" w:eastAsia="方正黑体_GBK" w:hint="eastAsia"/>
          <w:color w:val="231F20"/>
        </w:rPr>
        <w:t>4</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主要建设工程文件目录</w:t>
      </w:r>
    </w:p>
    <w:p>
      <w:pPr>
        <w:spacing w:after="0"/>
        <w:sectPr>
          <w:pgSz w:w="11910" w:h="16840"/>
          <w:pgMar w:header="0" w:footer="832" w:top="1580" w:bottom="1020" w:left="1300" w:right="1300"/>
          <w:cols w:num="2" w:equalWidth="0">
            <w:col w:w="1175" w:space="1621"/>
            <w:col w:w="651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090"/>
        <w:gridCol w:w="1255"/>
        <w:gridCol w:w="1426"/>
        <w:gridCol w:w="1222"/>
        <w:gridCol w:w="1426"/>
        <w:gridCol w:w="1642"/>
      </w:tblGrid>
      <w:tr>
        <w:trPr>
          <w:trHeight w:val="380" w:hRule="atLeast"/>
        </w:trPr>
        <w:tc>
          <w:tcPr>
            <w:tcW w:w="2090" w:type="dxa"/>
          </w:tcPr>
          <w:p>
            <w:pPr>
              <w:pStyle w:val="TableParagraph"/>
              <w:spacing w:before="44"/>
              <w:ind w:left="684"/>
              <w:rPr>
                <w:sz w:val="18"/>
              </w:rPr>
            </w:pPr>
            <w:r>
              <w:rPr>
                <w:color w:val="231F20"/>
                <w:sz w:val="18"/>
              </w:rPr>
              <w:t>文件名称</w:t>
            </w:r>
          </w:p>
        </w:tc>
        <w:tc>
          <w:tcPr>
            <w:tcW w:w="1255" w:type="dxa"/>
          </w:tcPr>
          <w:p>
            <w:pPr>
              <w:pStyle w:val="TableParagraph"/>
              <w:spacing w:before="44"/>
              <w:ind w:left="426" w:right="418"/>
              <w:jc w:val="center"/>
              <w:rPr>
                <w:sz w:val="18"/>
              </w:rPr>
            </w:pPr>
            <w:r>
              <w:rPr>
                <w:color w:val="231F20"/>
                <w:sz w:val="18"/>
              </w:rPr>
              <w:t>套数</w:t>
            </w:r>
          </w:p>
        </w:tc>
        <w:tc>
          <w:tcPr>
            <w:tcW w:w="1426" w:type="dxa"/>
          </w:tcPr>
          <w:p>
            <w:pPr>
              <w:pStyle w:val="TableParagraph"/>
              <w:spacing w:before="44"/>
              <w:ind w:left="262"/>
              <w:rPr>
                <w:sz w:val="18"/>
              </w:rPr>
            </w:pPr>
            <w:r>
              <w:rPr>
                <w:color w:val="231F20"/>
                <w:sz w:val="18"/>
              </w:rPr>
              <w:t>费用（元）</w:t>
            </w:r>
          </w:p>
        </w:tc>
        <w:tc>
          <w:tcPr>
            <w:tcW w:w="1222" w:type="dxa"/>
          </w:tcPr>
          <w:p>
            <w:pPr>
              <w:pStyle w:val="TableParagraph"/>
              <w:spacing w:before="44"/>
              <w:ind w:left="410" w:right="401"/>
              <w:jc w:val="center"/>
              <w:rPr>
                <w:sz w:val="18"/>
              </w:rPr>
            </w:pPr>
            <w:r>
              <w:rPr>
                <w:color w:val="231F20"/>
                <w:sz w:val="18"/>
              </w:rPr>
              <w:t>质量</w:t>
            </w:r>
          </w:p>
        </w:tc>
        <w:tc>
          <w:tcPr>
            <w:tcW w:w="1426" w:type="dxa"/>
          </w:tcPr>
          <w:p>
            <w:pPr>
              <w:pStyle w:val="TableParagraph"/>
              <w:spacing w:before="44"/>
              <w:ind w:left="353"/>
              <w:rPr>
                <w:sz w:val="18"/>
              </w:rPr>
            </w:pPr>
            <w:r>
              <w:rPr>
                <w:color w:val="231F20"/>
                <w:sz w:val="18"/>
              </w:rPr>
              <w:t>移交时间</w:t>
            </w:r>
          </w:p>
        </w:tc>
        <w:tc>
          <w:tcPr>
            <w:tcW w:w="1642" w:type="dxa"/>
          </w:tcPr>
          <w:p>
            <w:pPr>
              <w:pStyle w:val="TableParagraph"/>
              <w:spacing w:before="44"/>
              <w:ind w:left="551"/>
              <w:rPr>
                <w:sz w:val="18"/>
              </w:rPr>
            </w:pPr>
            <w:r>
              <w:rPr>
                <w:color w:val="231F20"/>
                <w:sz w:val="18"/>
              </w:rPr>
              <w:t>责任人</w:t>
            </w: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bl>
    <w:p>
      <w:pPr>
        <w:spacing w:after="0"/>
        <w:rPr>
          <w:rFonts w:ascii="Times New Roman"/>
          <w:sz w:val="20"/>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spacing w:val="-3"/>
        </w:rPr>
        <w:t>附件 </w:t>
      </w:r>
      <w:r>
        <w:rPr>
          <w:rFonts w:ascii="方正黑体_GBK" w:eastAsia="方正黑体_GBK" w:hint="eastAsia"/>
          <w:color w:val="231F20"/>
        </w:rPr>
        <w:t>5</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承包人主要管理人员表</w:t>
      </w:r>
    </w:p>
    <w:p>
      <w:pPr>
        <w:spacing w:after="0"/>
        <w:sectPr>
          <w:footerReference w:type="even" r:id="rId46"/>
          <w:footerReference w:type="default" r:id="rId47"/>
          <w:pgSz w:w="11910" w:h="16840"/>
          <w:pgMar w:footer="832" w:header="0" w:top="1580" w:bottom="1020" w:left="1300" w:right="1300"/>
          <w:cols w:num="2" w:equalWidth="0">
            <w:col w:w="1175" w:space="1621"/>
            <w:col w:w="651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501"/>
        <w:gridCol w:w="1414"/>
        <w:gridCol w:w="1131"/>
        <w:gridCol w:w="1131"/>
        <w:gridCol w:w="3886"/>
      </w:tblGrid>
      <w:tr>
        <w:trPr>
          <w:trHeight w:val="440" w:hRule="atLeast"/>
        </w:trPr>
        <w:tc>
          <w:tcPr>
            <w:tcW w:w="1501" w:type="dxa"/>
          </w:tcPr>
          <w:p>
            <w:pPr>
              <w:pStyle w:val="TableParagraph"/>
              <w:spacing w:before="66"/>
              <w:ind w:left="279" w:right="271"/>
              <w:jc w:val="center"/>
              <w:rPr>
                <w:sz w:val="18"/>
              </w:rPr>
            </w:pPr>
            <w:r>
              <w:rPr>
                <w:color w:val="231F20"/>
                <w:sz w:val="18"/>
              </w:rPr>
              <w:t>名   称</w:t>
            </w:r>
          </w:p>
        </w:tc>
        <w:tc>
          <w:tcPr>
            <w:tcW w:w="1414" w:type="dxa"/>
          </w:tcPr>
          <w:p>
            <w:pPr>
              <w:pStyle w:val="TableParagraph"/>
              <w:spacing w:before="66"/>
              <w:ind w:left="506" w:right="498"/>
              <w:jc w:val="center"/>
              <w:rPr>
                <w:sz w:val="18"/>
              </w:rPr>
            </w:pPr>
            <w:r>
              <w:rPr>
                <w:color w:val="231F20"/>
                <w:sz w:val="18"/>
              </w:rPr>
              <w:t>姓名</w:t>
            </w:r>
          </w:p>
        </w:tc>
        <w:tc>
          <w:tcPr>
            <w:tcW w:w="1131" w:type="dxa"/>
          </w:tcPr>
          <w:p>
            <w:pPr>
              <w:pStyle w:val="TableParagraph"/>
              <w:spacing w:before="66"/>
              <w:ind w:left="364" w:right="356"/>
              <w:jc w:val="center"/>
              <w:rPr>
                <w:sz w:val="18"/>
              </w:rPr>
            </w:pPr>
            <w:r>
              <w:rPr>
                <w:color w:val="231F20"/>
                <w:sz w:val="18"/>
              </w:rPr>
              <w:t>职务</w:t>
            </w:r>
          </w:p>
        </w:tc>
        <w:tc>
          <w:tcPr>
            <w:tcW w:w="1131" w:type="dxa"/>
          </w:tcPr>
          <w:p>
            <w:pPr>
              <w:pStyle w:val="TableParagraph"/>
              <w:spacing w:before="66"/>
              <w:ind w:left="364" w:right="356"/>
              <w:jc w:val="center"/>
              <w:rPr>
                <w:sz w:val="18"/>
              </w:rPr>
            </w:pPr>
            <w:r>
              <w:rPr>
                <w:color w:val="231F20"/>
                <w:sz w:val="18"/>
              </w:rPr>
              <w:t>职称</w:t>
            </w:r>
          </w:p>
        </w:tc>
        <w:tc>
          <w:tcPr>
            <w:tcW w:w="3886" w:type="dxa"/>
          </w:tcPr>
          <w:p>
            <w:pPr>
              <w:pStyle w:val="TableParagraph"/>
              <w:spacing w:before="66"/>
              <w:ind w:left="681"/>
              <w:rPr>
                <w:sz w:val="18"/>
              </w:rPr>
            </w:pPr>
            <w:r>
              <w:rPr>
                <w:color w:val="231F20"/>
                <w:sz w:val="18"/>
              </w:rPr>
              <w:t>主要资历、经验及承担过的项目</w:t>
            </w:r>
          </w:p>
        </w:tc>
      </w:tr>
      <w:tr>
        <w:trPr>
          <w:trHeight w:val="440" w:hRule="atLeast"/>
        </w:trPr>
        <w:tc>
          <w:tcPr>
            <w:tcW w:w="9063" w:type="dxa"/>
            <w:gridSpan w:val="5"/>
          </w:tcPr>
          <w:p>
            <w:pPr>
              <w:pStyle w:val="TableParagraph"/>
              <w:spacing w:before="66"/>
              <w:ind w:left="112"/>
              <w:rPr>
                <w:sz w:val="18"/>
              </w:rPr>
            </w:pPr>
            <w:r>
              <w:rPr>
                <w:color w:val="231F20"/>
                <w:sz w:val="18"/>
              </w:rPr>
              <w:t>一、总部人员</w:t>
            </w:r>
          </w:p>
        </w:tc>
      </w:tr>
      <w:tr>
        <w:trPr>
          <w:trHeight w:val="440" w:hRule="atLeast"/>
        </w:trPr>
        <w:tc>
          <w:tcPr>
            <w:tcW w:w="1501" w:type="dxa"/>
          </w:tcPr>
          <w:p>
            <w:pPr>
              <w:pStyle w:val="TableParagraph"/>
              <w:spacing w:before="66"/>
              <w:ind w:left="279" w:right="271"/>
              <w:jc w:val="center"/>
              <w:rPr>
                <w:sz w:val="18"/>
              </w:rPr>
            </w:pPr>
            <w:r>
              <w:rPr>
                <w:color w:val="231F20"/>
                <w:sz w:val="18"/>
              </w:rPr>
              <w:t>项目主管</w:t>
            </w: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vMerge w:val="restart"/>
          </w:tcPr>
          <w:p>
            <w:pPr>
              <w:pStyle w:val="TableParagraph"/>
              <w:rPr>
                <w:rFonts w:ascii="方正黑体_GBK"/>
                <w:sz w:val="20"/>
              </w:rPr>
            </w:pPr>
          </w:p>
          <w:p>
            <w:pPr>
              <w:pStyle w:val="TableParagraph"/>
              <w:spacing w:before="1"/>
              <w:rPr>
                <w:rFonts w:ascii="方正黑体_GBK"/>
                <w:sz w:val="15"/>
              </w:rPr>
            </w:pPr>
          </w:p>
          <w:p>
            <w:pPr>
              <w:pStyle w:val="TableParagraph"/>
              <w:ind w:left="389"/>
              <w:rPr>
                <w:sz w:val="18"/>
              </w:rPr>
            </w:pPr>
            <w:r>
              <w:rPr>
                <w:color w:val="231F20"/>
                <w:sz w:val="18"/>
              </w:rPr>
              <w:t>其他人员</w:t>
            </w: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vMerge/>
            <w:tcBorders>
              <w:top w:val="nil"/>
            </w:tcBorders>
          </w:tcPr>
          <w:p>
            <w:pPr>
              <w:rPr>
                <w:sz w:val="2"/>
                <w:szCs w:val="2"/>
              </w:rPr>
            </w:pP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vMerge/>
            <w:tcBorders>
              <w:top w:val="nil"/>
            </w:tcBorders>
          </w:tcPr>
          <w:p>
            <w:pPr>
              <w:rPr>
                <w:sz w:val="2"/>
                <w:szCs w:val="2"/>
              </w:rPr>
            </w:pP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9063" w:type="dxa"/>
            <w:gridSpan w:val="5"/>
          </w:tcPr>
          <w:p>
            <w:pPr>
              <w:pStyle w:val="TableParagraph"/>
              <w:spacing w:before="66"/>
              <w:ind w:left="112"/>
              <w:rPr>
                <w:sz w:val="18"/>
              </w:rPr>
            </w:pPr>
            <w:r>
              <w:rPr>
                <w:color w:val="231F20"/>
                <w:sz w:val="18"/>
              </w:rPr>
              <w:t>二、现场人员</w:t>
            </w:r>
          </w:p>
        </w:tc>
      </w:tr>
      <w:tr>
        <w:trPr>
          <w:trHeight w:val="720" w:hRule="atLeast"/>
        </w:trPr>
        <w:tc>
          <w:tcPr>
            <w:tcW w:w="1501" w:type="dxa"/>
          </w:tcPr>
          <w:p>
            <w:pPr>
              <w:pStyle w:val="TableParagraph"/>
              <w:spacing w:line="230" w:lineRule="auto" w:before="90"/>
              <w:ind w:left="389" w:right="272" w:hanging="90"/>
              <w:rPr>
                <w:sz w:val="18"/>
              </w:rPr>
            </w:pPr>
            <w:r>
              <w:rPr>
                <w:color w:val="231F20"/>
                <w:sz w:val="18"/>
              </w:rPr>
              <w:t>工程总承包项目经理</w:t>
            </w: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tcPr>
          <w:p>
            <w:pPr>
              <w:pStyle w:val="TableParagraph"/>
              <w:spacing w:before="66"/>
              <w:ind w:left="279" w:right="271"/>
              <w:jc w:val="center"/>
              <w:rPr>
                <w:sz w:val="18"/>
              </w:rPr>
            </w:pPr>
            <w:r>
              <w:rPr>
                <w:color w:val="231F20"/>
                <w:sz w:val="18"/>
              </w:rPr>
              <w:t>项目副经理</w:t>
            </w: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tcPr>
          <w:p>
            <w:pPr>
              <w:pStyle w:val="TableParagraph"/>
              <w:spacing w:before="66"/>
              <w:ind w:left="279" w:right="271"/>
              <w:jc w:val="center"/>
              <w:rPr>
                <w:sz w:val="18"/>
              </w:rPr>
            </w:pPr>
            <w:r>
              <w:rPr>
                <w:color w:val="231F20"/>
                <w:sz w:val="18"/>
              </w:rPr>
              <w:t>设计负责人</w:t>
            </w: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tcPr>
          <w:p>
            <w:pPr>
              <w:pStyle w:val="TableParagraph"/>
              <w:spacing w:before="66"/>
              <w:ind w:left="279" w:right="271"/>
              <w:jc w:val="center"/>
              <w:rPr>
                <w:sz w:val="18"/>
              </w:rPr>
            </w:pPr>
            <w:r>
              <w:rPr>
                <w:color w:val="231F20"/>
                <w:sz w:val="18"/>
              </w:rPr>
              <w:t>采购负责人</w:t>
            </w: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tcPr>
          <w:p>
            <w:pPr>
              <w:pStyle w:val="TableParagraph"/>
              <w:spacing w:before="66"/>
              <w:ind w:left="279" w:right="271"/>
              <w:jc w:val="center"/>
              <w:rPr>
                <w:sz w:val="18"/>
              </w:rPr>
            </w:pPr>
            <w:r>
              <w:rPr>
                <w:color w:val="231F20"/>
                <w:sz w:val="18"/>
              </w:rPr>
              <w:t>施工负责人</w:t>
            </w: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tcPr>
          <w:p>
            <w:pPr>
              <w:pStyle w:val="TableParagraph"/>
              <w:spacing w:before="66"/>
              <w:ind w:left="279" w:right="271"/>
              <w:jc w:val="center"/>
              <w:rPr>
                <w:sz w:val="18"/>
              </w:rPr>
            </w:pPr>
            <w:r>
              <w:rPr>
                <w:color w:val="231F20"/>
                <w:sz w:val="18"/>
              </w:rPr>
              <w:t>技术负责人</w:t>
            </w: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tcPr>
          <w:p>
            <w:pPr>
              <w:pStyle w:val="TableParagraph"/>
              <w:spacing w:before="66"/>
              <w:ind w:left="279" w:right="271"/>
              <w:jc w:val="center"/>
              <w:rPr>
                <w:sz w:val="18"/>
              </w:rPr>
            </w:pPr>
            <w:r>
              <w:rPr>
                <w:color w:val="231F20"/>
                <w:sz w:val="18"/>
              </w:rPr>
              <w:t>造价管理</w:t>
            </w: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tcPr>
          <w:p>
            <w:pPr>
              <w:pStyle w:val="TableParagraph"/>
              <w:spacing w:before="66"/>
              <w:ind w:left="279" w:right="271"/>
              <w:jc w:val="center"/>
              <w:rPr>
                <w:sz w:val="18"/>
              </w:rPr>
            </w:pPr>
            <w:r>
              <w:rPr>
                <w:color w:val="231F20"/>
                <w:sz w:val="18"/>
              </w:rPr>
              <w:t>质量管理</w:t>
            </w: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tcPr>
          <w:p>
            <w:pPr>
              <w:pStyle w:val="TableParagraph"/>
              <w:spacing w:before="66"/>
              <w:ind w:left="279" w:right="271"/>
              <w:jc w:val="center"/>
              <w:rPr>
                <w:sz w:val="18"/>
              </w:rPr>
            </w:pPr>
            <w:r>
              <w:rPr>
                <w:color w:val="231F20"/>
                <w:sz w:val="18"/>
              </w:rPr>
              <w:t>计划管理</w:t>
            </w: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tcPr>
          <w:p>
            <w:pPr>
              <w:pStyle w:val="TableParagraph"/>
              <w:spacing w:before="66"/>
              <w:ind w:left="279" w:right="271"/>
              <w:jc w:val="center"/>
              <w:rPr>
                <w:sz w:val="18"/>
              </w:rPr>
            </w:pPr>
            <w:r>
              <w:rPr>
                <w:color w:val="231F20"/>
                <w:sz w:val="18"/>
              </w:rPr>
              <w:t>安全管理</w:t>
            </w: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tcPr>
          <w:p>
            <w:pPr>
              <w:pStyle w:val="TableParagraph"/>
              <w:spacing w:before="66"/>
              <w:ind w:left="279" w:right="271"/>
              <w:jc w:val="center"/>
              <w:rPr>
                <w:sz w:val="18"/>
              </w:rPr>
            </w:pPr>
            <w:r>
              <w:rPr>
                <w:color w:val="231F20"/>
                <w:sz w:val="18"/>
              </w:rPr>
              <w:t>环境管理</w:t>
            </w: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vMerge w:val="restart"/>
          </w:tcPr>
          <w:p>
            <w:pPr>
              <w:pStyle w:val="TableParagraph"/>
              <w:rPr>
                <w:rFonts w:ascii="方正黑体_GBK"/>
                <w:sz w:val="20"/>
              </w:rPr>
            </w:pPr>
          </w:p>
          <w:p>
            <w:pPr>
              <w:pStyle w:val="TableParagraph"/>
              <w:rPr>
                <w:rFonts w:ascii="方正黑体_GBK"/>
                <w:sz w:val="20"/>
              </w:rPr>
            </w:pPr>
          </w:p>
          <w:p>
            <w:pPr>
              <w:pStyle w:val="TableParagraph"/>
              <w:rPr>
                <w:rFonts w:ascii="方正黑体_GBK"/>
                <w:sz w:val="20"/>
              </w:rPr>
            </w:pPr>
          </w:p>
          <w:p>
            <w:pPr>
              <w:pStyle w:val="TableParagraph"/>
              <w:spacing w:before="14"/>
              <w:rPr>
                <w:rFonts w:ascii="方正黑体_GBK"/>
                <w:sz w:val="20"/>
              </w:rPr>
            </w:pPr>
          </w:p>
          <w:p>
            <w:pPr>
              <w:pStyle w:val="TableParagraph"/>
              <w:ind w:left="389"/>
              <w:rPr>
                <w:sz w:val="18"/>
              </w:rPr>
            </w:pPr>
            <w:r>
              <w:rPr>
                <w:color w:val="231F20"/>
                <w:sz w:val="18"/>
              </w:rPr>
              <w:t>其他人员</w:t>
            </w: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vMerge/>
            <w:tcBorders>
              <w:top w:val="nil"/>
            </w:tcBorders>
          </w:tcPr>
          <w:p>
            <w:pPr>
              <w:rPr>
                <w:sz w:val="2"/>
                <w:szCs w:val="2"/>
              </w:rPr>
            </w:pP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vMerge/>
            <w:tcBorders>
              <w:top w:val="nil"/>
            </w:tcBorders>
          </w:tcPr>
          <w:p>
            <w:pPr>
              <w:rPr>
                <w:sz w:val="2"/>
                <w:szCs w:val="2"/>
              </w:rPr>
            </w:pP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vMerge/>
            <w:tcBorders>
              <w:top w:val="nil"/>
            </w:tcBorders>
          </w:tcPr>
          <w:p>
            <w:pPr>
              <w:rPr>
                <w:sz w:val="2"/>
                <w:szCs w:val="2"/>
              </w:rPr>
            </w:pP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vMerge/>
            <w:tcBorders>
              <w:top w:val="nil"/>
            </w:tcBorders>
          </w:tcPr>
          <w:p>
            <w:pPr>
              <w:rPr>
                <w:sz w:val="2"/>
                <w:szCs w:val="2"/>
              </w:rPr>
            </w:pP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vMerge/>
            <w:tcBorders>
              <w:top w:val="nil"/>
            </w:tcBorders>
          </w:tcPr>
          <w:p>
            <w:pPr>
              <w:rPr>
                <w:sz w:val="2"/>
                <w:szCs w:val="2"/>
              </w:rPr>
            </w:pP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bl>
    <w:p>
      <w:pPr>
        <w:spacing w:after="0"/>
        <w:rPr>
          <w:rFonts w:ascii="Times New Roman"/>
          <w:sz w:val="18"/>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spacing w:val="-3"/>
        </w:rPr>
        <w:t>附件 </w:t>
      </w:r>
      <w:r>
        <w:rPr>
          <w:rFonts w:ascii="方正黑体_GBK" w:eastAsia="方正黑体_GBK" w:hint="eastAsia"/>
          <w:color w:val="231F20"/>
        </w:rPr>
        <w:t>6</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价格指数权重表</w:t>
      </w:r>
    </w:p>
    <w:p>
      <w:pPr>
        <w:spacing w:after="0"/>
        <w:sectPr>
          <w:pgSz w:w="11910" w:h="16840"/>
          <w:pgMar w:header="0" w:footer="832" w:top="1580" w:bottom="1020" w:left="1300" w:right="1300"/>
          <w:cols w:num="2" w:equalWidth="0">
            <w:col w:w="1175" w:space="2011"/>
            <w:col w:w="612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893"/>
        <w:gridCol w:w="629"/>
        <w:gridCol w:w="944"/>
        <w:gridCol w:w="1309"/>
        <w:gridCol w:w="1164"/>
        <w:gridCol w:w="1309"/>
        <w:gridCol w:w="1325"/>
        <w:gridCol w:w="1487"/>
      </w:tblGrid>
      <w:tr>
        <w:trPr>
          <w:trHeight w:val="440" w:hRule="atLeast"/>
        </w:trPr>
        <w:tc>
          <w:tcPr>
            <w:tcW w:w="893" w:type="dxa"/>
            <w:vMerge w:val="restart"/>
          </w:tcPr>
          <w:p>
            <w:pPr>
              <w:pStyle w:val="TableParagraph"/>
              <w:spacing w:before="2"/>
              <w:rPr>
                <w:rFonts w:ascii="方正黑体_GBK"/>
                <w:sz w:val="23"/>
              </w:rPr>
            </w:pPr>
          </w:p>
          <w:p>
            <w:pPr>
              <w:pStyle w:val="TableParagraph"/>
              <w:ind w:left="265"/>
              <w:rPr>
                <w:sz w:val="18"/>
              </w:rPr>
            </w:pPr>
            <w:r>
              <w:rPr>
                <w:color w:val="231F20"/>
                <w:sz w:val="18"/>
              </w:rPr>
              <w:t>序号</w:t>
            </w:r>
          </w:p>
        </w:tc>
        <w:tc>
          <w:tcPr>
            <w:tcW w:w="1573" w:type="dxa"/>
            <w:gridSpan w:val="2"/>
            <w:vMerge w:val="restart"/>
          </w:tcPr>
          <w:p>
            <w:pPr>
              <w:pStyle w:val="TableParagraph"/>
              <w:spacing w:before="2"/>
              <w:rPr>
                <w:rFonts w:ascii="方正黑体_GBK"/>
                <w:sz w:val="23"/>
              </w:rPr>
            </w:pPr>
          </w:p>
          <w:p>
            <w:pPr>
              <w:pStyle w:val="TableParagraph"/>
              <w:ind w:left="586" w:right="577"/>
              <w:jc w:val="center"/>
              <w:rPr>
                <w:sz w:val="18"/>
              </w:rPr>
            </w:pPr>
            <w:r>
              <w:rPr>
                <w:color w:val="231F20"/>
                <w:sz w:val="18"/>
              </w:rPr>
              <w:t>名称</w:t>
            </w:r>
          </w:p>
        </w:tc>
        <w:tc>
          <w:tcPr>
            <w:tcW w:w="2473" w:type="dxa"/>
            <w:gridSpan w:val="2"/>
          </w:tcPr>
          <w:p>
            <w:pPr>
              <w:pStyle w:val="TableParagraph"/>
              <w:spacing w:before="74"/>
              <w:ind w:left="799"/>
              <w:rPr>
                <w:sz w:val="18"/>
              </w:rPr>
            </w:pPr>
            <w:r>
              <w:rPr>
                <w:color w:val="231F20"/>
                <w:sz w:val="18"/>
              </w:rPr>
              <w:t>变更权重 B</w:t>
            </w:r>
          </w:p>
        </w:tc>
        <w:tc>
          <w:tcPr>
            <w:tcW w:w="2634" w:type="dxa"/>
            <w:gridSpan w:val="2"/>
          </w:tcPr>
          <w:p>
            <w:pPr>
              <w:pStyle w:val="TableParagraph"/>
              <w:spacing w:before="74"/>
              <w:ind w:left="660"/>
              <w:rPr>
                <w:sz w:val="18"/>
              </w:rPr>
            </w:pPr>
            <w:r>
              <w:rPr>
                <w:color w:val="231F20"/>
                <w:sz w:val="18"/>
              </w:rPr>
              <w:t>基本价格指数 F0</w:t>
            </w:r>
          </w:p>
        </w:tc>
        <w:tc>
          <w:tcPr>
            <w:tcW w:w="1487" w:type="dxa"/>
          </w:tcPr>
          <w:p>
            <w:pPr>
              <w:pStyle w:val="TableParagraph"/>
              <w:spacing w:before="74"/>
              <w:ind w:left="545" w:right="532"/>
              <w:jc w:val="center"/>
              <w:rPr>
                <w:sz w:val="18"/>
              </w:rPr>
            </w:pPr>
            <w:r>
              <w:rPr>
                <w:color w:val="231F20"/>
                <w:sz w:val="18"/>
              </w:rPr>
              <w:t>备注</w:t>
            </w:r>
          </w:p>
        </w:tc>
      </w:tr>
      <w:tr>
        <w:trPr>
          <w:trHeight w:val="520" w:hRule="atLeast"/>
        </w:trPr>
        <w:tc>
          <w:tcPr>
            <w:tcW w:w="893" w:type="dxa"/>
            <w:vMerge/>
            <w:tcBorders>
              <w:top w:val="nil"/>
            </w:tcBorders>
          </w:tcPr>
          <w:p>
            <w:pPr>
              <w:rPr>
                <w:sz w:val="2"/>
                <w:szCs w:val="2"/>
              </w:rPr>
            </w:pPr>
          </w:p>
        </w:tc>
        <w:tc>
          <w:tcPr>
            <w:tcW w:w="1573" w:type="dxa"/>
            <w:gridSpan w:val="2"/>
            <w:vMerge/>
            <w:tcBorders>
              <w:top w:val="nil"/>
            </w:tcBorders>
          </w:tcPr>
          <w:p>
            <w:pPr>
              <w:rPr>
                <w:sz w:val="2"/>
                <w:szCs w:val="2"/>
              </w:rPr>
            </w:pPr>
          </w:p>
        </w:tc>
        <w:tc>
          <w:tcPr>
            <w:tcW w:w="1309" w:type="dxa"/>
          </w:tcPr>
          <w:p>
            <w:pPr>
              <w:pStyle w:val="TableParagraph"/>
              <w:spacing w:before="106"/>
              <w:ind w:left="454" w:right="444"/>
              <w:jc w:val="center"/>
              <w:rPr>
                <w:sz w:val="18"/>
              </w:rPr>
            </w:pPr>
            <w:r>
              <w:rPr>
                <w:color w:val="231F20"/>
                <w:sz w:val="18"/>
              </w:rPr>
              <w:t>代号</w:t>
            </w:r>
          </w:p>
        </w:tc>
        <w:tc>
          <w:tcPr>
            <w:tcW w:w="1164" w:type="dxa"/>
          </w:tcPr>
          <w:p>
            <w:pPr>
              <w:pStyle w:val="TableParagraph"/>
              <w:spacing w:before="106"/>
              <w:ind w:left="382" w:right="372"/>
              <w:jc w:val="center"/>
              <w:rPr>
                <w:sz w:val="18"/>
              </w:rPr>
            </w:pPr>
            <w:r>
              <w:rPr>
                <w:color w:val="231F20"/>
                <w:sz w:val="18"/>
              </w:rPr>
              <w:t>权重</w:t>
            </w:r>
          </w:p>
        </w:tc>
        <w:tc>
          <w:tcPr>
            <w:tcW w:w="1309" w:type="dxa"/>
          </w:tcPr>
          <w:p>
            <w:pPr>
              <w:pStyle w:val="TableParagraph"/>
              <w:spacing w:before="106"/>
              <w:ind w:left="475"/>
              <w:rPr>
                <w:sz w:val="18"/>
              </w:rPr>
            </w:pPr>
            <w:r>
              <w:rPr>
                <w:color w:val="231F20"/>
                <w:sz w:val="18"/>
              </w:rPr>
              <w:t>代号</w:t>
            </w:r>
          </w:p>
        </w:tc>
        <w:tc>
          <w:tcPr>
            <w:tcW w:w="1325" w:type="dxa"/>
          </w:tcPr>
          <w:p>
            <w:pPr>
              <w:pStyle w:val="TableParagraph"/>
              <w:spacing w:before="106"/>
              <w:ind w:left="463" w:right="451"/>
              <w:jc w:val="center"/>
              <w:rPr>
                <w:sz w:val="18"/>
              </w:rPr>
            </w:pPr>
            <w:r>
              <w:rPr>
                <w:color w:val="231F20"/>
                <w:sz w:val="18"/>
              </w:rPr>
              <w:t>指数</w:t>
            </w:r>
          </w:p>
        </w:tc>
        <w:tc>
          <w:tcPr>
            <w:tcW w:w="1487" w:type="dxa"/>
          </w:tcPr>
          <w:p>
            <w:pPr>
              <w:pStyle w:val="TableParagraph"/>
              <w:rPr>
                <w:rFonts w:ascii="Times New Roman"/>
                <w:sz w:val="18"/>
              </w:rPr>
            </w:pPr>
          </w:p>
        </w:tc>
      </w:tr>
      <w:tr>
        <w:trPr>
          <w:trHeight w:val="440" w:hRule="atLeast"/>
        </w:trPr>
        <w:tc>
          <w:tcPr>
            <w:tcW w:w="893" w:type="dxa"/>
          </w:tcPr>
          <w:p>
            <w:pPr>
              <w:pStyle w:val="TableParagraph"/>
              <w:rPr>
                <w:rFonts w:ascii="Times New Roman"/>
                <w:sz w:val="18"/>
              </w:rPr>
            </w:pPr>
          </w:p>
        </w:tc>
        <w:tc>
          <w:tcPr>
            <w:tcW w:w="629" w:type="dxa"/>
            <w:vMerge w:val="restart"/>
          </w:tcPr>
          <w:p>
            <w:pPr>
              <w:pStyle w:val="TableParagraph"/>
              <w:rPr>
                <w:rFonts w:ascii="方正黑体_GBK"/>
                <w:sz w:val="20"/>
              </w:rPr>
            </w:pPr>
          </w:p>
          <w:p>
            <w:pPr>
              <w:pStyle w:val="TableParagraph"/>
              <w:rPr>
                <w:rFonts w:ascii="方正黑体_GBK"/>
                <w:sz w:val="20"/>
              </w:rPr>
            </w:pPr>
          </w:p>
          <w:p>
            <w:pPr>
              <w:pStyle w:val="TableParagraph"/>
              <w:spacing w:before="11"/>
              <w:rPr>
                <w:rFonts w:ascii="方正黑体_GBK"/>
                <w:sz w:val="18"/>
              </w:rPr>
            </w:pPr>
          </w:p>
          <w:p>
            <w:pPr>
              <w:pStyle w:val="TableParagraph"/>
              <w:spacing w:line="230" w:lineRule="auto"/>
              <w:ind w:left="224" w:right="212"/>
              <w:jc w:val="both"/>
              <w:rPr>
                <w:sz w:val="18"/>
              </w:rPr>
            </w:pPr>
            <w:r>
              <w:rPr>
                <w:color w:val="231F20"/>
                <w:sz w:val="18"/>
              </w:rPr>
              <w:t>变值部分</w:t>
            </w:r>
          </w:p>
        </w:tc>
        <w:tc>
          <w:tcPr>
            <w:tcW w:w="944" w:type="dxa"/>
          </w:tcPr>
          <w:p>
            <w:pPr>
              <w:pStyle w:val="TableParagraph"/>
              <w:rPr>
                <w:rFonts w:ascii="Times New Roman"/>
                <w:sz w:val="18"/>
              </w:rPr>
            </w:pPr>
          </w:p>
        </w:tc>
        <w:tc>
          <w:tcPr>
            <w:tcW w:w="1309" w:type="dxa"/>
          </w:tcPr>
          <w:p>
            <w:pPr>
              <w:pStyle w:val="TableParagraph"/>
              <w:spacing w:before="74"/>
              <w:ind w:left="454" w:right="444"/>
              <w:jc w:val="center"/>
              <w:rPr>
                <w:sz w:val="18"/>
              </w:rPr>
            </w:pPr>
            <w:r>
              <w:rPr>
                <w:color w:val="231F20"/>
                <w:sz w:val="18"/>
              </w:rPr>
              <w:t>B1</w:t>
            </w:r>
          </w:p>
        </w:tc>
        <w:tc>
          <w:tcPr>
            <w:tcW w:w="1164" w:type="dxa"/>
          </w:tcPr>
          <w:p>
            <w:pPr>
              <w:pStyle w:val="TableParagraph"/>
              <w:rPr>
                <w:rFonts w:ascii="Times New Roman"/>
                <w:sz w:val="18"/>
              </w:rPr>
            </w:pPr>
          </w:p>
        </w:tc>
        <w:tc>
          <w:tcPr>
            <w:tcW w:w="1309" w:type="dxa"/>
          </w:tcPr>
          <w:p>
            <w:pPr>
              <w:pStyle w:val="TableParagraph"/>
              <w:spacing w:before="74"/>
              <w:ind w:left="515"/>
              <w:rPr>
                <w:sz w:val="18"/>
              </w:rPr>
            </w:pPr>
            <w:r>
              <w:rPr>
                <w:color w:val="231F20"/>
                <w:sz w:val="18"/>
              </w:rPr>
              <w:t>F01</w:t>
            </w:r>
          </w:p>
        </w:tc>
        <w:tc>
          <w:tcPr>
            <w:tcW w:w="1325" w:type="dxa"/>
          </w:tcPr>
          <w:p>
            <w:pPr>
              <w:pStyle w:val="TableParagraph"/>
              <w:rPr>
                <w:rFonts w:ascii="Times New Roman"/>
                <w:sz w:val="18"/>
              </w:rPr>
            </w:pPr>
          </w:p>
        </w:tc>
        <w:tc>
          <w:tcPr>
            <w:tcW w:w="1487" w:type="dxa"/>
          </w:tcPr>
          <w:p>
            <w:pPr>
              <w:pStyle w:val="TableParagraph"/>
              <w:rPr>
                <w:rFonts w:ascii="Times New Roman"/>
                <w:sz w:val="18"/>
              </w:rPr>
            </w:pPr>
          </w:p>
        </w:tc>
      </w:tr>
      <w:tr>
        <w:trPr>
          <w:trHeight w:val="440" w:hRule="atLeast"/>
        </w:trPr>
        <w:tc>
          <w:tcPr>
            <w:tcW w:w="893" w:type="dxa"/>
          </w:tcPr>
          <w:p>
            <w:pPr>
              <w:pStyle w:val="TableParagraph"/>
              <w:rPr>
                <w:rFonts w:ascii="Times New Roman"/>
                <w:sz w:val="18"/>
              </w:rPr>
            </w:pPr>
          </w:p>
        </w:tc>
        <w:tc>
          <w:tcPr>
            <w:tcW w:w="629" w:type="dxa"/>
            <w:vMerge/>
            <w:tcBorders>
              <w:top w:val="nil"/>
            </w:tcBorders>
          </w:tcPr>
          <w:p>
            <w:pPr>
              <w:rPr>
                <w:sz w:val="2"/>
                <w:szCs w:val="2"/>
              </w:rPr>
            </w:pPr>
          </w:p>
        </w:tc>
        <w:tc>
          <w:tcPr>
            <w:tcW w:w="944" w:type="dxa"/>
          </w:tcPr>
          <w:p>
            <w:pPr>
              <w:pStyle w:val="TableParagraph"/>
              <w:rPr>
                <w:rFonts w:ascii="Times New Roman"/>
                <w:sz w:val="18"/>
              </w:rPr>
            </w:pPr>
          </w:p>
        </w:tc>
        <w:tc>
          <w:tcPr>
            <w:tcW w:w="1309" w:type="dxa"/>
          </w:tcPr>
          <w:p>
            <w:pPr>
              <w:pStyle w:val="TableParagraph"/>
              <w:spacing w:before="74"/>
              <w:ind w:left="454" w:right="444"/>
              <w:jc w:val="center"/>
              <w:rPr>
                <w:sz w:val="18"/>
              </w:rPr>
            </w:pPr>
            <w:r>
              <w:rPr>
                <w:color w:val="231F20"/>
                <w:sz w:val="18"/>
              </w:rPr>
              <w:t>B2</w:t>
            </w:r>
          </w:p>
        </w:tc>
        <w:tc>
          <w:tcPr>
            <w:tcW w:w="1164" w:type="dxa"/>
          </w:tcPr>
          <w:p>
            <w:pPr>
              <w:pStyle w:val="TableParagraph"/>
              <w:rPr>
                <w:rFonts w:ascii="Times New Roman"/>
                <w:sz w:val="18"/>
              </w:rPr>
            </w:pPr>
          </w:p>
        </w:tc>
        <w:tc>
          <w:tcPr>
            <w:tcW w:w="1309" w:type="dxa"/>
          </w:tcPr>
          <w:p>
            <w:pPr>
              <w:pStyle w:val="TableParagraph"/>
              <w:spacing w:before="74"/>
              <w:ind w:left="515"/>
              <w:rPr>
                <w:sz w:val="18"/>
              </w:rPr>
            </w:pPr>
            <w:r>
              <w:rPr>
                <w:color w:val="231F20"/>
                <w:sz w:val="18"/>
              </w:rPr>
              <w:t>F02</w:t>
            </w:r>
          </w:p>
        </w:tc>
        <w:tc>
          <w:tcPr>
            <w:tcW w:w="1325" w:type="dxa"/>
          </w:tcPr>
          <w:p>
            <w:pPr>
              <w:pStyle w:val="TableParagraph"/>
              <w:rPr>
                <w:rFonts w:ascii="Times New Roman"/>
                <w:sz w:val="18"/>
              </w:rPr>
            </w:pPr>
          </w:p>
        </w:tc>
        <w:tc>
          <w:tcPr>
            <w:tcW w:w="1487" w:type="dxa"/>
          </w:tcPr>
          <w:p>
            <w:pPr>
              <w:pStyle w:val="TableParagraph"/>
              <w:rPr>
                <w:rFonts w:ascii="Times New Roman"/>
                <w:sz w:val="18"/>
              </w:rPr>
            </w:pPr>
          </w:p>
        </w:tc>
      </w:tr>
      <w:tr>
        <w:trPr>
          <w:trHeight w:val="440" w:hRule="atLeast"/>
        </w:trPr>
        <w:tc>
          <w:tcPr>
            <w:tcW w:w="893" w:type="dxa"/>
          </w:tcPr>
          <w:p>
            <w:pPr>
              <w:pStyle w:val="TableParagraph"/>
              <w:rPr>
                <w:rFonts w:ascii="Times New Roman"/>
                <w:sz w:val="18"/>
              </w:rPr>
            </w:pPr>
          </w:p>
        </w:tc>
        <w:tc>
          <w:tcPr>
            <w:tcW w:w="629" w:type="dxa"/>
            <w:vMerge/>
            <w:tcBorders>
              <w:top w:val="nil"/>
            </w:tcBorders>
          </w:tcPr>
          <w:p>
            <w:pPr>
              <w:rPr>
                <w:sz w:val="2"/>
                <w:szCs w:val="2"/>
              </w:rPr>
            </w:pPr>
          </w:p>
        </w:tc>
        <w:tc>
          <w:tcPr>
            <w:tcW w:w="944" w:type="dxa"/>
          </w:tcPr>
          <w:p>
            <w:pPr>
              <w:pStyle w:val="TableParagraph"/>
              <w:rPr>
                <w:rFonts w:ascii="Times New Roman"/>
                <w:sz w:val="18"/>
              </w:rPr>
            </w:pPr>
          </w:p>
        </w:tc>
        <w:tc>
          <w:tcPr>
            <w:tcW w:w="1309" w:type="dxa"/>
          </w:tcPr>
          <w:p>
            <w:pPr>
              <w:pStyle w:val="TableParagraph"/>
              <w:spacing w:before="74"/>
              <w:ind w:left="454" w:right="444"/>
              <w:jc w:val="center"/>
              <w:rPr>
                <w:sz w:val="18"/>
              </w:rPr>
            </w:pPr>
            <w:r>
              <w:rPr>
                <w:color w:val="231F20"/>
                <w:sz w:val="18"/>
              </w:rPr>
              <w:t>B3</w:t>
            </w:r>
          </w:p>
        </w:tc>
        <w:tc>
          <w:tcPr>
            <w:tcW w:w="1164" w:type="dxa"/>
          </w:tcPr>
          <w:p>
            <w:pPr>
              <w:pStyle w:val="TableParagraph"/>
              <w:rPr>
                <w:rFonts w:ascii="Times New Roman"/>
                <w:sz w:val="18"/>
              </w:rPr>
            </w:pPr>
          </w:p>
        </w:tc>
        <w:tc>
          <w:tcPr>
            <w:tcW w:w="1309" w:type="dxa"/>
          </w:tcPr>
          <w:p>
            <w:pPr>
              <w:pStyle w:val="TableParagraph"/>
              <w:spacing w:before="74"/>
              <w:ind w:left="515"/>
              <w:rPr>
                <w:sz w:val="18"/>
              </w:rPr>
            </w:pPr>
            <w:r>
              <w:rPr>
                <w:color w:val="231F20"/>
                <w:sz w:val="18"/>
              </w:rPr>
              <w:t>F03</w:t>
            </w:r>
          </w:p>
        </w:tc>
        <w:tc>
          <w:tcPr>
            <w:tcW w:w="1325" w:type="dxa"/>
          </w:tcPr>
          <w:p>
            <w:pPr>
              <w:pStyle w:val="TableParagraph"/>
              <w:rPr>
                <w:rFonts w:ascii="Times New Roman"/>
                <w:sz w:val="18"/>
              </w:rPr>
            </w:pPr>
          </w:p>
        </w:tc>
        <w:tc>
          <w:tcPr>
            <w:tcW w:w="1487" w:type="dxa"/>
          </w:tcPr>
          <w:p>
            <w:pPr>
              <w:pStyle w:val="TableParagraph"/>
              <w:rPr>
                <w:rFonts w:ascii="Times New Roman"/>
                <w:sz w:val="18"/>
              </w:rPr>
            </w:pPr>
          </w:p>
        </w:tc>
      </w:tr>
      <w:tr>
        <w:trPr>
          <w:trHeight w:val="440" w:hRule="atLeast"/>
        </w:trPr>
        <w:tc>
          <w:tcPr>
            <w:tcW w:w="893" w:type="dxa"/>
          </w:tcPr>
          <w:p>
            <w:pPr>
              <w:pStyle w:val="TableParagraph"/>
              <w:rPr>
                <w:rFonts w:ascii="Times New Roman"/>
                <w:sz w:val="18"/>
              </w:rPr>
            </w:pPr>
          </w:p>
        </w:tc>
        <w:tc>
          <w:tcPr>
            <w:tcW w:w="629" w:type="dxa"/>
            <w:vMerge/>
            <w:tcBorders>
              <w:top w:val="nil"/>
            </w:tcBorders>
          </w:tcPr>
          <w:p>
            <w:pPr>
              <w:rPr>
                <w:sz w:val="2"/>
                <w:szCs w:val="2"/>
              </w:rPr>
            </w:pPr>
          </w:p>
        </w:tc>
        <w:tc>
          <w:tcPr>
            <w:tcW w:w="944" w:type="dxa"/>
          </w:tcPr>
          <w:p>
            <w:pPr>
              <w:pStyle w:val="TableParagraph"/>
              <w:rPr>
                <w:rFonts w:ascii="Times New Roman"/>
                <w:sz w:val="18"/>
              </w:rPr>
            </w:pPr>
          </w:p>
        </w:tc>
        <w:tc>
          <w:tcPr>
            <w:tcW w:w="1309" w:type="dxa"/>
          </w:tcPr>
          <w:p>
            <w:pPr>
              <w:pStyle w:val="TableParagraph"/>
              <w:spacing w:before="74"/>
              <w:ind w:left="454" w:right="444"/>
              <w:jc w:val="center"/>
              <w:rPr>
                <w:sz w:val="18"/>
              </w:rPr>
            </w:pPr>
            <w:r>
              <w:rPr>
                <w:color w:val="231F20"/>
                <w:sz w:val="18"/>
              </w:rPr>
              <w:t>B4</w:t>
            </w:r>
          </w:p>
        </w:tc>
        <w:tc>
          <w:tcPr>
            <w:tcW w:w="1164" w:type="dxa"/>
          </w:tcPr>
          <w:p>
            <w:pPr>
              <w:pStyle w:val="TableParagraph"/>
              <w:rPr>
                <w:rFonts w:ascii="Times New Roman"/>
                <w:sz w:val="18"/>
              </w:rPr>
            </w:pPr>
          </w:p>
        </w:tc>
        <w:tc>
          <w:tcPr>
            <w:tcW w:w="1309" w:type="dxa"/>
          </w:tcPr>
          <w:p>
            <w:pPr>
              <w:pStyle w:val="TableParagraph"/>
              <w:spacing w:before="74"/>
              <w:ind w:left="515"/>
              <w:rPr>
                <w:sz w:val="18"/>
              </w:rPr>
            </w:pPr>
            <w:r>
              <w:rPr>
                <w:color w:val="231F20"/>
                <w:sz w:val="18"/>
              </w:rPr>
              <w:t>F04</w:t>
            </w:r>
          </w:p>
        </w:tc>
        <w:tc>
          <w:tcPr>
            <w:tcW w:w="1325" w:type="dxa"/>
          </w:tcPr>
          <w:p>
            <w:pPr>
              <w:pStyle w:val="TableParagraph"/>
              <w:rPr>
                <w:rFonts w:ascii="Times New Roman"/>
                <w:sz w:val="18"/>
              </w:rPr>
            </w:pPr>
          </w:p>
        </w:tc>
        <w:tc>
          <w:tcPr>
            <w:tcW w:w="1487" w:type="dxa"/>
          </w:tcPr>
          <w:p>
            <w:pPr>
              <w:pStyle w:val="TableParagraph"/>
              <w:rPr>
                <w:rFonts w:ascii="Times New Roman"/>
                <w:sz w:val="18"/>
              </w:rPr>
            </w:pPr>
          </w:p>
        </w:tc>
      </w:tr>
      <w:tr>
        <w:trPr>
          <w:trHeight w:val="440" w:hRule="atLeast"/>
        </w:trPr>
        <w:tc>
          <w:tcPr>
            <w:tcW w:w="893" w:type="dxa"/>
          </w:tcPr>
          <w:p>
            <w:pPr>
              <w:pStyle w:val="TableParagraph"/>
              <w:rPr>
                <w:rFonts w:ascii="Times New Roman"/>
                <w:sz w:val="18"/>
              </w:rPr>
            </w:pPr>
          </w:p>
        </w:tc>
        <w:tc>
          <w:tcPr>
            <w:tcW w:w="629" w:type="dxa"/>
            <w:vMerge/>
            <w:tcBorders>
              <w:top w:val="nil"/>
            </w:tcBorders>
          </w:tcPr>
          <w:p>
            <w:pPr>
              <w:rPr>
                <w:sz w:val="2"/>
                <w:szCs w:val="2"/>
              </w:rPr>
            </w:pPr>
          </w:p>
        </w:tc>
        <w:tc>
          <w:tcPr>
            <w:tcW w:w="944" w:type="dxa"/>
          </w:tcPr>
          <w:p>
            <w:pPr>
              <w:pStyle w:val="TableParagraph"/>
              <w:rPr>
                <w:rFonts w:ascii="Times New Roman"/>
                <w:sz w:val="18"/>
              </w:rPr>
            </w:pPr>
          </w:p>
        </w:tc>
        <w:tc>
          <w:tcPr>
            <w:tcW w:w="1309" w:type="dxa"/>
          </w:tcPr>
          <w:p>
            <w:pPr>
              <w:pStyle w:val="TableParagraph"/>
              <w:rPr>
                <w:rFonts w:ascii="Times New Roman"/>
                <w:sz w:val="18"/>
              </w:rPr>
            </w:pPr>
          </w:p>
        </w:tc>
        <w:tc>
          <w:tcPr>
            <w:tcW w:w="1164" w:type="dxa"/>
          </w:tcPr>
          <w:p>
            <w:pPr>
              <w:pStyle w:val="TableParagraph"/>
              <w:rPr>
                <w:rFonts w:ascii="Times New Roman"/>
                <w:sz w:val="18"/>
              </w:rPr>
            </w:pPr>
          </w:p>
        </w:tc>
        <w:tc>
          <w:tcPr>
            <w:tcW w:w="1309" w:type="dxa"/>
          </w:tcPr>
          <w:p>
            <w:pPr>
              <w:pStyle w:val="TableParagraph"/>
              <w:rPr>
                <w:rFonts w:ascii="Times New Roman"/>
                <w:sz w:val="18"/>
              </w:rPr>
            </w:pPr>
          </w:p>
        </w:tc>
        <w:tc>
          <w:tcPr>
            <w:tcW w:w="1325" w:type="dxa"/>
          </w:tcPr>
          <w:p>
            <w:pPr>
              <w:pStyle w:val="TableParagraph"/>
              <w:rPr>
                <w:rFonts w:ascii="Times New Roman"/>
                <w:sz w:val="18"/>
              </w:rPr>
            </w:pPr>
          </w:p>
        </w:tc>
        <w:tc>
          <w:tcPr>
            <w:tcW w:w="1487" w:type="dxa"/>
          </w:tcPr>
          <w:p>
            <w:pPr>
              <w:pStyle w:val="TableParagraph"/>
              <w:rPr>
                <w:rFonts w:ascii="Times New Roman"/>
                <w:sz w:val="18"/>
              </w:rPr>
            </w:pPr>
          </w:p>
        </w:tc>
      </w:tr>
      <w:tr>
        <w:trPr>
          <w:trHeight w:val="440" w:hRule="atLeast"/>
        </w:trPr>
        <w:tc>
          <w:tcPr>
            <w:tcW w:w="893" w:type="dxa"/>
          </w:tcPr>
          <w:p>
            <w:pPr>
              <w:pStyle w:val="TableParagraph"/>
              <w:rPr>
                <w:rFonts w:ascii="Times New Roman"/>
                <w:sz w:val="18"/>
              </w:rPr>
            </w:pPr>
          </w:p>
        </w:tc>
        <w:tc>
          <w:tcPr>
            <w:tcW w:w="629" w:type="dxa"/>
            <w:vMerge/>
            <w:tcBorders>
              <w:top w:val="nil"/>
            </w:tcBorders>
          </w:tcPr>
          <w:p>
            <w:pPr>
              <w:rPr>
                <w:sz w:val="2"/>
                <w:szCs w:val="2"/>
              </w:rPr>
            </w:pPr>
          </w:p>
        </w:tc>
        <w:tc>
          <w:tcPr>
            <w:tcW w:w="944" w:type="dxa"/>
          </w:tcPr>
          <w:p>
            <w:pPr>
              <w:pStyle w:val="TableParagraph"/>
              <w:rPr>
                <w:rFonts w:ascii="Times New Roman"/>
                <w:sz w:val="18"/>
              </w:rPr>
            </w:pPr>
          </w:p>
        </w:tc>
        <w:tc>
          <w:tcPr>
            <w:tcW w:w="1309" w:type="dxa"/>
          </w:tcPr>
          <w:p>
            <w:pPr>
              <w:pStyle w:val="TableParagraph"/>
              <w:rPr>
                <w:rFonts w:ascii="Times New Roman"/>
                <w:sz w:val="18"/>
              </w:rPr>
            </w:pPr>
          </w:p>
        </w:tc>
        <w:tc>
          <w:tcPr>
            <w:tcW w:w="1164" w:type="dxa"/>
          </w:tcPr>
          <w:p>
            <w:pPr>
              <w:pStyle w:val="TableParagraph"/>
              <w:rPr>
                <w:rFonts w:ascii="Times New Roman"/>
                <w:sz w:val="18"/>
              </w:rPr>
            </w:pPr>
          </w:p>
        </w:tc>
        <w:tc>
          <w:tcPr>
            <w:tcW w:w="1309" w:type="dxa"/>
          </w:tcPr>
          <w:p>
            <w:pPr>
              <w:pStyle w:val="TableParagraph"/>
              <w:rPr>
                <w:rFonts w:ascii="Times New Roman"/>
                <w:sz w:val="18"/>
              </w:rPr>
            </w:pPr>
          </w:p>
        </w:tc>
        <w:tc>
          <w:tcPr>
            <w:tcW w:w="1325" w:type="dxa"/>
          </w:tcPr>
          <w:p>
            <w:pPr>
              <w:pStyle w:val="TableParagraph"/>
              <w:rPr>
                <w:rFonts w:ascii="Times New Roman"/>
                <w:sz w:val="18"/>
              </w:rPr>
            </w:pPr>
          </w:p>
        </w:tc>
        <w:tc>
          <w:tcPr>
            <w:tcW w:w="1487" w:type="dxa"/>
          </w:tcPr>
          <w:p>
            <w:pPr>
              <w:pStyle w:val="TableParagraph"/>
              <w:rPr>
                <w:rFonts w:ascii="Times New Roman"/>
                <w:sz w:val="18"/>
              </w:rPr>
            </w:pPr>
          </w:p>
        </w:tc>
      </w:tr>
      <w:tr>
        <w:trPr>
          <w:trHeight w:val="440" w:hRule="atLeast"/>
        </w:trPr>
        <w:tc>
          <w:tcPr>
            <w:tcW w:w="2466" w:type="dxa"/>
            <w:gridSpan w:val="3"/>
          </w:tcPr>
          <w:p>
            <w:pPr>
              <w:pStyle w:val="TableParagraph"/>
              <w:spacing w:before="74"/>
              <w:ind w:left="610"/>
              <w:rPr>
                <w:sz w:val="18"/>
              </w:rPr>
            </w:pPr>
            <w:r>
              <w:rPr>
                <w:color w:val="231F20"/>
                <w:sz w:val="18"/>
              </w:rPr>
              <w:t>定值部分权重 A</w:t>
            </w:r>
          </w:p>
        </w:tc>
        <w:tc>
          <w:tcPr>
            <w:tcW w:w="1309" w:type="dxa"/>
          </w:tcPr>
          <w:p>
            <w:pPr>
              <w:pStyle w:val="TableParagraph"/>
              <w:rPr>
                <w:rFonts w:ascii="Times New Roman"/>
                <w:sz w:val="18"/>
              </w:rPr>
            </w:pPr>
          </w:p>
        </w:tc>
        <w:tc>
          <w:tcPr>
            <w:tcW w:w="1164" w:type="dxa"/>
          </w:tcPr>
          <w:p>
            <w:pPr>
              <w:pStyle w:val="TableParagraph"/>
              <w:rPr>
                <w:rFonts w:ascii="Times New Roman"/>
                <w:sz w:val="18"/>
              </w:rPr>
            </w:pPr>
          </w:p>
        </w:tc>
        <w:tc>
          <w:tcPr>
            <w:tcW w:w="1309" w:type="dxa"/>
          </w:tcPr>
          <w:p>
            <w:pPr>
              <w:pStyle w:val="TableParagraph"/>
              <w:rPr>
                <w:rFonts w:ascii="Times New Roman"/>
                <w:sz w:val="18"/>
              </w:rPr>
            </w:pPr>
          </w:p>
        </w:tc>
        <w:tc>
          <w:tcPr>
            <w:tcW w:w="1325" w:type="dxa"/>
          </w:tcPr>
          <w:p>
            <w:pPr>
              <w:pStyle w:val="TableParagraph"/>
              <w:rPr>
                <w:rFonts w:ascii="Times New Roman"/>
                <w:sz w:val="18"/>
              </w:rPr>
            </w:pPr>
          </w:p>
        </w:tc>
        <w:tc>
          <w:tcPr>
            <w:tcW w:w="1487" w:type="dxa"/>
          </w:tcPr>
          <w:p>
            <w:pPr>
              <w:pStyle w:val="TableParagraph"/>
              <w:rPr>
                <w:rFonts w:ascii="Times New Roman"/>
                <w:sz w:val="18"/>
              </w:rPr>
            </w:pPr>
          </w:p>
        </w:tc>
      </w:tr>
      <w:tr>
        <w:trPr>
          <w:trHeight w:val="440" w:hRule="atLeast"/>
        </w:trPr>
        <w:tc>
          <w:tcPr>
            <w:tcW w:w="2466" w:type="dxa"/>
            <w:gridSpan w:val="3"/>
          </w:tcPr>
          <w:p>
            <w:pPr>
              <w:pStyle w:val="TableParagraph"/>
              <w:spacing w:before="74"/>
              <w:ind w:left="1032" w:right="1023"/>
              <w:jc w:val="center"/>
              <w:rPr>
                <w:sz w:val="18"/>
              </w:rPr>
            </w:pPr>
            <w:r>
              <w:rPr>
                <w:color w:val="231F20"/>
                <w:sz w:val="18"/>
              </w:rPr>
              <w:t>合计</w:t>
            </w:r>
          </w:p>
        </w:tc>
        <w:tc>
          <w:tcPr>
            <w:tcW w:w="2473" w:type="dxa"/>
            <w:gridSpan w:val="2"/>
          </w:tcPr>
          <w:p>
            <w:pPr>
              <w:pStyle w:val="TableParagraph"/>
              <w:rPr>
                <w:rFonts w:ascii="Times New Roman"/>
                <w:sz w:val="18"/>
              </w:rPr>
            </w:pPr>
          </w:p>
        </w:tc>
        <w:tc>
          <w:tcPr>
            <w:tcW w:w="2634" w:type="dxa"/>
            <w:gridSpan w:val="2"/>
          </w:tcPr>
          <w:p>
            <w:pPr>
              <w:pStyle w:val="TableParagraph"/>
              <w:rPr>
                <w:rFonts w:ascii="Times New Roman"/>
                <w:sz w:val="18"/>
              </w:rPr>
            </w:pPr>
          </w:p>
        </w:tc>
        <w:tc>
          <w:tcPr>
            <w:tcW w:w="1487" w:type="dxa"/>
          </w:tcPr>
          <w:p>
            <w:pPr>
              <w:pStyle w:val="TableParagraph"/>
              <w:rPr>
                <w:rFonts w:ascii="Times New Roman"/>
                <w:sz w:val="18"/>
              </w:rPr>
            </w:pPr>
          </w:p>
        </w:tc>
      </w:tr>
    </w:tbl>
    <w:sectPr>
      <w:type w:val="continuous"/>
      <w:pgSz w:w="11910" w:h="16840"/>
      <w:pgMar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书宋_GBK">
    <w:altName w:val="方正书宋_GBK"/>
    <w:charset w:val="86"/>
    <w:family w:val="script"/>
    <w:pitch w:val="fixed"/>
  </w:font>
  <w:font w:name="方正黑体_GBK">
    <w:altName w:val="方正黑体_GBK"/>
    <w:charset w:val="86"/>
    <w:family w:val="script"/>
    <w:pitch w:val="fixed"/>
  </w:font>
  <w:font w:name="方正小标宋_GBK">
    <w:altName w:val="方正小标宋_GBK"/>
    <w:charset w:val="86"/>
    <w:family w:val="script"/>
    <w:pitch w:val="fixed"/>
  </w:font>
  <w:font w:name="方正楷体_GBK">
    <w:altName w:val="方正楷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10232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211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02088" type="#_x0000_t202" filled="false" stroked="false">
          <v:textbox inset="0,0,0,0">
            <w:txbxContent>
              <w:p>
                <w:pPr>
                  <w:spacing w:before="11"/>
                  <w:ind w:left="20" w:right="0" w:firstLine="0"/>
                  <w:jc w:val="left"/>
                  <w:rPr>
                    <w:rFonts w:ascii="Times New Roman"/>
                    <w:sz w:val="20"/>
                  </w:rPr>
                </w:pPr>
                <w:r>
                  <w:rPr>
                    <w:rFonts w:ascii="Times New Roman"/>
                    <w:color w:val="231F20"/>
                    <w:sz w:val="20"/>
                  </w:rPr>
                  <w:t>30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2064" type="#_x0000_t202" filled="false" stroked="false">
          <v:textbox inset="0,0,0,0">
            <w:txbxContent>
              <w:p>
                <w:pPr>
                  <w:spacing w:before="11"/>
                  <w:ind w:left="40" w:right="0" w:firstLine="0"/>
                  <w:jc w:val="left"/>
                  <w:rPr>
                    <w:rFonts w:ascii="Times New Roman"/>
                    <w:sz w:val="20"/>
                  </w:rPr>
                </w:pPr>
                <w:r>
                  <w:rPr>
                    <w:rFonts w:ascii="Times New Roman"/>
                    <w:color w:val="231F20"/>
                    <w:sz w:val="20"/>
                  </w:rPr>
                  <w:t>31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0204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32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201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33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01992" type="#_x0000_t202" filled="false" stroked="false">
          <v:textbox inset="0,0,0,0">
            <w:txbxContent>
              <w:p>
                <w:pPr>
                  <w:spacing w:before="11"/>
                  <w:ind w:left="20" w:right="0" w:firstLine="0"/>
                  <w:jc w:val="left"/>
                  <w:rPr>
                    <w:rFonts w:ascii="Times New Roman"/>
                    <w:sz w:val="20"/>
                  </w:rPr>
                </w:pPr>
                <w:r>
                  <w:rPr>
                    <w:rFonts w:ascii="Times New Roman"/>
                    <w:color w:val="231F20"/>
                    <w:sz w:val="20"/>
                  </w:rPr>
                  <w:t>40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1968" type="#_x0000_t202" filled="false" stroked="false">
          <v:textbox inset="0,0,0,0">
            <w:txbxContent>
              <w:p>
                <w:pPr>
                  <w:spacing w:before="11"/>
                  <w:ind w:left="40" w:right="0" w:firstLine="0"/>
                  <w:jc w:val="left"/>
                  <w:rPr>
                    <w:rFonts w:ascii="Times New Roman"/>
                    <w:sz w:val="20"/>
                  </w:rPr>
                </w:pPr>
                <w:r>
                  <w:rPr>
                    <w:rFonts w:ascii="Times New Roman"/>
                    <w:color w:val="231F20"/>
                    <w:sz w:val="20"/>
                  </w:rPr>
                  <w:t>41</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0194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42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192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43</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01896" type="#_x0000_t202" filled="false" stroked="false">
          <v:textbox inset="0,0,0,0">
            <w:txbxContent>
              <w:p>
                <w:pPr>
                  <w:spacing w:before="11"/>
                  <w:ind w:left="20" w:right="0" w:firstLine="0"/>
                  <w:jc w:val="left"/>
                  <w:rPr>
                    <w:rFonts w:ascii="Times New Roman"/>
                    <w:sz w:val="20"/>
                  </w:rPr>
                </w:pPr>
                <w:r>
                  <w:rPr>
                    <w:rFonts w:ascii="Times New Roman"/>
                    <w:color w:val="231F20"/>
                    <w:sz w:val="20"/>
                  </w:rPr>
                  <w:t>50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10230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1872" type="#_x0000_t202" filled="false" stroked="false">
          <v:textbox inset="0,0,0,0">
            <w:txbxContent>
              <w:p>
                <w:pPr>
                  <w:spacing w:before="11"/>
                  <w:ind w:left="40" w:right="0" w:firstLine="0"/>
                  <w:jc w:val="left"/>
                  <w:rPr>
                    <w:rFonts w:ascii="Times New Roman"/>
                    <w:sz w:val="20"/>
                  </w:rPr>
                </w:pPr>
                <w:r>
                  <w:rPr>
                    <w:rFonts w:ascii="Times New Roman"/>
                    <w:color w:val="231F20"/>
                    <w:sz w:val="20"/>
                  </w:rPr>
                  <w:t>51</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0184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52</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182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53</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01800" type="#_x0000_t202" filled="false" stroked="false">
          <v:textbox inset="0,0,0,0">
            <w:txbxContent>
              <w:p>
                <w:pPr>
                  <w:spacing w:before="11"/>
                  <w:ind w:left="20" w:right="0" w:firstLine="0"/>
                  <w:jc w:val="left"/>
                  <w:rPr>
                    <w:rFonts w:ascii="Times New Roman"/>
                    <w:sz w:val="20"/>
                  </w:rPr>
                </w:pPr>
                <w:r>
                  <w:rPr>
                    <w:rFonts w:ascii="Times New Roman"/>
                    <w:color w:val="231F20"/>
                    <w:sz w:val="20"/>
                  </w:rPr>
                  <w:t>60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1776" type="#_x0000_t202" filled="false" stroked="false">
          <v:textbox inset="0,0,0,0">
            <w:txbxContent>
              <w:p>
                <w:pPr>
                  <w:spacing w:before="11"/>
                  <w:ind w:left="40" w:right="0" w:firstLine="0"/>
                  <w:jc w:val="left"/>
                  <w:rPr>
                    <w:rFonts w:ascii="Times New Roman"/>
                    <w:sz w:val="20"/>
                  </w:rPr>
                </w:pPr>
                <w:r>
                  <w:rPr>
                    <w:rFonts w:ascii="Times New Roman"/>
                    <w:color w:val="231F20"/>
                    <w:sz w:val="20"/>
                  </w:rPr>
                  <w:t>61</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0175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62</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172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63</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01704" type="#_x0000_t202" filled="false" stroked="false">
          <v:textbox inset="0,0,0,0">
            <w:txbxContent>
              <w:p>
                <w:pPr>
                  <w:spacing w:before="11"/>
                  <w:ind w:left="20" w:right="0" w:firstLine="0"/>
                  <w:jc w:val="left"/>
                  <w:rPr>
                    <w:rFonts w:ascii="Times New Roman"/>
                    <w:sz w:val="20"/>
                  </w:rPr>
                </w:pPr>
                <w:r>
                  <w:rPr>
                    <w:rFonts w:ascii="Times New Roman"/>
                    <w:color w:val="231F20"/>
                    <w:sz w:val="20"/>
                  </w:rPr>
                  <w:t>70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1680" type="#_x0000_t202" filled="false" stroked="false">
          <v:textbox inset="0,0,0,0">
            <w:txbxContent>
              <w:p>
                <w:pPr>
                  <w:spacing w:before="11"/>
                  <w:ind w:left="40" w:right="0" w:firstLine="0"/>
                  <w:jc w:val="left"/>
                  <w:rPr>
                    <w:rFonts w:ascii="Times New Roman"/>
                    <w:sz w:val="20"/>
                  </w:rPr>
                </w:pPr>
                <w:r>
                  <w:rPr>
                    <w:rFonts w:ascii="Times New Roman"/>
                    <w:color w:val="231F20"/>
                    <w:sz w:val="20"/>
                  </w:rPr>
                  <w:t>71</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0165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72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02280"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163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73</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01608" type="#_x0000_t202" filled="false" stroked="false">
          <v:textbox inset="0,0,0,0">
            <w:txbxContent>
              <w:p>
                <w:pPr>
                  <w:spacing w:before="11"/>
                  <w:ind w:left="20" w:right="0" w:firstLine="0"/>
                  <w:jc w:val="left"/>
                  <w:rPr>
                    <w:rFonts w:ascii="Times New Roman"/>
                    <w:sz w:val="20"/>
                  </w:rPr>
                </w:pPr>
                <w:r>
                  <w:rPr>
                    <w:rFonts w:ascii="Times New Roman"/>
                    <w:color w:val="231F20"/>
                    <w:sz w:val="20"/>
                  </w:rPr>
                  <w:t>80</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1584" type="#_x0000_t202" filled="false" stroked="false">
          <v:textbox inset="0,0,0,0">
            <w:txbxContent>
              <w:p>
                <w:pPr>
                  <w:spacing w:before="11"/>
                  <w:ind w:left="40" w:right="0" w:firstLine="0"/>
                  <w:jc w:val="left"/>
                  <w:rPr>
                    <w:rFonts w:ascii="Times New Roman"/>
                    <w:sz w:val="20"/>
                  </w:rPr>
                </w:pPr>
                <w:r>
                  <w:rPr>
                    <w:rFonts w:ascii="Times New Roman"/>
                    <w:color w:val="231F20"/>
                    <w:sz w:val="20"/>
                  </w:rPr>
                  <w:t>81</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0156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82</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153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83</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01512" type="#_x0000_t202" filled="false" stroked="false">
          <v:textbox inset="0,0,0,0">
            <w:txbxContent>
              <w:p>
                <w:pPr>
                  <w:spacing w:before="11"/>
                  <w:ind w:left="20" w:right="0" w:firstLine="0"/>
                  <w:jc w:val="left"/>
                  <w:rPr>
                    <w:rFonts w:ascii="Times New Roman"/>
                    <w:sz w:val="20"/>
                  </w:rPr>
                </w:pPr>
                <w:r>
                  <w:rPr>
                    <w:rFonts w:ascii="Times New Roman"/>
                    <w:color w:val="231F20"/>
                    <w:sz w:val="20"/>
                  </w:rPr>
                  <w:t>90</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1488" type="#_x0000_t202" filled="false" stroked="false">
          <v:textbox inset="0,0,0,0">
            <w:txbxContent>
              <w:p>
                <w:pPr>
                  <w:spacing w:before="11"/>
                  <w:ind w:left="40" w:right="0" w:firstLine="0"/>
                  <w:jc w:val="left"/>
                  <w:rPr>
                    <w:rFonts w:ascii="Times New Roman"/>
                    <w:sz w:val="20"/>
                  </w:rPr>
                </w:pPr>
                <w:r>
                  <w:rPr>
                    <w:rFonts w:ascii="Times New Roman"/>
                    <w:color w:val="231F20"/>
                    <w:sz w:val="20"/>
                  </w:rPr>
                  <w:t>91</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0146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92</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144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93</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7pt;height:13.1pt;mso-position-horizontal-relative:page;mso-position-vertical-relative:page;z-index:-101416" type="#_x0000_t202" filled="false" stroked="false">
          <v:textbox inset="0,0,0,0">
            <w:txbxContent>
              <w:p>
                <w:pPr>
                  <w:spacing w:before="11"/>
                  <w:ind w:left="20" w:right="0" w:firstLine="0"/>
                  <w:jc w:val="left"/>
                  <w:rPr>
                    <w:rFonts w:ascii="Times New Roman"/>
                    <w:sz w:val="20"/>
                  </w:rPr>
                </w:pPr>
                <w:r>
                  <w:rPr>
                    <w:rFonts w:ascii="Times New Roman"/>
                    <w:color w:val="231F20"/>
                    <w:sz w:val="20"/>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102256"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08.409485pt;margin-top:789.265808pt;width:17pt;height:13.1pt;mso-position-horizontal-relative:page;mso-position-vertical-relative:page;z-index:-101392" type="#_x0000_t202" filled="false" stroked="false">
          <v:textbox inset="0,0,0,0">
            <w:txbxContent>
              <w:p>
                <w:pPr>
                  <w:spacing w:before="11"/>
                  <w:ind w:left="20" w:right="0" w:firstLine="0"/>
                  <w:jc w:val="left"/>
                  <w:rPr>
                    <w:rFonts w:ascii="Times New Roman"/>
                    <w:sz w:val="20"/>
                  </w:rPr>
                </w:pPr>
                <w:r>
                  <w:rPr>
                    <w:rFonts w:ascii="Times New Roman"/>
                    <w:color w:val="231F20"/>
                    <w:sz w:val="20"/>
                  </w:rPr>
                  <w:t>101</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7pt;height:13.1pt;mso-position-horizontal-relative:page;mso-position-vertical-relative:page;z-index:-101368" type="#_x0000_t202" filled="false" stroked="false">
          <v:textbox inset="0,0,0,0">
            <w:txbxContent>
              <w:p>
                <w:pPr>
                  <w:spacing w:before="11"/>
                  <w:ind w:left="20" w:right="0" w:firstLine="0"/>
                  <w:jc w:val="left"/>
                  <w:rPr>
                    <w:rFonts w:ascii="Times New Roman"/>
                    <w:sz w:val="20"/>
                  </w:rPr>
                </w:pPr>
                <w:r>
                  <w:rPr>
                    <w:rFonts w:ascii="Times New Roman"/>
                    <w:color w:val="231F20"/>
                    <w:sz w:val="20"/>
                  </w:rPr>
                  <w:t>102</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08.409485pt;margin-top:789.265808pt;width:17pt;height:13.1pt;mso-position-horizontal-relative:page;mso-position-vertical-relative:page;z-index:-101344" type="#_x0000_t202" filled="false" stroked="false">
          <v:textbox inset="0,0,0,0">
            <w:txbxContent>
              <w:p>
                <w:pPr>
                  <w:spacing w:before="11"/>
                  <w:ind w:left="20" w:right="0" w:firstLine="0"/>
                  <w:jc w:val="left"/>
                  <w:rPr>
                    <w:rFonts w:ascii="Times New Roman"/>
                    <w:sz w:val="20"/>
                  </w:rPr>
                </w:pPr>
                <w:r>
                  <w:rPr>
                    <w:rFonts w:ascii="Times New Roman"/>
                    <w:color w:val="231F20"/>
                    <w:sz w:val="20"/>
                  </w:rPr>
                  <w:t>103</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0223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220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02184" type="#_x0000_t202" filled="false" stroked="false">
          <v:textbox inset="0,0,0,0">
            <w:txbxContent>
              <w:p>
                <w:pPr>
                  <w:spacing w:before="11"/>
                  <w:ind w:left="20" w:right="0" w:firstLine="0"/>
                  <w:jc w:val="left"/>
                  <w:rPr>
                    <w:rFonts w:ascii="Times New Roman"/>
                    <w:sz w:val="20"/>
                  </w:rPr>
                </w:pPr>
                <w:r>
                  <w:rPr>
                    <w:rFonts w:ascii="Times New Roman"/>
                    <w:color w:val="231F20"/>
                    <w:sz w:val="20"/>
                  </w:rPr>
                  <w:t>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2160" type="#_x0000_t202" filled="false" stroked="false">
          <v:textbox inset="0,0,0,0">
            <w:txbxContent>
              <w:p>
                <w:pPr>
                  <w:spacing w:before="11"/>
                  <w:ind w:left="40" w:right="0" w:firstLine="0"/>
                  <w:jc w:val="left"/>
                  <w:rPr>
                    <w:rFonts w:ascii="Times New Roman"/>
                    <w:sz w:val="20"/>
                  </w:rPr>
                </w:pPr>
                <w:r>
                  <w:rPr>
                    <w:rFonts w:ascii="Times New Roman"/>
                    <w:color w:val="231F20"/>
                    <w:sz w:val="20"/>
                  </w:rPr>
                  <w:t>21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0213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5">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44">
    <w:multiLevelType w:val="hybridMultilevel"/>
    <w:lvl w:ilvl="0">
      <w:start w:val="1"/>
      <w:numFmt w:val="decimal"/>
      <w:lvlText w:val="%1."/>
      <w:lvlJc w:val="left"/>
      <w:pPr>
        <w:ind w:left="55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444" w:hanging="219"/>
      </w:pPr>
      <w:rPr>
        <w:rFonts w:hint="default"/>
      </w:rPr>
    </w:lvl>
    <w:lvl w:ilvl="2">
      <w:start w:val="0"/>
      <w:numFmt w:val="bullet"/>
      <w:lvlText w:val="•"/>
      <w:lvlJc w:val="left"/>
      <w:pPr>
        <w:ind w:left="2329" w:hanging="219"/>
      </w:pPr>
      <w:rPr>
        <w:rFonts w:hint="default"/>
      </w:rPr>
    </w:lvl>
    <w:lvl w:ilvl="3">
      <w:start w:val="0"/>
      <w:numFmt w:val="bullet"/>
      <w:lvlText w:val="•"/>
      <w:lvlJc w:val="left"/>
      <w:pPr>
        <w:ind w:left="3213" w:hanging="219"/>
      </w:pPr>
      <w:rPr>
        <w:rFonts w:hint="default"/>
      </w:rPr>
    </w:lvl>
    <w:lvl w:ilvl="4">
      <w:start w:val="0"/>
      <w:numFmt w:val="bullet"/>
      <w:lvlText w:val="•"/>
      <w:lvlJc w:val="left"/>
      <w:pPr>
        <w:ind w:left="4098" w:hanging="219"/>
      </w:pPr>
      <w:rPr>
        <w:rFonts w:hint="default"/>
      </w:rPr>
    </w:lvl>
    <w:lvl w:ilvl="5">
      <w:start w:val="0"/>
      <w:numFmt w:val="bullet"/>
      <w:lvlText w:val="•"/>
      <w:lvlJc w:val="left"/>
      <w:pPr>
        <w:ind w:left="4982" w:hanging="219"/>
      </w:pPr>
      <w:rPr>
        <w:rFonts w:hint="default"/>
      </w:rPr>
    </w:lvl>
    <w:lvl w:ilvl="6">
      <w:start w:val="0"/>
      <w:numFmt w:val="bullet"/>
      <w:lvlText w:val="•"/>
      <w:lvlJc w:val="left"/>
      <w:pPr>
        <w:ind w:left="5867" w:hanging="219"/>
      </w:pPr>
      <w:rPr>
        <w:rFonts w:hint="default"/>
      </w:rPr>
    </w:lvl>
    <w:lvl w:ilvl="7">
      <w:start w:val="0"/>
      <w:numFmt w:val="bullet"/>
      <w:lvlText w:val="•"/>
      <w:lvlJc w:val="left"/>
      <w:pPr>
        <w:ind w:left="6751" w:hanging="219"/>
      </w:pPr>
      <w:rPr>
        <w:rFonts w:hint="default"/>
      </w:rPr>
    </w:lvl>
    <w:lvl w:ilvl="8">
      <w:start w:val="0"/>
      <w:numFmt w:val="bullet"/>
      <w:lvlText w:val="•"/>
      <w:lvlJc w:val="left"/>
      <w:pPr>
        <w:ind w:left="7636" w:hanging="219"/>
      </w:pPr>
      <w:rPr>
        <w:rFonts w:hint="default"/>
      </w:rPr>
    </w:lvl>
  </w:abstractNum>
  <w:abstractNum w:abstractNumId="143">
    <w:multiLevelType w:val="hybridMultilevel"/>
    <w:lvl w:ilvl="0">
      <w:start w:val="1"/>
      <w:numFmt w:val="decimal"/>
      <w:lvlText w:val="%1."/>
      <w:lvlJc w:val="left"/>
      <w:pPr>
        <w:ind w:left="774"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8"/>
      </w:pPr>
      <w:rPr>
        <w:rFonts w:hint="default"/>
      </w:rPr>
    </w:lvl>
    <w:lvl w:ilvl="2">
      <w:start w:val="0"/>
      <w:numFmt w:val="bullet"/>
      <w:lvlText w:val="•"/>
      <w:lvlJc w:val="left"/>
      <w:pPr>
        <w:ind w:left="2485" w:hanging="218"/>
      </w:pPr>
      <w:rPr>
        <w:rFonts w:hint="default"/>
      </w:rPr>
    </w:lvl>
    <w:lvl w:ilvl="3">
      <w:start w:val="0"/>
      <w:numFmt w:val="bullet"/>
      <w:lvlText w:val="•"/>
      <w:lvlJc w:val="left"/>
      <w:pPr>
        <w:ind w:left="3337" w:hanging="218"/>
      </w:pPr>
      <w:rPr>
        <w:rFonts w:hint="default"/>
      </w:rPr>
    </w:lvl>
    <w:lvl w:ilvl="4">
      <w:start w:val="0"/>
      <w:numFmt w:val="bullet"/>
      <w:lvlText w:val="•"/>
      <w:lvlJc w:val="left"/>
      <w:pPr>
        <w:ind w:left="4190" w:hanging="218"/>
      </w:pPr>
      <w:rPr>
        <w:rFonts w:hint="default"/>
      </w:rPr>
    </w:lvl>
    <w:lvl w:ilvl="5">
      <w:start w:val="0"/>
      <w:numFmt w:val="bullet"/>
      <w:lvlText w:val="•"/>
      <w:lvlJc w:val="left"/>
      <w:pPr>
        <w:ind w:left="5042" w:hanging="218"/>
      </w:pPr>
      <w:rPr>
        <w:rFonts w:hint="default"/>
      </w:rPr>
    </w:lvl>
    <w:lvl w:ilvl="6">
      <w:start w:val="0"/>
      <w:numFmt w:val="bullet"/>
      <w:lvlText w:val="•"/>
      <w:lvlJc w:val="left"/>
      <w:pPr>
        <w:ind w:left="5895" w:hanging="218"/>
      </w:pPr>
      <w:rPr>
        <w:rFonts w:hint="default"/>
      </w:rPr>
    </w:lvl>
    <w:lvl w:ilvl="7">
      <w:start w:val="0"/>
      <w:numFmt w:val="bullet"/>
      <w:lvlText w:val="•"/>
      <w:lvlJc w:val="left"/>
      <w:pPr>
        <w:ind w:left="6747" w:hanging="218"/>
      </w:pPr>
      <w:rPr>
        <w:rFonts w:hint="default"/>
      </w:rPr>
    </w:lvl>
    <w:lvl w:ilvl="8">
      <w:start w:val="0"/>
      <w:numFmt w:val="bullet"/>
      <w:lvlText w:val="•"/>
      <w:lvlJc w:val="left"/>
      <w:pPr>
        <w:ind w:left="7600" w:hanging="218"/>
      </w:pPr>
      <w:rPr>
        <w:rFonts w:hint="default"/>
      </w:rPr>
    </w:lvl>
  </w:abstractNum>
  <w:abstractNum w:abstractNumId="142">
    <w:multiLevelType w:val="hybridMultilevel"/>
    <w:lvl w:ilvl="0">
      <w:start w:val="1"/>
      <w:numFmt w:val="decimal"/>
      <w:lvlText w:val="%1."/>
      <w:lvlJc w:val="left"/>
      <w:pPr>
        <w:ind w:left="774"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8"/>
      </w:pPr>
      <w:rPr>
        <w:rFonts w:hint="default"/>
      </w:rPr>
    </w:lvl>
    <w:lvl w:ilvl="2">
      <w:start w:val="0"/>
      <w:numFmt w:val="bullet"/>
      <w:lvlText w:val="•"/>
      <w:lvlJc w:val="left"/>
      <w:pPr>
        <w:ind w:left="2485" w:hanging="218"/>
      </w:pPr>
      <w:rPr>
        <w:rFonts w:hint="default"/>
      </w:rPr>
    </w:lvl>
    <w:lvl w:ilvl="3">
      <w:start w:val="0"/>
      <w:numFmt w:val="bullet"/>
      <w:lvlText w:val="•"/>
      <w:lvlJc w:val="left"/>
      <w:pPr>
        <w:ind w:left="3337" w:hanging="218"/>
      </w:pPr>
      <w:rPr>
        <w:rFonts w:hint="default"/>
      </w:rPr>
    </w:lvl>
    <w:lvl w:ilvl="4">
      <w:start w:val="0"/>
      <w:numFmt w:val="bullet"/>
      <w:lvlText w:val="•"/>
      <w:lvlJc w:val="left"/>
      <w:pPr>
        <w:ind w:left="4190" w:hanging="218"/>
      </w:pPr>
      <w:rPr>
        <w:rFonts w:hint="default"/>
      </w:rPr>
    </w:lvl>
    <w:lvl w:ilvl="5">
      <w:start w:val="0"/>
      <w:numFmt w:val="bullet"/>
      <w:lvlText w:val="•"/>
      <w:lvlJc w:val="left"/>
      <w:pPr>
        <w:ind w:left="5042" w:hanging="218"/>
      </w:pPr>
      <w:rPr>
        <w:rFonts w:hint="default"/>
      </w:rPr>
    </w:lvl>
    <w:lvl w:ilvl="6">
      <w:start w:val="0"/>
      <w:numFmt w:val="bullet"/>
      <w:lvlText w:val="•"/>
      <w:lvlJc w:val="left"/>
      <w:pPr>
        <w:ind w:left="5895" w:hanging="218"/>
      </w:pPr>
      <w:rPr>
        <w:rFonts w:hint="default"/>
      </w:rPr>
    </w:lvl>
    <w:lvl w:ilvl="7">
      <w:start w:val="0"/>
      <w:numFmt w:val="bullet"/>
      <w:lvlText w:val="•"/>
      <w:lvlJc w:val="left"/>
      <w:pPr>
        <w:ind w:left="6747" w:hanging="218"/>
      </w:pPr>
      <w:rPr>
        <w:rFonts w:hint="default"/>
      </w:rPr>
    </w:lvl>
    <w:lvl w:ilvl="8">
      <w:start w:val="0"/>
      <w:numFmt w:val="bullet"/>
      <w:lvlText w:val="•"/>
      <w:lvlJc w:val="left"/>
      <w:pPr>
        <w:ind w:left="7600" w:hanging="218"/>
      </w:pPr>
      <w:rPr>
        <w:rFonts w:hint="default"/>
      </w:rPr>
    </w:lvl>
  </w:abstractNum>
  <w:abstractNum w:abstractNumId="141">
    <w:multiLevelType w:val="hybridMultilevel"/>
    <w:lvl w:ilvl="0">
      <w:start w:val="1"/>
      <w:numFmt w:val="decimal"/>
      <w:lvlText w:val="%1."/>
      <w:lvlJc w:val="left"/>
      <w:pPr>
        <w:ind w:left="774"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8"/>
      </w:pPr>
      <w:rPr>
        <w:rFonts w:hint="default"/>
      </w:rPr>
    </w:lvl>
    <w:lvl w:ilvl="2">
      <w:start w:val="0"/>
      <w:numFmt w:val="bullet"/>
      <w:lvlText w:val="•"/>
      <w:lvlJc w:val="left"/>
      <w:pPr>
        <w:ind w:left="2485" w:hanging="218"/>
      </w:pPr>
      <w:rPr>
        <w:rFonts w:hint="default"/>
      </w:rPr>
    </w:lvl>
    <w:lvl w:ilvl="3">
      <w:start w:val="0"/>
      <w:numFmt w:val="bullet"/>
      <w:lvlText w:val="•"/>
      <w:lvlJc w:val="left"/>
      <w:pPr>
        <w:ind w:left="3337" w:hanging="218"/>
      </w:pPr>
      <w:rPr>
        <w:rFonts w:hint="default"/>
      </w:rPr>
    </w:lvl>
    <w:lvl w:ilvl="4">
      <w:start w:val="0"/>
      <w:numFmt w:val="bullet"/>
      <w:lvlText w:val="•"/>
      <w:lvlJc w:val="left"/>
      <w:pPr>
        <w:ind w:left="4190" w:hanging="218"/>
      </w:pPr>
      <w:rPr>
        <w:rFonts w:hint="default"/>
      </w:rPr>
    </w:lvl>
    <w:lvl w:ilvl="5">
      <w:start w:val="0"/>
      <w:numFmt w:val="bullet"/>
      <w:lvlText w:val="•"/>
      <w:lvlJc w:val="left"/>
      <w:pPr>
        <w:ind w:left="5042" w:hanging="218"/>
      </w:pPr>
      <w:rPr>
        <w:rFonts w:hint="default"/>
      </w:rPr>
    </w:lvl>
    <w:lvl w:ilvl="6">
      <w:start w:val="0"/>
      <w:numFmt w:val="bullet"/>
      <w:lvlText w:val="•"/>
      <w:lvlJc w:val="left"/>
      <w:pPr>
        <w:ind w:left="5895" w:hanging="218"/>
      </w:pPr>
      <w:rPr>
        <w:rFonts w:hint="default"/>
      </w:rPr>
    </w:lvl>
    <w:lvl w:ilvl="7">
      <w:start w:val="0"/>
      <w:numFmt w:val="bullet"/>
      <w:lvlText w:val="•"/>
      <w:lvlJc w:val="left"/>
      <w:pPr>
        <w:ind w:left="6747" w:hanging="218"/>
      </w:pPr>
      <w:rPr>
        <w:rFonts w:hint="default"/>
      </w:rPr>
    </w:lvl>
    <w:lvl w:ilvl="8">
      <w:start w:val="0"/>
      <w:numFmt w:val="bullet"/>
      <w:lvlText w:val="•"/>
      <w:lvlJc w:val="left"/>
      <w:pPr>
        <w:ind w:left="7600" w:hanging="218"/>
      </w:pPr>
      <w:rPr>
        <w:rFonts w:hint="default"/>
      </w:rPr>
    </w:lvl>
  </w:abstractNum>
  <w:abstractNum w:abstractNumId="140">
    <w:multiLevelType w:val="hybridMultilevel"/>
    <w:lvl w:ilvl="0">
      <w:start w:val="20"/>
      <w:numFmt w:val="decimal"/>
      <w:lvlText w:val="%1"/>
      <w:lvlJc w:val="left"/>
      <w:pPr>
        <w:ind w:left="1045" w:hanging="489"/>
        <w:jc w:val="left"/>
      </w:pPr>
      <w:rPr>
        <w:rFonts w:hint="default"/>
      </w:rPr>
    </w:lvl>
    <w:lvl w:ilvl="1">
      <w:start w:val="3"/>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139">
    <w:multiLevelType w:val="hybridMultilevel"/>
    <w:lvl w:ilvl="0">
      <w:start w:val="18"/>
      <w:numFmt w:val="decimal"/>
      <w:lvlText w:val="%1"/>
      <w:lvlJc w:val="left"/>
      <w:pPr>
        <w:ind w:left="1045" w:hanging="489"/>
        <w:jc w:val="left"/>
      </w:pPr>
      <w:rPr>
        <w:rFonts w:hint="default"/>
      </w:rPr>
    </w:lvl>
    <w:lvl w:ilvl="1">
      <w:start w:val="3"/>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076" w:hanging="489"/>
      </w:pPr>
      <w:rPr>
        <w:rFonts w:hint="default"/>
      </w:rPr>
    </w:lvl>
    <w:lvl w:ilvl="3">
      <w:start w:val="0"/>
      <w:numFmt w:val="bullet"/>
      <w:lvlText w:val="•"/>
      <w:lvlJc w:val="left"/>
      <w:pPr>
        <w:ind w:left="2992" w:hanging="489"/>
      </w:pPr>
      <w:rPr>
        <w:rFonts w:hint="default"/>
      </w:rPr>
    </w:lvl>
    <w:lvl w:ilvl="4">
      <w:start w:val="0"/>
      <w:numFmt w:val="bullet"/>
      <w:lvlText w:val="•"/>
      <w:lvlJc w:val="left"/>
      <w:pPr>
        <w:ind w:left="3908" w:hanging="489"/>
      </w:pPr>
      <w:rPr>
        <w:rFonts w:hint="default"/>
      </w:rPr>
    </w:lvl>
    <w:lvl w:ilvl="5">
      <w:start w:val="0"/>
      <w:numFmt w:val="bullet"/>
      <w:lvlText w:val="•"/>
      <w:lvlJc w:val="left"/>
      <w:pPr>
        <w:ind w:left="4824" w:hanging="489"/>
      </w:pPr>
      <w:rPr>
        <w:rFonts w:hint="default"/>
      </w:rPr>
    </w:lvl>
    <w:lvl w:ilvl="6">
      <w:start w:val="0"/>
      <w:numFmt w:val="bullet"/>
      <w:lvlText w:val="•"/>
      <w:lvlJc w:val="left"/>
      <w:pPr>
        <w:ind w:left="5740" w:hanging="489"/>
      </w:pPr>
      <w:rPr>
        <w:rFonts w:hint="default"/>
      </w:rPr>
    </w:lvl>
    <w:lvl w:ilvl="7">
      <w:start w:val="0"/>
      <w:numFmt w:val="bullet"/>
      <w:lvlText w:val="•"/>
      <w:lvlJc w:val="left"/>
      <w:pPr>
        <w:ind w:left="6657" w:hanging="489"/>
      </w:pPr>
      <w:rPr>
        <w:rFonts w:hint="default"/>
      </w:rPr>
    </w:lvl>
    <w:lvl w:ilvl="8">
      <w:start w:val="0"/>
      <w:numFmt w:val="bullet"/>
      <w:lvlText w:val="•"/>
      <w:lvlJc w:val="left"/>
      <w:pPr>
        <w:ind w:left="7573" w:hanging="489"/>
      </w:pPr>
      <w:rPr>
        <w:rFonts w:hint="default"/>
      </w:rPr>
    </w:lvl>
  </w:abstractNum>
  <w:abstractNum w:abstractNumId="138">
    <w:multiLevelType w:val="hybridMultilevel"/>
    <w:lvl w:ilvl="0">
      <w:start w:val="18"/>
      <w:numFmt w:val="decimal"/>
      <w:lvlText w:val="%1"/>
      <w:lvlJc w:val="left"/>
      <w:pPr>
        <w:ind w:left="992" w:hanging="436"/>
        <w:jc w:val="left"/>
      </w:pPr>
      <w:rPr>
        <w:rFonts w:hint="default"/>
      </w:rPr>
    </w:lvl>
    <w:lvl w:ilvl="1">
      <w:start w:val="1"/>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137">
    <w:multiLevelType w:val="hybridMultilevel"/>
    <w:lvl w:ilvl="0">
      <w:start w:val="16"/>
      <w:numFmt w:val="decimal"/>
      <w:lvlText w:val="%1"/>
      <w:lvlJc w:val="left"/>
      <w:pPr>
        <w:ind w:left="1045" w:hanging="489"/>
        <w:jc w:val="left"/>
      </w:pPr>
      <w:rPr>
        <w:rFonts w:hint="default"/>
      </w:rPr>
    </w:lvl>
    <w:lvl w:ilvl="1">
      <w:start w:val="1"/>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136">
    <w:multiLevelType w:val="hybridMultilevel"/>
    <w:lvl w:ilvl="0">
      <w:start w:val="15"/>
      <w:numFmt w:val="decimal"/>
      <w:lvlText w:val="%1"/>
      <w:lvlJc w:val="left"/>
      <w:pPr>
        <w:ind w:left="1045" w:hanging="489"/>
        <w:jc w:val="left"/>
      </w:pPr>
      <w:rPr>
        <w:rFonts w:hint="default"/>
      </w:rPr>
    </w:lvl>
    <w:lvl w:ilvl="1">
      <w:start w:val="2"/>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135">
    <w:multiLevelType w:val="hybridMultilevel"/>
    <w:lvl w:ilvl="0">
      <w:start w:val="14"/>
      <w:numFmt w:val="decimal"/>
      <w:lvlText w:val="%1"/>
      <w:lvlJc w:val="left"/>
      <w:pPr>
        <w:ind w:left="1045" w:hanging="489"/>
        <w:jc w:val="left"/>
      </w:pPr>
      <w:rPr>
        <w:rFonts w:hint="default"/>
      </w:rPr>
    </w:lvl>
    <w:lvl w:ilvl="1">
      <w:start w:val="7"/>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134">
    <w:multiLevelType w:val="hybridMultilevel"/>
    <w:lvl w:ilvl="0">
      <w:start w:val="14"/>
      <w:numFmt w:val="decimal"/>
      <w:lvlText w:val="%1"/>
      <w:lvlJc w:val="left"/>
      <w:pPr>
        <w:ind w:left="1045" w:hanging="489"/>
        <w:jc w:val="left"/>
      </w:pPr>
      <w:rPr>
        <w:rFonts w:hint="default"/>
      </w:rPr>
    </w:lvl>
    <w:lvl w:ilvl="1">
      <w:start w:val="6"/>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133">
    <w:multiLevelType w:val="hybridMultilevel"/>
    <w:lvl w:ilvl="0">
      <w:start w:val="14"/>
      <w:numFmt w:val="decimal"/>
      <w:lvlText w:val="%1"/>
      <w:lvlJc w:val="left"/>
      <w:pPr>
        <w:ind w:left="1045" w:hanging="489"/>
        <w:jc w:val="left"/>
      </w:pPr>
      <w:rPr>
        <w:rFonts w:hint="default"/>
      </w:rPr>
    </w:lvl>
    <w:lvl w:ilvl="1">
      <w:start w:val="5"/>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132">
    <w:multiLevelType w:val="hybridMultilevel"/>
    <w:lvl w:ilvl="0">
      <w:start w:val="14"/>
      <w:numFmt w:val="decimal"/>
      <w:lvlText w:val="%1"/>
      <w:lvlJc w:val="left"/>
      <w:pPr>
        <w:ind w:left="1045" w:hanging="489"/>
        <w:jc w:val="left"/>
      </w:pPr>
      <w:rPr>
        <w:rFonts w:hint="default"/>
      </w:rPr>
    </w:lvl>
    <w:lvl w:ilvl="1">
      <w:start w:val="4"/>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131">
    <w:multiLevelType w:val="hybridMultilevel"/>
    <w:lvl w:ilvl="0">
      <w:start w:val="14"/>
      <w:numFmt w:val="decimal"/>
      <w:lvlText w:val="%1"/>
      <w:lvlJc w:val="left"/>
      <w:pPr>
        <w:ind w:left="1045" w:hanging="489"/>
        <w:jc w:val="left"/>
      </w:pPr>
      <w:rPr>
        <w:rFonts w:hint="default"/>
      </w:rPr>
    </w:lvl>
    <w:lvl w:ilvl="1">
      <w:start w:val="2"/>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130">
    <w:multiLevelType w:val="hybridMultilevel"/>
    <w:lvl w:ilvl="0">
      <w:start w:val="14"/>
      <w:numFmt w:val="decimal"/>
      <w:lvlText w:val="%1"/>
      <w:lvlJc w:val="left"/>
      <w:pPr>
        <w:ind w:left="1045" w:hanging="489"/>
        <w:jc w:val="left"/>
      </w:pPr>
      <w:rPr>
        <w:rFonts w:hint="default"/>
      </w:rPr>
    </w:lvl>
    <w:lvl w:ilvl="1">
      <w:start w:val="1"/>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129">
    <w:multiLevelType w:val="hybridMultilevel"/>
    <w:lvl w:ilvl="0">
      <w:start w:val="13"/>
      <w:numFmt w:val="decimal"/>
      <w:lvlText w:val="%1"/>
      <w:lvlJc w:val="left"/>
      <w:pPr>
        <w:ind w:left="1045" w:hanging="489"/>
        <w:jc w:val="left"/>
      </w:pPr>
      <w:rPr>
        <w:rFonts w:hint="default"/>
      </w:rPr>
    </w:lvl>
    <w:lvl w:ilvl="1">
      <w:start w:val="8"/>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2"/>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128">
    <w:multiLevelType w:val="hybridMultilevel"/>
    <w:lvl w:ilvl="0">
      <w:start w:val="13"/>
      <w:numFmt w:val="decimal"/>
      <w:lvlText w:val="%1"/>
      <w:lvlJc w:val="left"/>
      <w:pPr>
        <w:ind w:left="1045" w:hanging="489"/>
        <w:jc w:val="left"/>
      </w:pPr>
      <w:rPr>
        <w:rFonts w:hint="default"/>
      </w:rPr>
    </w:lvl>
    <w:lvl w:ilvl="1">
      <w:start w:val="4"/>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127">
    <w:multiLevelType w:val="hybridMultilevel"/>
    <w:lvl w:ilvl="0">
      <w:start w:val="13"/>
      <w:numFmt w:val="decimal"/>
      <w:lvlText w:val="%1"/>
      <w:lvlJc w:val="left"/>
      <w:pPr>
        <w:ind w:left="1045" w:hanging="489"/>
        <w:jc w:val="left"/>
      </w:pPr>
      <w:rPr>
        <w:rFonts w:hint="default"/>
      </w:rPr>
    </w:lvl>
    <w:lvl w:ilvl="1">
      <w:start w:val="2"/>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2"/>
      <w:numFmt w:val="decimal"/>
      <w:lvlText w:val="%1.%2.%3"/>
      <w:lvlJc w:val="left"/>
      <w:pPr>
        <w:ind w:left="117" w:hanging="624"/>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99" w:hanging="624"/>
      </w:pPr>
      <w:rPr>
        <w:rFonts w:hint="default"/>
      </w:rPr>
    </w:lvl>
    <w:lvl w:ilvl="4">
      <w:start w:val="0"/>
      <w:numFmt w:val="bullet"/>
      <w:lvlText w:val="•"/>
      <w:lvlJc w:val="left"/>
      <w:pPr>
        <w:ind w:left="3828" w:hanging="624"/>
      </w:pPr>
      <w:rPr>
        <w:rFonts w:hint="default"/>
      </w:rPr>
    </w:lvl>
    <w:lvl w:ilvl="5">
      <w:start w:val="0"/>
      <w:numFmt w:val="bullet"/>
      <w:lvlText w:val="•"/>
      <w:lvlJc w:val="left"/>
      <w:pPr>
        <w:ind w:left="4758" w:hanging="624"/>
      </w:pPr>
      <w:rPr>
        <w:rFonts w:hint="default"/>
      </w:rPr>
    </w:lvl>
    <w:lvl w:ilvl="6">
      <w:start w:val="0"/>
      <w:numFmt w:val="bullet"/>
      <w:lvlText w:val="•"/>
      <w:lvlJc w:val="left"/>
      <w:pPr>
        <w:ind w:left="5687" w:hanging="624"/>
      </w:pPr>
      <w:rPr>
        <w:rFonts w:hint="default"/>
      </w:rPr>
    </w:lvl>
    <w:lvl w:ilvl="7">
      <w:start w:val="0"/>
      <w:numFmt w:val="bullet"/>
      <w:lvlText w:val="•"/>
      <w:lvlJc w:val="left"/>
      <w:pPr>
        <w:ind w:left="6617" w:hanging="624"/>
      </w:pPr>
      <w:rPr>
        <w:rFonts w:hint="default"/>
      </w:rPr>
    </w:lvl>
    <w:lvl w:ilvl="8">
      <w:start w:val="0"/>
      <w:numFmt w:val="bullet"/>
      <w:lvlText w:val="•"/>
      <w:lvlJc w:val="left"/>
      <w:pPr>
        <w:ind w:left="7546" w:hanging="624"/>
      </w:pPr>
      <w:rPr>
        <w:rFonts w:hint="default"/>
      </w:rPr>
    </w:lvl>
  </w:abstractNum>
  <w:abstractNum w:abstractNumId="126">
    <w:multiLevelType w:val="hybridMultilevel"/>
    <w:lvl w:ilvl="0">
      <w:start w:val="11"/>
      <w:numFmt w:val="decimal"/>
      <w:lvlText w:val="%1"/>
      <w:lvlJc w:val="left"/>
      <w:pPr>
        <w:ind w:left="1045" w:hanging="489"/>
        <w:jc w:val="left"/>
      </w:pPr>
      <w:rPr>
        <w:rFonts w:hint="default"/>
      </w:rPr>
    </w:lvl>
    <w:lvl w:ilvl="1">
      <w:start w:val="6"/>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713" w:hanging="489"/>
      </w:pPr>
      <w:rPr>
        <w:rFonts w:hint="default"/>
      </w:rPr>
    </w:lvl>
    <w:lvl w:ilvl="3">
      <w:start w:val="0"/>
      <w:numFmt w:val="bullet"/>
      <w:lvlText w:val="•"/>
      <w:lvlJc w:val="left"/>
      <w:pPr>
        <w:ind w:left="3549" w:hanging="489"/>
      </w:pPr>
      <w:rPr>
        <w:rFonts w:hint="default"/>
      </w:rPr>
    </w:lvl>
    <w:lvl w:ilvl="4">
      <w:start w:val="0"/>
      <w:numFmt w:val="bullet"/>
      <w:lvlText w:val="•"/>
      <w:lvlJc w:val="left"/>
      <w:pPr>
        <w:ind w:left="4386" w:hanging="489"/>
      </w:pPr>
      <w:rPr>
        <w:rFonts w:hint="default"/>
      </w:rPr>
    </w:lvl>
    <w:lvl w:ilvl="5">
      <w:start w:val="0"/>
      <w:numFmt w:val="bullet"/>
      <w:lvlText w:val="•"/>
      <w:lvlJc w:val="left"/>
      <w:pPr>
        <w:ind w:left="5222" w:hanging="489"/>
      </w:pPr>
      <w:rPr>
        <w:rFonts w:hint="default"/>
      </w:rPr>
    </w:lvl>
    <w:lvl w:ilvl="6">
      <w:start w:val="0"/>
      <w:numFmt w:val="bullet"/>
      <w:lvlText w:val="•"/>
      <w:lvlJc w:val="left"/>
      <w:pPr>
        <w:ind w:left="6059" w:hanging="489"/>
      </w:pPr>
      <w:rPr>
        <w:rFonts w:hint="default"/>
      </w:rPr>
    </w:lvl>
    <w:lvl w:ilvl="7">
      <w:start w:val="0"/>
      <w:numFmt w:val="bullet"/>
      <w:lvlText w:val="•"/>
      <w:lvlJc w:val="left"/>
      <w:pPr>
        <w:ind w:left="6895" w:hanging="489"/>
      </w:pPr>
      <w:rPr>
        <w:rFonts w:hint="default"/>
      </w:rPr>
    </w:lvl>
    <w:lvl w:ilvl="8">
      <w:start w:val="0"/>
      <w:numFmt w:val="bullet"/>
      <w:lvlText w:val="•"/>
      <w:lvlJc w:val="left"/>
      <w:pPr>
        <w:ind w:left="7732" w:hanging="489"/>
      </w:pPr>
      <w:rPr>
        <w:rFonts w:hint="default"/>
      </w:rPr>
    </w:lvl>
  </w:abstractNum>
  <w:abstractNum w:abstractNumId="125">
    <w:multiLevelType w:val="hybridMultilevel"/>
    <w:lvl w:ilvl="0">
      <w:start w:val="11"/>
      <w:numFmt w:val="decimal"/>
      <w:lvlText w:val="%1"/>
      <w:lvlJc w:val="left"/>
      <w:pPr>
        <w:ind w:left="1045" w:hanging="489"/>
        <w:jc w:val="left"/>
      </w:pPr>
      <w:rPr>
        <w:rFonts w:hint="default"/>
      </w:rPr>
    </w:lvl>
    <w:lvl w:ilvl="1">
      <w:start w:val="2"/>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076" w:hanging="489"/>
      </w:pPr>
      <w:rPr>
        <w:rFonts w:hint="default"/>
      </w:rPr>
    </w:lvl>
    <w:lvl w:ilvl="3">
      <w:start w:val="0"/>
      <w:numFmt w:val="bullet"/>
      <w:lvlText w:val="•"/>
      <w:lvlJc w:val="left"/>
      <w:pPr>
        <w:ind w:left="2992" w:hanging="489"/>
      </w:pPr>
      <w:rPr>
        <w:rFonts w:hint="default"/>
      </w:rPr>
    </w:lvl>
    <w:lvl w:ilvl="4">
      <w:start w:val="0"/>
      <w:numFmt w:val="bullet"/>
      <w:lvlText w:val="•"/>
      <w:lvlJc w:val="left"/>
      <w:pPr>
        <w:ind w:left="3908" w:hanging="489"/>
      </w:pPr>
      <w:rPr>
        <w:rFonts w:hint="default"/>
      </w:rPr>
    </w:lvl>
    <w:lvl w:ilvl="5">
      <w:start w:val="0"/>
      <w:numFmt w:val="bullet"/>
      <w:lvlText w:val="•"/>
      <w:lvlJc w:val="left"/>
      <w:pPr>
        <w:ind w:left="4824" w:hanging="489"/>
      </w:pPr>
      <w:rPr>
        <w:rFonts w:hint="default"/>
      </w:rPr>
    </w:lvl>
    <w:lvl w:ilvl="6">
      <w:start w:val="0"/>
      <w:numFmt w:val="bullet"/>
      <w:lvlText w:val="•"/>
      <w:lvlJc w:val="left"/>
      <w:pPr>
        <w:ind w:left="5740" w:hanging="489"/>
      </w:pPr>
      <w:rPr>
        <w:rFonts w:hint="default"/>
      </w:rPr>
    </w:lvl>
    <w:lvl w:ilvl="7">
      <w:start w:val="0"/>
      <w:numFmt w:val="bullet"/>
      <w:lvlText w:val="•"/>
      <w:lvlJc w:val="left"/>
      <w:pPr>
        <w:ind w:left="6657" w:hanging="489"/>
      </w:pPr>
      <w:rPr>
        <w:rFonts w:hint="default"/>
      </w:rPr>
    </w:lvl>
    <w:lvl w:ilvl="8">
      <w:start w:val="0"/>
      <w:numFmt w:val="bullet"/>
      <w:lvlText w:val="•"/>
      <w:lvlJc w:val="left"/>
      <w:pPr>
        <w:ind w:left="7573" w:hanging="489"/>
      </w:pPr>
      <w:rPr>
        <w:rFonts w:hint="default"/>
      </w:rPr>
    </w:lvl>
  </w:abstractNum>
  <w:abstractNum w:abstractNumId="124">
    <w:multiLevelType w:val="hybridMultilevel"/>
    <w:lvl w:ilvl="0">
      <w:start w:val="10"/>
      <w:numFmt w:val="decimal"/>
      <w:lvlText w:val="%1"/>
      <w:lvlJc w:val="left"/>
      <w:pPr>
        <w:ind w:left="1045" w:hanging="489"/>
        <w:jc w:val="left"/>
      </w:pPr>
      <w:rPr>
        <w:rFonts w:hint="default"/>
      </w:rPr>
    </w:lvl>
    <w:lvl w:ilvl="1">
      <w:start w:val="3"/>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7" w:hanging="60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600"/>
      </w:pPr>
      <w:rPr>
        <w:rFonts w:hint="default"/>
      </w:rPr>
    </w:lvl>
    <w:lvl w:ilvl="4">
      <w:start w:val="0"/>
      <w:numFmt w:val="bullet"/>
      <w:lvlText w:val="•"/>
      <w:lvlJc w:val="left"/>
      <w:pPr>
        <w:ind w:left="3908" w:hanging="600"/>
      </w:pPr>
      <w:rPr>
        <w:rFonts w:hint="default"/>
      </w:rPr>
    </w:lvl>
    <w:lvl w:ilvl="5">
      <w:start w:val="0"/>
      <w:numFmt w:val="bullet"/>
      <w:lvlText w:val="•"/>
      <w:lvlJc w:val="left"/>
      <w:pPr>
        <w:ind w:left="4824" w:hanging="600"/>
      </w:pPr>
      <w:rPr>
        <w:rFonts w:hint="default"/>
      </w:rPr>
    </w:lvl>
    <w:lvl w:ilvl="6">
      <w:start w:val="0"/>
      <w:numFmt w:val="bullet"/>
      <w:lvlText w:val="•"/>
      <w:lvlJc w:val="left"/>
      <w:pPr>
        <w:ind w:left="5740" w:hanging="600"/>
      </w:pPr>
      <w:rPr>
        <w:rFonts w:hint="default"/>
      </w:rPr>
    </w:lvl>
    <w:lvl w:ilvl="7">
      <w:start w:val="0"/>
      <w:numFmt w:val="bullet"/>
      <w:lvlText w:val="•"/>
      <w:lvlJc w:val="left"/>
      <w:pPr>
        <w:ind w:left="6657" w:hanging="600"/>
      </w:pPr>
      <w:rPr>
        <w:rFonts w:hint="default"/>
      </w:rPr>
    </w:lvl>
    <w:lvl w:ilvl="8">
      <w:start w:val="0"/>
      <w:numFmt w:val="bullet"/>
      <w:lvlText w:val="•"/>
      <w:lvlJc w:val="left"/>
      <w:pPr>
        <w:ind w:left="7573" w:hanging="600"/>
      </w:pPr>
      <w:rPr>
        <w:rFonts w:hint="default"/>
      </w:rPr>
    </w:lvl>
  </w:abstractNum>
  <w:abstractNum w:abstractNumId="123">
    <w:multiLevelType w:val="hybridMultilevel"/>
    <w:lvl w:ilvl="0">
      <w:start w:val="8"/>
      <w:numFmt w:val="decimal"/>
      <w:lvlText w:val="%1"/>
      <w:lvlJc w:val="left"/>
      <w:pPr>
        <w:ind w:left="923" w:hanging="367"/>
        <w:jc w:val="left"/>
      </w:pPr>
      <w:rPr>
        <w:rFonts w:hint="default"/>
      </w:rPr>
    </w:lvl>
    <w:lvl w:ilvl="1">
      <w:start w:val="7"/>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2"/>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122">
    <w:multiLevelType w:val="hybridMultilevel"/>
    <w:lvl w:ilvl="0">
      <w:start w:val="8"/>
      <w:numFmt w:val="decimal"/>
      <w:lvlText w:val="%1"/>
      <w:lvlJc w:val="left"/>
      <w:pPr>
        <w:ind w:left="923" w:hanging="367"/>
        <w:jc w:val="left"/>
      </w:pPr>
      <w:rPr>
        <w:rFonts w:hint="default"/>
      </w:rPr>
    </w:lvl>
    <w:lvl w:ilvl="1">
      <w:start w:val="4"/>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55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05" w:hanging="490"/>
      </w:pPr>
      <w:rPr>
        <w:rFonts w:hint="default"/>
      </w:rPr>
    </w:lvl>
    <w:lvl w:ilvl="4">
      <w:start w:val="0"/>
      <w:numFmt w:val="bullet"/>
      <w:lvlText w:val="•"/>
      <w:lvlJc w:val="left"/>
      <w:pPr>
        <w:ind w:left="3748" w:hanging="490"/>
      </w:pPr>
      <w:rPr>
        <w:rFonts w:hint="default"/>
      </w:rPr>
    </w:lvl>
    <w:lvl w:ilvl="5">
      <w:start w:val="0"/>
      <w:numFmt w:val="bullet"/>
      <w:lvlText w:val="•"/>
      <w:lvlJc w:val="left"/>
      <w:pPr>
        <w:ind w:left="4691" w:hanging="490"/>
      </w:pPr>
      <w:rPr>
        <w:rFonts w:hint="default"/>
      </w:rPr>
    </w:lvl>
    <w:lvl w:ilvl="6">
      <w:start w:val="0"/>
      <w:numFmt w:val="bullet"/>
      <w:lvlText w:val="•"/>
      <w:lvlJc w:val="left"/>
      <w:pPr>
        <w:ind w:left="5634" w:hanging="490"/>
      </w:pPr>
      <w:rPr>
        <w:rFonts w:hint="default"/>
      </w:rPr>
    </w:lvl>
    <w:lvl w:ilvl="7">
      <w:start w:val="0"/>
      <w:numFmt w:val="bullet"/>
      <w:lvlText w:val="•"/>
      <w:lvlJc w:val="left"/>
      <w:pPr>
        <w:ind w:left="6577" w:hanging="490"/>
      </w:pPr>
      <w:rPr>
        <w:rFonts w:hint="default"/>
      </w:rPr>
    </w:lvl>
    <w:lvl w:ilvl="8">
      <w:start w:val="0"/>
      <w:numFmt w:val="bullet"/>
      <w:lvlText w:val="•"/>
      <w:lvlJc w:val="left"/>
      <w:pPr>
        <w:ind w:left="7519" w:hanging="490"/>
      </w:pPr>
      <w:rPr>
        <w:rFonts w:hint="default"/>
      </w:rPr>
    </w:lvl>
  </w:abstractNum>
  <w:abstractNum w:abstractNumId="121">
    <w:multiLevelType w:val="hybridMultilevel"/>
    <w:lvl w:ilvl="0">
      <w:start w:val="8"/>
      <w:numFmt w:val="decimal"/>
      <w:lvlText w:val="%1"/>
      <w:lvlJc w:val="left"/>
      <w:pPr>
        <w:ind w:left="923" w:hanging="367"/>
        <w:jc w:val="left"/>
      </w:pPr>
      <w:rPr>
        <w:rFonts w:hint="default"/>
      </w:rPr>
    </w:lvl>
    <w:lvl w:ilvl="1">
      <w:start w:val="2"/>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120">
    <w:multiLevelType w:val="hybridMultilevel"/>
    <w:lvl w:ilvl="0">
      <w:start w:val="8"/>
      <w:numFmt w:val="decimal"/>
      <w:lvlText w:val="%1"/>
      <w:lvlJc w:val="left"/>
      <w:pPr>
        <w:ind w:left="923" w:hanging="367"/>
        <w:jc w:val="left"/>
      </w:pPr>
      <w:rPr>
        <w:rFonts w:hint="default"/>
      </w:rPr>
    </w:lvl>
    <w:lvl w:ilvl="1">
      <w:start w:val="1"/>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119">
    <w:multiLevelType w:val="hybridMultilevel"/>
    <w:lvl w:ilvl="0">
      <w:start w:val="7"/>
      <w:numFmt w:val="decimal"/>
      <w:lvlText w:val="%1"/>
      <w:lvlJc w:val="left"/>
      <w:pPr>
        <w:ind w:left="923" w:hanging="367"/>
        <w:jc w:val="left"/>
      </w:pPr>
      <w:rPr>
        <w:rFonts w:hint="default"/>
      </w:rPr>
    </w:lvl>
    <w:lvl w:ilvl="1">
      <w:start w:val="9"/>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617" w:hanging="367"/>
      </w:pPr>
      <w:rPr>
        <w:rFonts w:hint="default"/>
      </w:rPr>
    </w:lvl>
    <w:lvl w:ilvl="3">
      <w:start w:val="0"/>
      <w:numFmt w:val="bullet"/>
      <w:lvlText w:val="•"/>
      <w:lvlJc w:val="left"/>
      <w:pPr>
        <w:ind w:left="3465" w:hanging="367"/>
      </w:pPr>
      <w:rPr>
        <w:rFonts w:hint="default"/>
      </w:rPr>
    </w:lvl>
    <w:lvl w:ilvl="4">
      <w:start w:val="0"/>
      <w:numFmt w:val="bullet"/>
      <w:lvlText w:val="•"/>
      <w:lvlJc w:val="left"/>
      <w:pPr>
        <w:ind w:left="4314" w:hanging="367"/>
      </w:pPr>
      <w:rPr>
        <w:rFonts w:hint="default"/>
      </w:rPr>
    </w:lvl>
    <w:lvl w:ilvl="5">
      <w:start w:val="0"/>
      <w:numFmt w:val="bullet"/>
      <w:lvlText w:val="•"/>
      <w:lvlJc w:val="left"/>
      <w:pPr>
        <w:ind w:left="5162" w:hanging="367"/>
      </w:pPr>
      <w:rPr>
        <w:rFonts w:hint="default"/>
      </w:rPr>
    </w:lvl>
    <w:lvl w:ilvl="6">
      <w:start w:val="0"/>
      <w:numFmt w:val="bullet"/>
      <w:lvlText w:val="•"/>
      <w:lvlJc w:val="left"/>
      <w:pPr>
        <w:ind w:left="6011" w:hanging="367"/>
      </w:pPr>
      <w:rPr>
        <w:rFonts w:hint="default"/>
      </w:rPr>
    </w:lvl>
    <w:lvl w:ilvl="7">
      <w:start w:val="0"/>
      <w:numFmt w:val="bullet"/>
      <w:lvlText w:val="•"/>
      <w:lvlJc w:val="left"/>
      <w:pPr>
        <w:ind w:left="6859" w:hanging="367"/>
      </w:pPr>
      <w:rPr>
        <w:rFonts w:hint="default"/>
      </w:rPr>
    </w:lvl>
    <w:lvl w:ilvl="8">
      <w:start w:val="0"/>
      <w:numFmt w:val="bullet"/>
      <w:lvlText w:val="•"/>
      <w:lvlJc w:val="left"/>
      <w:pPr>
        <w:ind w:left="7708" w:hanging="367"/>
      </w:pPr>
      <w:rPr>
        <w:rFonts w:hint="default"/>
      </w:rPr>
    </w:lvl>
  </w:abstractNum>
  <w:abstractNum w:abstractNumId="118">
    <w:multiLevelType w:val="hybridMultilevel"/>
    <w:lvl w:ilvl="0">
      <w:start w:val="7"/>
      <w:numFmt w:val="decimal"/>
      <w:lvlText w:val="%1"/>
      <w:lvlJc w:val="left"/>
      <w:pPr>
        <w:ind w:left="923" w:hanging="367"/>
        <w:jc w:val="left"/>
      </w:pPr>
      <w:rPr>
        <w:rFonts w:hint="default"/>
      </w:rPr>
    </w:lvl>
    <w:lvl w:ilvl="1">
      <w:start w:val="2"/>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085" w:hanging="490"/>
      </w:pPr>
      <w:rPr>
        <w:rFonts w:hint="default"/>
      </w:rPr>
    </w:lvl>
    <w:lvl w:ilvl="4">
      <w:start w:val="0"/>
      <w:numFmt w:val="bullet"/>
      <w:lvlText w:val="•"/>
      <w:lvlJc w:val="left"/>
      <w:pPr>
        <w:ind w:left="3131" w:hanging="490"/>
      </w:pPr>
      <w:rPr>
        <w:rFonts w:hint="default"/>
      </w:rPr>
    </w:lvl>
    <w:lvl w:ilvl="5">
      <w:start w:val="0"/>
      <w:numFmt w:val="bullet"/>
      <w:lvlText w:val="•"/>
      <w:lvlJc w:val="left"/>
      <w:pPr>
        <w:ind w:left="4177" w:hanging="490"/>
      </w:pPr>
      <w:rPr>
        <w:rFonts w:hint="default"/>
      </w:rPr>
    </w:lvl>
    <w:lvl w:ilvl="6">
      <w:start w:val="0"/>
      <w:numFmt w:val="bullet"/>
      <w:lvlText w:val="•"/>
      <w:lvlJc w:val="left"/>
      <w:pPr>
        <w:ind w:left="5222" w:hanging="490"/>
      </w:pPr>
      <w:rPr>
        <w:rFonts w:hint="default"/>
      </w:rPr>
    </w:lvl>
    <w:lvl w:ilvl="7">
      <w:start w:val="0"/>
      <w:numFmt w:val="bullet"/>
      <w:lvlText w:val="•"/>
      <w:lvlJc w:val="left"/>
      <w:pPr>
        <w:ind w:left="6268" w:hanging="490"/>
      </w:pPr>
      <w:rPr>
        <w:rFonts w:hint="default"/>
      </w:rPr>
    </w:lvl>
    <w:lvl w:ilvl="8">
      <w:start w:val="0"/>
      <w:numFmt w:val="bullet"/>
      <w:lvlText w:val="•"/>
      <w:lvlJc w:val="left"/>
      <w:pPr>
        <w:ind w:left="7314" w:hanging="490"/>
      </w:pPr>
      <w:rPr>
        <w:rFonts w:hint="default"/>
      </w:rPr>
    </w:lvl>
  </w:abstractNum>
  <w:abstractNum w:abstractNumId="117">
    <w:multiLevelType w:val="hybridMultilevel"/>
    <w:lvl w:ilvl="0">
      <w:start w:val="7"/>
      <w:numFmt w:val="decimal"/>
      <w:lvlText w:val="%1"/>
      <w:lvlJc w:val="left"/>
      <w:pPr>
        <w:ind w:left="923" w:hanging="367"/>
        <w:jc w:val="left"/>
      </w:pPr>
      <w:rPr>
        <w:rFonts w:hint="default"/>
      </w:rPr>
    </w:lvl>
    <w:lvl w:ilvl="1">
      <w:start w:val="1"/>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116">
    <w:multiLevelType w:val="hybridMultilevel"/>
    <w:lvl w:ilvl="0">
      <w:start w:val="6"/>
      <w:numFmt w:val="decimal"/>
      <w:lvlText w:val="%1"/>
      <w:lvlJc w:val="left"/>
      <w:pPr>
        <w:ind w:left="923" w:hanging="367"/>
        <w:jc w:val="left"/>
      </w:pPr>
      <w:rPr>
        <w:rFonts w:hint="default"/>
      </w:rPr>
    </w:lvl>
    <w:lvl w:ilvl="1">
      <w:start w:val="4"/>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115">
    <w:multiLevelType w:val="hybridMultilevel"/>
    <w:lvl w:ilvl="0">
      <w:start w:val="6"/>
      <w:numFmt w:val="decimal"/>
      <w:lvlText w:val="%1"/>
      <w:lvlJc w:val="left"/>
      <w:pPr>
        <w:ind w:left="923" w:hanging="367"/>
        <w:jc w:val="left"/>
      </w:pPr>
      <w:rPr>
        <w:rFonts w:hint="default"/>
      </w:rPr>
    </w:lvl>
    <w:lvl w:ilvl="1">
      <w:start w:val="1"/>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114">
    <w:multiLevelType w:val="hybridMultilevel"/>
    <w:lvl w:ilvl="0">
      <w:start w:val="5"/>
      <w:numFmt w:val="decimal"/>
      <w:lvlText w:val="%1"/>
      <w:lvlJc w:val="left"/>
      <w:pPr>
        <w:ind w:left="923" w:hanging="367"/>
        <w:jc w:val="left"/>
      </w:pPr>
      <w:rPr>
        <w:rFonts w:hint="default"/>
      </w:rPr>
    </w:lvl>
    <w:lvl w:ilvl="1">
      <w:start w:val="3"/>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1969" w:hanging="367"/>
      </w:pPr>
      <w:rPr>
        <w:rFonts w:hint="default"/>
      </w:rPr>
    </w:lvl>
    <w:lvl w:ilvl="3">
      <w:start w:val="0"/>
      <w:numFmt w:val="bullet"/>
      <w:lvlText w:val="•"/>
      <w:lvlJc w:val="left"/>
      <w:pPr>
        <w:ind w:left="2899" w:hanging="367"/>
      </w:pPr>
      <w:rPr>
        <w:rFonts w:hint="default"/>
      </w:rPr>
    </w:lvl>
    <w:lvl w:ilvl="4">
      <w:start w:val="0"/>
      <w:numFmt w:val="bullet"/>
      <w:lvlText w:val="•"/>
      <w:lvlJc w:val="left"/>
      <w:pPr>
        <w:ind w:left="3828" w:hanging="367"/>
      </w:pPr>
      <w:rPr>
        <w:rFonts w:hint="default"/>
      </w:rPr>
    </w:lvl>
    <w:lvl w:ilvl="5">
      <w:start w:val="0"/>
      <w:numFmt w:val="bullet"/>
      <w:lvlText w:val="•"/>
      <w:lvlJc w:val="left"/>
      <w:pPr>
        <w:ind w:left="4758" w:hanging="367"/>
      </w:pPr>
      <w:rPr>
        <w:rFonts w:hint="default"/>
      </w:rPr>
    </w:lvl>
    <w:lvl w:ilvl="6">
      <w:start w:val="0"/>
      <w:numFmt w:val="bullet"/>
      <w:lvlText w:val="•"/>
      <w:lvlJc w:val="left"/>
      <w:pPr>
        <w:ind w:left="5687" w:hanging="367"/>
      </w:pPr>
      <w:rPr>
        <w:rFonts w:hint="default"/>
      </w:rPr>
    </w:lvl>
    <w:lvl w:ilvl="7">
      <w:start w:val="0"/>
      <w:numFmt w:val="bullet"/>
      <w:lvlText w:val="•"/>
      <w:lvlJc w:val="left"/>
      <w:pPr>
        <w:ind w:left="6617" w:hanging="367"/>
      </w:pPr>
      <w:rPr>
        <w:rFonts w:hint="default"/>
      </w:rPr>
    </w:lvl>
    <w:lvl w:ilvl="8">
      <w:start w:val="0"/>
      <w:numFmt w:val="bullet"/>
      <w:lvlText w:val="•"/>
      <w:lvlJc w:val="left"/>
      <w:pPr>
        <w:ind w:left="7546" w:hanging="367"/>
      </w:pPr>
      <w:rPr>
        <w:rFonts w:hint="default"/>
      </w:rPr>
    </w:lvl>
  </w:abstractNum>
  <w:abstractNum w:abstractNumId="113">
    <w:multiLevelType w:val="hybridMultilevel"/>
    <w:lvl w:ilvl="0">
      <w:start w:val="5"/>
      <w:numFmt w:val="decimal"/>
      <w:lvlText w:val="%1"/>
      <w:lvlJc w:val="left"/>
      <w:pPr>
        <w:ind w:left="923" w:hanging="367"/>
        <w:jc w:val="left"/>
      </w:pPr>
      <w:rPr>
        <w:rFonts w:hint="default"/>
      </w:rPr>
    </w:lvl>
    <w:lvl w:ilvl="1">
      <w:start w:val="2"/>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05" w:hanging="490"/>
      </w:pPr>
      <w:rPr>
        <w:rFonts w:hint="default"/>
      </w:rPr>
    </w:lvl>
    <w:lvl w:ilvl="4">
      <w:start w:val="0"/>
      <w:numFmt w:val="bullet"/>
      <w:lvlText w:val="•"/>
      <w:lvlJc w:val="left"/>
      <w:pPr>
        <w:ind w:left="3748" w:hanging="490"/>
      </w:pPr>
      <w:rPr>
        <w:rFonts w:hint="default"/>
      </w:rPr>
    </w:lvl>
    <w:lvl w:ilvl="5">
      <w:start w:val="0"/>
      <w:numFmt w:val="bullet"/>
      <w:lvlText w:val="•"/>
      <w:lvlJc w:val="left"/>
      <w:pPr>
        <w:ind w:left="4691" w:hanging="490"/>
      </w:pPr>
      <w:rPr>
        <w:rFonts w:hint="default"/>
      </w:rPr>
    </w:lvl>
    <w:lvl w:ilvl="6">
      <w:start w:val="0"/>
      <w:numFmt w:val="bullet"/>
      <w:lvlText w:val="•"/>
      <w:lvlJc w:val="left"/>
      <w:pPr>
        <w:ind w:left="5634" w:hanging="490"/>
      </w:pPr>
      <w:rPr>
        <w:rFonts w:hint="default"/>
      </w:rPr>
    </w:lvl>
    <w:lvl w:ilvl="7">
      <w:start w:val="0"/>
      <w:numFmt w:val="bullet"/>
      <w:lvlText w:val="•"/>
      <w:lvlJc w:val="left"/>
      <w:pPr>
        <w:ind w:left="6577" w:hanging="490"/>
      </w:pPr>
      <w:rPr>
        <w:rFonts w:hint="default"/>
      </w:rPr>
    </w:lvl>
    <w:lvl w:ilvl="8">
      <w:start w:val="0"/>
      <w:numFmt w:val="bullet"/>
      <w:lvlText w:val="•"/>
      <w:lvlJc w:val="left"/>
      <w:pPr>
        <w:ind w:left="7519" w:hanging="490"/>
      </w:pPr>
      <w:rPr>
        <w:rFonts w:hint="default"/>
      </w:rPr>
    </w:lvl>
  </w:abstractNum>
  <w:abstractNum w:abstractNumId="112">
    <w:multiLevelType w:val="hybridMultilevel"/>
    <w:lvl w:ilvl="0">
      <w:start w:val="4"/>
      <w:numFmt w:val="decimal"/>
      <w:lvlText w:val="%1"/>
      <w:lvlJc w:val="left"/>
      <w:pPr>
        <w:ind w:left="923" w:hanging="367"/>
        <w:jc w:val="left"/>
      </w:pPr>
      <w:rPr>
        <w:rFonts w:hint="default"/>
      </w:rPr>
    </w:lvl>
    <w:lvl w:ilvl="1">
      <w:start w:val="5"/>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111">
    <w:multiLevelType w:val="hybridMultilevel"/>
    <w:lvl w:ilvl="0">
      <w:start w:val="4"/>
      <w:numFmt w:val="decimal"/>
      <w:lvlText w:val="%1"/>
      <w:lvlJc w:val="left"/>
      <w:pPr>
        <w:ind w:left="923" w:hanging="367"/>
        <w:jc w:val="left"/>
      </w:pPr>
      <w:rPr>
        <w:rFonts w:hint="default"/>
      </w:rPr>
    </w:lvl>
    <w:lvl w:ilvl="1">
      <w:start w:val="4"/>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110">
    <w:multiLevelType w:val="hybridMultilevel"/>
    <w:lvl w:ilvl="0">
      <w:start w:val="4"/>
      <w:numFmt w:val="decimal"/>
      <w:lvlText w:val="%1"/>
      <w:lvlJc w:val="left"/>
      <w:pPr>
        <w:ind w:left="923" w:hanging="367"/>
        <w:jc w:val="left"/>
      </w:pPr>
      <w:rPr>
        <w:rFonts w:hint="default"/>
      </w:rPr>
    </w:lvl>
    <w:lvl w:ilvl="1">
      <w:start w:val="1"/>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55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05" w:hanging="490"/>
      </w:pPr>
      <w:rPr>
        <w:rFonts w:hint="default"/>
      </w:rPr>
    </w:lvl>
    <w:lvl w:ilvl="4">
      <w:start w:val="0"/>
      <w:numFmt w:val="bullet"/>
      <w:lvlText w:val="•"/>
      <w:lvlJc w:val="left"/>
      <w:pPr>
        <w:ind w:left="3748" w:hanging="490"/>
      </w:pPr>
      <w:rPr>
        <w:rFonts w:hint="default"/>
      </w:rPr>
    </w:lvl>
    <w:lvl w:ilvl="5">
      <w:start w:val="0"/>
      <w:numFmt w:val="bullet"/>
      <w:lvlText w:val="•"/>
      <w:lvlJc w:val="left"/>
      <w:pPr>
        <w:ind w:left="4691" w:hanging="490"/>
      </w:pPr>
      <w:rPr>
        <w:rFonts w:hint="default"/>
      </w:rPr>
    </w:lvl>
    <w:lvl w:ilvl="6">
      <w:start w:val="0"/>
      <w:numFmt w:val="bullet"/>
      <w:lvlText w:val="•"/>
      <w:lvlJc w:val="left"/>
      <w:pPr>
        <w:ind w:left="5634" w:hanging="490"/>
      </w:pPr>
      <w:rPr>
        <w:rFonts w:hint="default"/>
      </w:rPr>
    </w:lvl>
    <w:lvl w:ilvl="7">
      <w:start w:val="0"/>
      <w:numFmt w:val="bullet"/>
      <w:lvlText w:val="•"/>
      <w:lvlJc w:val="left"/>
      <w:pPr>
        <w:ind w:left="6577" w:hanging="490"/>
      </w:pPr>
      <w:rPr>
        <w:rFonts w:hint="default"/>
      </w:rPr>
    </w:lvl>
    <w:lvl w:ilvl="8">
      <w:start w:val="0"/>
      <w:numFmt w:val="bullet"/>
      <w:lvlText w:val="•"/>
      <w:lvlJc w:val="left"/>
      <w:pPr>
        <w:ind w:left="7519" w:hanging="490"/>
      </w:pPr>
      <w:rPr>
        <w:rFonts w:hint="default"/>
      </w:rPr>
    </w:lvl>
  </w:abstractNum>
  <w:abstractNum w:abstractNumId="109">
    <w:multiLevelType w:val="hybridMultilevel"/>
    <w:lvl w:ilvl="0">
      <w:start w:val="3"/>
      <w:numFmt w:val="decimal"/>
      <w:lvlText w:val="%1"/>
      <w:lvlJc w:val="left"/>
      <w:pPr>
        <w:ind w:left="1047" w:hanging="490"/>
        <w:jc w:val="left"/>
      </w:pPr>
      <w:rPr>
        <w:rFonts w:hint="default"/>
      </w:rPr>
    </w:lvl>
    <w:lvl w:ilvl="1">
      <w:start w:val="7"/>
      <w:numFmt w:val="decimal"/>
      <w:lvlText w:val="%1.%2"/>
      <w:lvlJc w:val="left"/>
      <w:pPr>
        <w:ind w:left="1047" w:hanging="490"/>
        <w:jc w:val="left"/>
      </w:pPr>
      <w:rPr>
        <w:rFonts w:hint="default"/>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549" w:hanging="490"/>
      </w:pPr>
      <w:rPr>
        <w:rFonts w:hint="default"/>
      </w:rPr>
    </w:lvl>
    <w:lvl w:ilvl="4">
      <w:start w:val="0"/>
      <w:numFmt w:val="bullet"/>
      <w:lvlText w:val="•"/>
      <w:lvlJc w:val="left"/>
      <w:pPr>
        <w:ind w:left="4386" w:hanging="490"/>
      </w:pPr>
      <w:rPr>
        <w:rFonts w:hint="default"/>
      </w:rPr>
    </w:lvl>
    <w:lvl w:ilvl="5">
      <w:start w:val="0"/>
      <w:numFmt w:val="bullet"/>
      <w:lvlText w:val="•"/>
      <w:lvlJc w:val="left"/>
      <w:pPr>
        <w:ind w:left="5222" w:hanging="490"/>
      </w:pPr>
      <w:rPr>
        <w:rFonts w:hint="default"/>
      </w:rPr>
    </w:lvl>
    <w:lvl w:ilvl="6">
      <w:start w:val="0"/>
      <w:numFmt w:val="bullet"/>
      <w:lvlText w:val="•"/>
      <w:lvlJc w:val="left"/>
      <w:pPr>
        <w:ind w:left="6059" w:hanging="490"/>
      </w:pPr>
      <w:rPr>
        <w:rFonts w:hint="default"/>
      </w:rPr>
    </w:lvl>
    <w:lvl w:ilvl="7">
      <w:start w:val="0"/>
      <w:numFmt w:val="bullet"/>
      <w:lvlText w:val="•"/>
      <w:lvlJc w:val="left"/>
      <w:pPr>
        <w:ind w:left="6895" w:hanging="490"/>
      </w:pPr>
      <w:rPr>
        <w:rFonts w:hint="default"/>
      </w:rPr>
    </w:lvl>
    <w:lvl w:ilvl="8">
      <w:start w:val="0"/>
      <w:numFmt w:val="bullet"/>
      <w:lvlText w:val="•"/>
      <w:lvlJc w:val="left"/>
      <w:pPr>
        <w:ind w:left="7732" w:hanging="490"/>
      </w:pPr>
      <w:rPr>
        <w:rFonts w:hint="default"/>
      </w:rPr>
    </w:lvl>
  </w:abstractNum>
  <w:abstractNum w:abstractNumId="108">
    <w:multiLevelType w:val="hybridMultilevel"/>
    <w:lvl w:ilvl="0">
      <w:start w:val="3"/>
      <w:numFmt w:val="decimal"/>
      <w:lvlText w:val="%1"/>
      <w:lvlJc w:val="left"/>
      <w:pPr>
        <w:ind w:left="923" w:hanging="367"/>
        <w:jc w:val="left"/>
      </w:pPr>
      <w:rPr>
        <w:rFonts w:hint="default"/>
      </w:rPr>
    </w:lvl>
    <w:lvl w:ilvl="1">
      <w:start w:val="6"/>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2"/>
      <w:numFmt w:val="decimal"/>
      <w:lvlText w:val="%1.%2.%3"/>
      <w:lvlJc w:val="left"/>
      <w:pPr>
        <w:ind w:left="11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05" w:hanging="490"/>
      </w:pPr>
      <w:rPr>
        <w:rFonts w:hint="default"/>
      </w:rPr>
    </w:lvl>
    <w:lvl w:ilvl="4">
      <w:start w:val="0"/>
      <w:numFmt w:val="bullet"/>
      <w:lvlText w:val="•"/>
      <w:lvlJc w:val="left"/>
      <w:pPr>
        <w:ind w:left="3748" w:hanging="490"/>
      </w:pPr>
      <w:rPr>
        <w:rFonts w:hint="default"/>
      </w:rPr>
    </w:lvl>
    <w:lvl w:ilvl="5">
      <w:start w:val="0"/>
      <w:numFmt w:val="bullet"/>
      <w:lvlText w:val="•"/>
      <w:lvlJc w:val="left"/>
      <w:pPr>
        <w:ind w:left="4691" w:hanging="490"/>
      </w:pPr>
      <w:rPr>
        <w:rFonts w:hint="default"/>
      </w:rPr>
    </w:lvl>
    <w:lvl w:ilvl="6">
      <w:start w:val="0"/>
      <w:numFmt w:val="bullet"/>
      <w:lvlText w:val="•"/>
      <w:lvlJc w:val="left"/>
      <w:pPr>
        <w:ind w:left="5634" w:hanging="490"/>
      </w:pPr>
      <w:rPr>
        <w:rFonts w:hint="default"/>
      </w:rPr>
    </w:lvl>
    <w:lvl w:ilvl="7">
      <w:start w:val="0"/>
      <w:numFmt w:val="bullet"/>
      <w:lvlText w:val="•"/>
      <w:lvlJc w:val="left"/>
      <w:pPr>
        <w:ind w:left="6577" w:hanging="490"/>
      </w:pPr>
      <w:rPr>
        <w:rFonts w:hint="default"/>
      </w:rPr>
    </w:lvl>
    <w:lvl w:ilvl="8">
      <w:start w:val="0"/>
      <w:numFmt w:val="bullet"/>
      <w:lvlText w:val="•"/>
      <w:lvlJc w:val="left"/>
      <w:pPr>
        <w:ind w:left="7519" w:hanging="490"/>
      </w:pPr>
      <w:rPr>
        <w:rFonts w:hint="default"/>
      </w:rPr>
    </w:lvl>
  </w:abstractNum>
  <w:abstractNum w:abstractNumId="107">
    <w:multiLevelType w:val="hybridMultilevel"/>
    <w:lvl w:ilvl="0">
      <w:start w:val="3"/>
      <w:numFmt w:val="decimal"/>
      <w:lvlText w:val="%1"/>
      <w:lvlJc w:val="left"/>
      <w:pPr>
        <w:ind w:left="923" w:hanging="367"/>
        <w:jc w:val="left"/>
      </w:pPr>
      <w:rPr>
        <w:rFonts w:hint="default"/>
      </w:rPr>
    </w:lvl>
    <w:lvl w:ilvl="1">
      <w:start w:val="1"/>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1862" w:hanging="367"/>
      </w:pPr>
      <w:rPr>
        <w:rFonts w:hint="default"/>
      </w:rPr>
    </w:lvl>
    <w:lvl w:ilvl="3">
      <w:start w:val="0"/>
      <w:numFmt w:val="bullet"/>
      <w:lvlText w:val="•"/>
      <w:lvlJc w:val="left"/>
      <w:pPr>
        <w:ind w:left="2805" w:hanging="367"/>
      </w:pPr>
      <w:rPr>
        <w:rFonts w:hint="default"/>
      </w:rPr>
    </w:lvl>
    <w:lvl w:ilvl="4">
      <w:start w:val="0"/>
      <w:numFmt w:val="bullet"/>
      <w:lvlText w:val="•"/>
      <w:lvlJc w:val="left"/>
      <w:pPr>
        <w:ind w:left="3748" w:hanging="367"/>
      </w:pPr>
      <w:rPr>
        <w:rFonts w:hint="default"/>
      </w:rPr>
    </w:lvl>
    <w:lvl w:ilvl="5">
      <w:start w:val="0"/>
      <w:numFmt w:val="bullet"/>
      <w:lvlText w:val="•"/>
      <w:lvlJc w:val="left"/>
      <w:pPr>
        <w:ind w:left="4691" w:hanging="367"/>
      </w:pPr>
      <w:rPr>
        <w:rFonts w:hint="default"/>
      </w:rPr>
    </w:lvl>
    <w:lvl w:ilvl="6">
      <w:start w:val="0"/>
      <w:numFmt w:val="bullet"/>
      <w:lvlText w:val="•"/>
      <w:lvlJc w:val="left"/>
      <w:pPr>
        <w:ind w:left="5634" w:hanging="367"/>
      </w:pPr>
      <w:rPr>
        <w:rFonts w:hint="default"/>
      </w:rPr>
    </w:lvl>
    <w:lvl w:ilvl="7">
      <w:start w:val="0"/>
      <w:numFmt w:val="bullet"/>
      <w:lvlText w:val="•"/>
      <w:lvlJc w:val="left"/>
      <w:pPr>
        <w:ind w:left="6577" w:hanging="367"/>
      </w:pPr>
      <w:rPr>
        <w:rFonts w:hint="default"/>
      </w:rPr>
    </w:lvl>
    <w:lvl w:ilvl="8">
      <w:start w:val="0"/>
      <w:numFmt w:val="bullet"/>
      <w:lvlText w:val="•"/>
      <w:lvlJc w:val="left"/>
      <w:pPr>
        <w:ind w:left="7519" w:hanging="367"/>
      </w:pPr>
      <w:rPr>
        <w:rFonts w:hint="default"/>
      </w:rPr>
    </w:lvl>
  </w:abstractNum>
  <w:abstractNum w:abstractNumId="106">
    <w:multiLevelType w:val="hybridMultilevel"/>
    <w:lvl w:ilvl="0">
      <w:start w:val="2"/>
      <w:numFmt w:val="decimal"/>
      <w:lvlText w:val="%1"/>
      <w:lvlJc w:val="left"/>
      <w:pPr>
        <w:ind w:left="923" w:hanging="367"/>
        <w:jc w:val="left"/>
      </w:pPr>
      <w:rPr>
        <w:rFonts w:hint="default"/>
      </w:rPr>
    </w:lvl>
    <w:lvl w:ilvl="1">
      <w:start w:val="5"/>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2"/>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105">
    <w:multiLevelType w:val="hybridMultilevel"/>
    <w:lvl w:ilvl="0">
      <w:start w:val="2"/>
      <w:numFmt w:val="decimal"/>
      <w:lvlText w:val="%1"/>
      <w:lvlJc w:val="left"/>
      <w:pPr>
        <w:ind w:left="923" w:hanging="367"/>
        <w:jc w:val="left"/>
      </w:pPr>
      <w:rPr>
        <w:rFonts w:hint="default"/>
      </w:rPr>
    </w:lvl>
    <w:lvl w:ilvl="1">
      <w:start w:val="2"/>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104">
    <w:multiLevelType w:val="hybridMultilevel"/>
    <w:lvl w:ilvl="0">
      <w:start w:val="1"/>
      <w:numFmt w:val="decimal"/>
      <w:lvlText w:val="%1"/>
      <w:lvlJc w:val="left"/>
      <w:pPr>
        <w:ind w:left="1045" w:hanging="489"/>
        <w:jc w:val="left"/>
      </w:pPr>
      <w:rPr>
        <w:rFonts w:hint="default"/>
      </w:rPr>
    </w:lvl>
    <w:lvl w:ilvl="1">
      <w:start w:val="13"/>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713" w:hanging="489"/>
      </w:pPr>
      <w:rPr>
        <w:rFonts w:hint="default"/>
      </w:rPr>
    </w:lvl>
    <w:lvl w:ilvl="3">
      <w:start w:val="0"/>
      <w:numFmt w:val="bullet"/>
      <w:lvlText w:val="•"/>
      <w:lvlJc w:val="left"/>
      <w:pPr>
        <w:ind w:left="3549" w:hanging="489"/>
      </w:pPr>
      <w:rPr>
        <w:rFonts w:hint="default"/>
      </w:rPr>
    </w:lvl>
    <w:lvl w:ilvl="4">
      <w:start w:val="0"/>
      <w:numFmt w:val="bullet"/>
      <w:lvlText w:val="•"/>
      <w:lvlJc w:val="left"/>
      <w:pPr>
        <w:ind w:left="4386" w:hanging="489"/>
      </w:pPr>
      <w:rPr>
        <w:rFonts w:hint="default"/>
      </w:rPr>
    </w:lvl>
    <w:lvl w:ilvl="5">
      <w:start w:val="0"/>
      <w:numFmt w:val="bullet"/>
      <w:lvlText w:val="•"/>
      <w:lvlJc w:val="left"/>
      <w:pPr>
        <w:ind w:left="5222" w:hanging="489"/>
      </w:pPr>
      <w:rPr>
        <w:rFonts w:hint="default"/>
      </w:rPr>
    </w:lvl>
    <w:lvl w:ilvl="6">
      <w:start w:val="0"/>
      <w:numFmt w:val="bullet"/>
      <w:lvlText w:val="•"/>
      <w:lvlJc w:val="left"/>
      <w:pPr>
        <w:ind w:left="6059" w:hanging="489"/>
      </w:pPr>
      <w:rPr>
        <w:rFonts w:hint="default"/>
      </w:rPr>
    </w:lvl>
    <w:lvl w:ilvl="7">
      <w:start w:val="0"/>
      <w:numFmt w:val="bullet"/>
      <w:lvlText w:val="•"/>
      <w:lvlJc w:val="left"/>
      <w:pPr>
        <w:ind w:left="6895" w:hanging="489"/>
      </w:pPr>
      <w:rPr>
        <w:rFonts w:hint="default"/>
      </w:rPr>
    </w:lvl>
    <w:lvl w:ilvl="8">
      <w:start w:val="0"/>
      <w:numFmt w:val="bullet"/>
      <w:lvlText w:val="•"/>
      <w:lvlJc w:val="left"/>
      <w:pPr>
        <w:ind w:left="7732" w:hanging="489"/>
      </w:pPr>
      <w:rPr>
        <w:rFonts w:hint="default"/>
      </w:rPr>
    </w:lvl>
  </w:abstractNum>
  <w:abstractNum w:abstractNumId="103">
    <w:multiLevelType w:val="hybridMultilevel"/>
    <w:lvl w:ilvl="0">
      <w:start w:val="1"/>
      <w:numFmt w:val="decimal"/>
      <w:lvlText w:val="%1"/>
      <w:lvlJc w:val="left"/>
      <w:pPr>
        <w:ind w:left="1045" w:hanging="489"/>
        <w:jc w:val="left"/>
      </w:pPr>
      <w:rPr>
        <w:rFonts w:hint="default"/>
      </w:rPr>
    </w:lvl>
    <w:lvl w:ilvl="1">
      <w:start w:val="10"/>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599"/>
      </w:pPr>
      <w:rPr>
        <w:rFonts w:hint="default"/>
      </w:rPr>
    </w:lvl>
    <w:lvl w:ilvl="4">
      <w:start w:val="0"/>
      <w:numFmt w:val="bullet"/>
      <w:lvlText w:val="•"/>
      <w:lvlJc w:val="left"/>
      <w:pPr>
        <w:ind w:left="3828" w:hanging="599"/>
      </w:pPr>
      <w:rPr>
        <w:rFonts w:hint="default"/>
      </w:rPr>
    </w:lvl>
    <w:lvl w:ilvl="5">
      <w:start w:val="0"/>
      <w:numFmt w:val="bullet"/>
      <w:lvlText w:val="•"/>
      <w:lvlJc w:val="left"/>
      <w:pPr>
        <w:ind w:left="4758" w:hanging="599"/>
      </w:pPr>
      <w:rPr>
        <w:rFonts w:hint="default"/>
      </w:rPr>
    </w:lvl>
    <w:lvl w:ilvl="6">
      <w:start w:val="0"/>
      <w:numFmt w:val="bullet"/>
      <w:lvlText w:val="•"/>
      <w:lvlJc w:val="left"/>
      <w:pPr>
        <w:ind w:left="5687" w:hanging="599"/>
      </w:pPr>
      <w:rPr>
        <w:rFonts w:hint="default"/>
      </w:rPr>
    </w:lvl>
    <w:lvl w:ilvl="7">
      <w:start w:val="0"/>
      <w:numFmt w:val="bullet"/>
      <w:lvlText w:val="•"/>
      <w:lvlJc w:val="left"/>
      <w:pPr>
        <w:ind w:left="6617" w:hanging="599"/>
      </w:pPr>
      <w:rPr>
        <w:rFonts w:hint="default"/>
      </w:rPr>
    </w:lvl>
    <w:lvl w:ilvl="8">
      <w:start w:val="0"/>
      <w:numFmt w:val="bullet"/>
      <w:lvlText w:val="•"/>
      <w:lvlJc w:val="left"/>
      <w:pPr>
        <w:ind w:left="7546" w:hanging="599"/>
      </w:pPr>
      <w:rPr>
        <w:rFonts w:hint="default"/>
      </w:rPr>
    </w:lvl>
  </w:abstractNum>
  <w:abstractNum w:abstractNumId="102">
    <w:multiLevelType w:val="hybridMultilevel"/>
    <w:lvl w:ilvl="0">
      <w:start w:val="1"/>
      <w:numFmt w:val="decimal"/>
      <w:lvlText w:val="%1"/>
      <w:lvlJc w:val="left"/>
      <w:pPr>
        <w:ind w:left="923" w:hanging="367"/>
        <w:jc w:val="left"/>
      </w:pPr>
      <w:rPr>
        <w:rFonts w:hint="default"/>
      </w:rPr>
    </w:lvl>
    <w:lvl w:ilvl="1">
      <w:start w:val="2"/>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085" w:hanging="490"/>
      </w:pPr>
      <w:rPr>
        <w:rFonts w:hint="default"/>
      </w:rPr>
    </w:lvl>
    <w:lvl w:ilvl="4">
      <w:start w:val="0"/>
      <w:numFmt w:val="bullet"/>
      <w:lvlText w:val="•"/>
      <w:lvlJc w:val="left"/>
      <w:pPr>
        <w:ind w:left="3131" w:hanging="490"/>
      </w:pPr>
      <w:rPr>
        <w:rFonts w:hint="default"/>
      </w:rPr>
    </w:lvl>
    <w:lvl w:ilvl="5">
      <w:start w:val="0"/>
      <w:numFmt w:val="bullet"/>
      <w:lvlText w:val="•"/>
      <w:lvlJc w:val="left"/>
      <w:pPr>
        <w:ind w:left="4177" w:hanging="490"/>
      </w:pPr>
      <w:rPr>
        <w:rFonts w:hint="default"/>
      </w:rPr>
    </w:lvl>
    <w:lvl w:ilvl="6">
      <w:start w:val="0"/>
      <w:numFmt w:val="bullet"/>
      <w:lvlText w:val="•"/>
      <w:lvlJc w:val="left"/>
      <w:pPr>
        <w:ind w:left="5222" w:hanging="490"/>
      </w:pPr>
      <w:rPr>
        <w:rFonts w:hint="default"/>
      </w:rPr>
    </w:lvl>
    <w:lvl w:ilvl="7">
      <w:start w:val="0"/>
      <w:numFmt w:val="bullet"/>
      <w:lvlText w:val="•"/>
      <w:lvlJc w:val="left"/>
      <w:pPr>
        <w:ind w:left="6268" w:hanging="490"/>
      </w:pPr>
      <w:rPr>
        <w:rFonts w:hint="default"/>
      </w:rPr>
    </w:lvl>
    <w:lvl w:ilvl="8">
      <w:start w:val="0"/>
      <w:numFmt w:val="bullet"/>
      <w:lvlText w:val="•"/>
      <w:lvlJc w:val="left"/>
      <w:pPr>
        <w:ind w:left="7314" w:hanging="490"/>
      </w:pPr>
      <w:rPr>
        <w:rFonts w:hint="default"/>
      </w:rPr>
    </w:lvl>
  </w:abstractNum>
  <w:abstractNum w:abstractNumId="101">
    <w:multiLevelType w:val="hybridMultilevel"/>
    <w:lvl w:ilvl="0">
      <w:start w:val="1"/>
      <w:numFmt w:val="decimal"/>
      <w:lvlText w:val="%1"/>
      <w:lvlJc w:val="left"/>
      <w:pPr>
        <w:ind w:left="1210" w:hanging="653"/>
        <w:jc w:val="left"/>
      </w:pPr>
      <w:rPr>
        <w:rFonts w:hint="default"/>
      </w:rPr>
    </w:lvl>
    <w:lvl w:ilvl="1">
      <w:start w:val="1"/>
      <w:numFmt w:val="decimal"/>
      <w:lvlText w:val="%1.%2"/>
      <w:lvlJc w:val="left"/>
      <w:pPr>
        <w:ind w:left="1210" w:hanging="653"/>
        <w:jc w:val="left"/>
      </w:pPr>
      <w:rPr>
        <w:rFonts w:hint="default"/>
      </w:rPr>
    </w:lvl>
    <w:lvl w:ilvl="2">
      <w:start w:val="3"/>
      <w:numFmt w:val="decimal"/>
      <w:lvlText w:val="%1.%2.%3"/>
      <w:lvlJc w:val="left"/>
      <w:pPr>
        <w:ind w:left="1210" w:hanging="653"/>
        <w:jc w:val="left"/>
      </w:pPr>
      <w:rPr>
        <w:rFonts w:hint="default"/>
      </w:rPr>
    </w:lvl>
    <w:lvl w:ilvl="3">
      <w:start w:val="9"/>
      <w:numFmt w:val="decimal"/>
      <w:lvlText w:val="%1.%2.%3.%4"/>
      <w:lvlJc w:val="left"/>
      <w:pPr>
        <w:ind w:left="1210" w:hanging="653"/>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4494" w:hanging="653"/>
      </w:pPr>
      <w:rPr>
        <w:rFonts w:hint="default"/>
      </w:rPr>
    </w:lvl>
    <w:lvl w:ilvl="5">
      <w:start w:val="0"/>
      <w:numFmt w:val="bullet"/>
      <w:lvlText w:val="•"/>
      <w:lvlJc w:val="left"/>
      <w:pPr>
        <w:ind w:left="5312" w:hanging="653"/>
      </w:pPr>
      <w:rPr>
        <w:rFonts w:hint="default"/>
      </w:rPr>
    </w:lvl>
    <w:lvl w:ilvl="6">
      <w:start w:val="0"/>
      <w:numFmt w:val="bullet"/>
      <w:lvlText w:val="•"/>
      <w:lvlJc w:val="left"/>
      <w:pPr>
        <w:ind w:left="6131" w:hanging="653"/>
      </w:pPr>
      <w:rPr>
        <w:rFonts w:hint="default"/>
      </w:rPr>
    </w:lvl>
    <w:lvl w:ilvl="7">
      <w:start w:val="0"/>
      <w:numFmt w:val="bullet"/>
      <w:lvlText w:val="•"/>
      <w:lvlJc w:val="left"/>
      <w:pPr>
        <w:ind w:left="6949" w:hanging="653"/>
      </w:pPr>
      <w:rPr>
        <w:rFonts w:hint="default"/>
      </w:rPr>
    </w:lvl>
    <w:lvl w:ilvl="8">
      <w:start w:val="0"/>
      <w:numFmt w:val="bullet"/>
      <w:lvlText w:val="•"/>
      <w:lvlJc w:val="left"/>
      <w:pPr>
        <w:ind w:left="7768" w:hanging="653"/>
      </w:pPr>
      <w:rPr>
        <w:rFonts w:hint="default"/>
      </w:rPr>
    </w:lvl>
  </w:abstractNum>
  <w:abstractNum w:abstractNumId="100">
    <w:multiLevelType w:val="hybridMultilevel"/>
    <w:lvl w:ilvl="0">
      <w:start w:val="20"/>
      <w:numFmt w:val="decimal"/>
      <w:lvlText w:val="%1"/>
      <w:lvlJc w:val="left"/>
      <w:pPr>
        <w:ind w:left="1045" w:hanging="489"/>
        <w:jc w:val="left"/>
      </w:pPr>
      <w:rPr>
        <w:rFonts w:hint="default"/>
      </w:rPr>
    </w:lvl>
    <w:lvl w:ilvl="1">
      <w:start w:val="4"/>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693" w:hanging="489"/>
      </w:pPr>
      <w:rPr>
        <w:rFonts w:hint="default"/>
      </w:rPr>
    </w:lvl>
    <w:lvl w:ilvl="3">
      <w:start w:val="0"/>
      <w:numFmt w:val="bullet"/>
      <w:lvlText w:val="•"/>
      <w:lvlJc w:val="left"/>
      <w:pPr>
        <w:ind w:left="3519" w:hanging="489"/>
      </w:pPr>
      <w:rPr>
        <w:rFonts w:hint="default"/>
      </w:rPr>
    </w:lvl>
    <w:lvl w:ilvl="4">
      <w:start w:val="0"/>
      <w:numFmt w:val="bullet"/>
      <w:lvlText w:val="•"/>
      <w:lvlJc w:val="left"/>
      <w:pPr>
        <w:ind w:left="4346" w:hanging="489"/>
      </w:pPr>
      <w:rPr>
        <w:rFonts w:hint="default"/>
      </w:rPr>
    </w:lvl>
    <w:lvl w:ilvl="5">
      <w:start w:val="0"/>
      <w:numFmt w:val="bullet"/>
      <w:lvlText w:val="•"/>
      <w:lvlJc w:val="left"/>
      <w:pPr>
        <w:ind w:left="5172" w:hanging="489"/>
      </w:pPr>
      <w:rPr>
        <w:rFonts w:hint="default"/>
      </w:rPr>
    </w:lvl>
    <w:lvl w:ilvl="6">
      <w:start w:val="0"/>
      <w:numFmt w:val="bullet"/>
      <w:lvlText w:val="•"/>
      <w:lvlJc w:val="left"/>
      <w:pPr>
        <w:ind w:left="5999" w:hanging="489"/>
      </w:pPr>
      <w:rPr>
        <w:rFonts w:hint="default"/>
      </w:rPr>
    </w:lvl>
    <w:lvl w:ilvl="7">
      <w:start w:val="0"/>
      <w:numFmt w:val="bullet"/>
      <w:lvlText w:val="•"/>
      <w:lvlJc w:val="left"/>
      <w:pPr>
        <w:ind w:left="6825" w:hanging="489"/>
      </w:pPr>
      <w:rPr>
        <w:rFonts w:hint="default"/>
      </w:rPr>
    </w:lvl>
    <w:lvl w:ilvl="8">
      <w:start w:val="0"/>
      <w:numFmt w:val="bullet"/>
      <w:lvlText w:val="•"/>
      <w:lvlJc w:val="left"/>
      <w:pPr>
        <w:ind w:left="7652" w:hanging="489"/>
      </w:pPr>
      <w:rPr>
        <w:rFonts w:hint="default"/>
      </w:rPr>
    </w:lvl>
  </w:abstractNum>
  <w:abstractNum w:abstractNumId="99">
    <w:multiLevelType w:val="hybridMultilevel"/>
    <w:lvl w:ilvl="0">
      <w:start w:val="20"/>
      <w:numFmt w:val="decimal"/>
      <w:lvlText w:val="%1"/>
      <w:lvlJc w:val="left"/>
      <w:pPr>
        <w:ind w:left="1045" w:hanging="489"/>
        <w:jc w:val="left"/>
      </w:pPr>
      <w:rPr>
        <w:rFonts w:hint="default"/>
      </w:rPr>
    </w:lvl>
    <w:lvl w:ilvl="1">
      <w:start w:val="1"/>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70" w:hanging="599"/>
      </w:pPr>
      <w:rPr>
        <w:rFonts w:hint="default"/>
      </w:rPr>
    </w:lvl>
    <w:lvl w:ilvl="4">
      <w:start w:val="0"/>
      <w:numFmt w:val="bullet"/>
      <w:lvlText w:val="•"/>
      <w:lvlJc w:val="left"/>
      <w:pPr>
        <w:ind w:left="3875" w:hanging="599"/>
      </w:pPr>
      <w:rPr>
        <w:rFonts w:hint="default"/>
      </w:rPr>
    </w:lvl>
    <w:lvl w:ilvl="5">
      <w:start w:val="0"/>
      <w:numFmt w:val="bullet"/>
      <w:lvlText w:val="•"/>
      <w:lvlJc w:val="left"/>
      <w:pPr>
        <w:ind w:left="4780" w:hanging="599"/>
      </w:pPr>
      <w:rPr>
        <w:rFonts w:hint="default"/>
      </w:rPr>
    </w:lvl>
    <w:lvl w:ilvl="6">
      <w:start w:val="0"/>
      <w:numFmt w:val="bullet"/>
      <w:lvlText w:val="•"/>
      <w:lvlJc w:val="left"/>
      <w:pPr>
        <w:ind w:left="5685" w:hanging="599"/>
      </w:pPr>
      <w:rPr>
        <w:rFonts w:hint="default"/>
      </w:rPr>
    </w:lvl>
    <w:lvl w:ilvl="7">
      <w:start w:val="0"/>
      <w:numFmt w:val="bullet"/>
      <w:lvlText w:val="•"/>
      <w:lvlJc w:val="left"/>
      <w:pPr>
        <w:ind w:left="6590" w:hanging="599"/>
      </w:pPr>
      <w:rPr>
        <w:rFonts w:hint="default"/>
      </w:rPr>
    </w:lvl>
    <w:lvl w:ilvl="8">
      <w:start w:val="0"/>
      <w:numFmt w:val="bullet"/>
      <w:lvlText w:val="•"/>
      <w:lvlJc w:val="left"/>
      <w:pPr>
        <w:ind w:left="7495" w:hanging="599"/>
      </w:pPr>
      <w:rPr>
        <w:rFonts w:hint="default"/>
      </w:rPr>
    </w:lvl>
  </w:abstractNum>
  <w:abstractNum w:abstractNumId="98">
    <w:multiLevelType w:val="hybridMultilevel"/>
    <w:lvl w:ilvl="0">
      <w:start w:val="19"/>
      <w:numFmt w:val="decimal"/>
      <w:lvlText w:val="%1"/>
      <w:lvlJc w:val="left"/>
      <w:pPr>
        <w:ind w:left="1045" w:hanging="489"/>
        <w:jc w:val="left"/>
      </w:pPr>
      <w:rPr>
        <w:rFonts w:hint="default"/>
      </w:rPr>
    </w:lvl>
    <w:lvl w:ilvl="1">
      <w:start w:val="1"/>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693" w:hanging="489"/>
      </w:pPr>
      <w:rPr>
        <w:rFonts w:hint="default"/>
      </w:rPr>
    </w:lvl>
    <w:lvl w:ilvl="3">
      <w:start w:val="0"/>
      <w:numFmt w:val="bullet"/>
      <w:lvlText w:val="•"/>
      <w:lvlJc w:val="left"/>
      <w:pPr>
        <w:ind w:left="3519" w:hanging="489"/>
      </w:pPr>
      <w:rPr>
        <w:rFonts w:hint="default"/>
      </w:rPr>
    </w:lvl>
    <w:lvl w:ilvl="4">
      <w:start w:val="0"/>
      <w:numFmt w:val="bullet"/>
      <w:lvlText w:val="•"/>
      <w:lvlJc w:val="left"/>
      <w:pPr>
        <w:ind w:left="4346" w:hanging="489"/>
      </w:pPr>
      <w:rPr>
        <w:rFonts w:hint="default"/>
      </w:rPr>
    </w:lvl>
    <w:lvl w:ilvl="5">
      <w:start w:val="0"/>
      <w:numFmt w:val="bullet"/>
      <w:lvlText w:val="•"/>
      <w:lvlJc w:val="left"/>
      <w:pPr>
        <w:ind w:left="5172" w:hanging="489"/>
      </w:pPr>
      <w:rPr>
        <w:rFonts w:hint="default"/>
      </w:rPr>
    </w:lvl>
    <w:lvl w:ilvl="6">
      <w:start w:val="0"/>
      <w:numFmt w:val="bullet"/>
      <w:lvlText w:val="•"/>
      <w:lvlJc w:val="left"/>
      <w:pPr>
        <w:ind w:left="5999" w:hanging="489"/>
      </w:pPr>
      <w:rPr>
        <w:rFonts w:hint="default"/>
      </w:rPr>
    </w:lvl>
    <w:lvl w:ilvl="7">
      <w:start w:val="0"/>
      <w:numFmt w:val="bullet"/>
      <w:lvlText w:val="•"/>
      <w:lvlJc w:val="left"/>
      <w:pPr>
        <w:ind w:left="6825" w:hanging="489"/>
      </w:pPr>
      <w:rPr>
        <w:rFonts w:hint="default"/>
      </w:rPr>
    </w:lvl>
    <w:lvl w:ilvl="8">
      <w:start w:val="0"/>
      <w:numFmt w:val="bullet"/>
      <w:lvlText w:val="•"/>
      <w:lvlJc w:val="left"/>
      <w:pPr>
        <w:ind w:left="7652" w:hanging="489"/>
      </w:pPr>
      <w:rPr>
        <w:rFonts w:hint="default"/>
      </w:rPr>
    </w:lvl>
  </w:abstractNum>
  <w:abstractNum w:abstractNumId="97">
    <w:multiLevelType w:val="hybridMultilevel"/>
    <w:lvl w:ilvl="0">
      <w:start w:val="18"/>
      <w:numFmt w:val="decimal"/>
      <w:lvlText w:val="%1"/>
      <w:lvlJc w:val="left"/>
      <w:pPr>
        <w:ind w:left="1045" w:hanging="489"/>
        <w:jc w:val="left"/>
      </w:pPr>
      <w:rPr>
        <w:rFonts w:hint="default"/>
      </w:rPr>
    </w:lvl>
    <w:lvl w:ilvl="1">
      <w:start w:val="3"/>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70" w:hanging="599"/>
      </w:pPr>
      <w:rPr>
        <w:rFonts w:hint="default"/>
      </w:rPr>
    </w:lvl>
    <w:lvl w:ilvl="4">
      <w:start w:val="0"/>
      <w:numFmt w:val="bullet"/>
      <w:lvlText w:val="•"/>
      <w:lvlJc w:val="left"/>
      <w:pPr>
        <w:ind w:left="3875" w:hanging="599"/>
      </w:pPr>
      <w:rPr>
        <w:rFonts w:hint="default"/>
      </w:rPr>
    </w:lvl>
    <w:lvl w:ilvl="5">
      <w:start w:val="0"/>
      <w:numFmt w:val="bullet"/>
      <w:lvlText w:val="•"/>
      <w:lvlJc w:val="left"/>
      <w:pPr>
        <w:ind w:left="4780" w:hanging="599"/>
      </w:pPr>
      <w:rPr>
        <w:rFonts w:hint="default"/>
      </w:rPr>
    </w:lvl>
    <w:lvl w:ilvl="6">
      <w:start w:val="0"/>
      <w:numFmt w:val="bullet"/>
      <w:lvlText w:val="•"/>
      <w:lvlJc w:val="left"/>
      <w:pPr>
        <w:ind w:left="5685" w:hanging="599"/>
      </w:pPr>
      <w:rPr>
        <w:rFonts w:hint="default"/>
      </w:rPr>
    </w:lvl>
    <w:lvl w:ilvl="7">
      <w:start w:val="0"/>
      <w:numFmt w:val="bullet"/>
      <w:lvlText w:val="•"/>
      <w:lvlJc w:val="left"/>
      <w:pPr>
        <w:ind w:left="6590" w:hanging="599"/>
      </w:pPr>
      <w:rPr>
        <w:rFonts w:hint="default"/>
      </w:rPr>
    </w:lvl>
    <w:lvl w:ilvl="8">
      <w:start w:val="0"/>
      <w:numFmt w:val="bullet"/>
      <w:lvlText w:val="•"/>
      <w:lvlJc w:val="left"/>
      <w:pPr>
        <w:ind w:left="7495" w:hanging="599"/>
      </w:pPr>
      <w:rPr>
        <w:rFonts w:hint="default"/>
      </w:rPr>
    </w:lvl>
  </w:abstractNum>
  <w:abstractNum w:abstractNumId="96">
    <w:multiLevelType w:val="hybridMultilevel"/>
    <w:lvl w:ilvl="0">
      <w:start w:val="18"/>
      <w:numFmt w:val="decimal"/>
      <w:lvlText w:val="%1"/>
      <w:lvlJc w:val="left"/>
      <w:pPr>
        <w:ind w:left="1045" w:hanging="489"/>
        <w:jc w:val="left"/>
      </w:pPr>
      <w:rPr>
        <w:rFonts w:hint="default"/>
      </w:rPr>
    </w:lvl>
    <w:lvl w:ilvl="1">
      <w:start w:val="2"/>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652"/>
        <w:jc w:val="left"/>
      </w:pPr>
      <w:rPr>
        <w:rFonts w:hint="default" w:ascii="方正书宋_GBK" w:hAnsi="方正书宋_GBK" w:eastAsia="方正书宋_GBK" w:cs="方正书宋_GBK"/>
        <w:color w:val="231F20"/>
        <w:spacing w:val="-47"/>
        <w:w w:val="100"/>
        <w:sz w:val="22"/>
        <w:szCs w:val="22"/>
      </w:rPr>
    </w:lvl>
    <w:lvl w:ilvl="3">
      <w:start w:val="0"/>
      <w:numFmt w:val="bullet"/>
      <w:lvlText w:val="•"/>
      <w:lvlJc w:val="left"/>
      <w:pPr>
        <w:ind w:left="2876" w:hanging="652"/>
      </w:pPr>
      <w:rPr>
        <w:rFonts w:hint="default"/>
      </w:rPr>
    </w:lvl>
    <w:lvl w:ilvl="4">
      <w:start w:val="0"/>
      <w:numFmt w:val="bullet"/>
      <w:lvlText w:val="•"/>
      <w:lvlJc w:val="left"/>
      <w:pPr>
        <w:ind w:left="3795" w:hanging="652"/>
      </w:pPr>
      <w:rPr>
        <w:rFonts w:hint="default"/>
      </w:rPr>
    </w:lvl>
    <w:lvl w:ilvl="5">
      <w:start w:val="0"/>
      <w:numFmt w:val="bullet"/>
      <w:lvlText w:val="•"/>
      <w:lvlJc w:val="left"/>
      <w:pPr>
        <w:ind w:left="4713" w:hanging="652"/>
      </w:pPr>
      <w:rPr>
        <w:rFonts w:hint="default"/>
      </w:rPr>
    </w:lvl>
    <w:lvl w:ilvl="6">
      <w:start w:val="0"/>
      <w:numFmt w:val="bullet"/>
      <w:lvlText w:val="•"/>
      <w:lvlJc w:val="left"/>
      <w:pPr>
        <w:ind w:left="5631" w:hanging="652"/>
      </w:pPr>
      <w:rPr>
        <w:rFonts w:hint="default"/>
      </w:rPr>
    </w:lvl>
    <w:lvl w:ilvl="7">
      <w:start w:val="0"/>
      <w:numFmt w:val="bullet"/>
      <w:lvlText w:val="•"/>
      <w:lvlJc w:val="left"/>
      <w:pPr>
        <w:ind w:left="6550" w:hanging="652"/>
      </w:pPr>
      <w:rPr>
        <w:rFonts w:hint="default"/>
      </w:rPr>
    </w:lvl>
    <w:lvl w:ilvl="8">
      <w:start w:val="0"/>
      <w:numFmt w:val="bullet"/>
      <w:lvlText w:val="•"/>
      <w:lvlJc w:val="left"/>
      <w:pPr>
        <w:ind w:left="7468" w:hanging="652"/>
      </w:pPr>
      <w:rPr>
        <w:rFonts w:hint="default"/>
      </w:rPr>
    </w:lvl>
  </w:abstractNum>
  <w:abstractNum w:abstractNumId="95">
    <w:multiLevelType w:val="hybridMultilevel"/>
    <w:lvl w:ilvl="0">
      <w:start w:val="18"/>
      <w:numFmt w:val="decimal"/>
      <w:lvlText w:val="%1"/>
      <w:lvlJc w:val="left"/>
      <w:pPr>
        <w:ind w:left="1045" w:hanging="489"/>
        <w:jc w:val="left"/>
      </w:pPr>
      <w:rPr>
        <w:rFonts w:hint="default"/>
      </w:rPr>
    </w:lvl>
    <w:lvl w:ilvl="1">
      <w:start w:val="1"/>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620"/>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76" w:hanging="620"/>
      </w:pPr>
      <w:rPr>
        <w:rFonts w:hint="default"/>
      </w:rPr>
    </w:lvl>
    <w:lvl w:ilvl="4">
      <w:start w:val="0"/>
      <w:numFmt w:val="bullet"/>
      <w:lvlText w:val="•"/>
      <w:lvlJc w:val="left"/>
      <w:pPr>
        <w:ind w:left="3795" w:hanging="620"/>
      </w:pPr>
      <w:rPr>
        <w:rFonts w:hint="default"/>
      </w:rPr>
    </w:lvl>
    <w:lvl w:ilvl="5">
      <w:start w:val="0"/>
      <w:numFmt w:val="bullet"/>
      <w:lvlText w:val="•"/>
      <w:lvlJc w:val="left"/>
      <w:pPr>
        <w:ind w:left="4713" w:hanging="620"/>
      </w:pPr>
      <w:rPr>
        <w:rFonts w:hint="default"/>
      </w:rPr>
    </w:lvl>
    <w:lvl w:ilvl="6">
      <w:start w:val="0"/>
      <w:numFmt w:val="bullet"/>
      <w:lvlText w:val="•"/>
      <w:lvlJc w:val="left"/>
      <w:pPr>
        <w:ind w:left="5631" w:hanging="620"/>
      </w:pPr>
      <w:rPr>
        <w:rFonts w:hint="default"/>
      </w:rPr>
    </w:lvl>
    <w:lvl w:ilvl="7">
      <w:start w:val="0"/>
      <w:numFmt w:val="bullet"/>
      <w:lvlText w:val="•"/>
      <w:lvlJc w:val="left"/>
      <w:pPr>
        <w:ind w:left="6550" w:hanging="620"/>
      </w:pPr>
      <w:rPr>
        <w:rFonts w:hint="default"/>
      </w:rPr>
    </w:lvl>
    <w:lvl w:ilvl="8">
      <w:start w:val="0"/>
      <w:numFmt w:val="bullet"/>
      <w:lvlText w:val="•"/>
      <w:lvlJc w:val="left"/>
      <w:pPr>
        <w:ind w:left="7468" w:hanging="620"/>
      </w:pPr>
      <w:rPr>
        <w:rFonts w:hint="default"/>
      </w:rPr>
    </w:lvl>
  </w:abstractNum>
  <w:abstractNum w:abstractNumId="94">
    <w:multiLevelType w:val="hybridMultilevel"/>
    <w:lvl w:ilvl="0">
      <w:start w:val="17"/>
      <w:numFmt w:val="decimal"/>
      <w:lvlText w:val="%1"/>
      <w:lvlJc w:val="left"/>
      <w:pPr>
        <w:ind w:left="1045" w:hanging="489"/>
        <w:jc w:val="left"/>
      </w:pPr>
      <w:rPr>
        <w:rFonts w:hint="default"/>
      </w:rPr>
    </w:lvl>
    <w:lvl w:ilvl="1">
      <w:start w:val="1"/>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713" w:hanging="489"/>
      </w:pPr>
      <w:rPr>
        <w:rFonts w:hint="default"/>
      </w:rPr>
    </w:lvl>
    <w:lvl w:ilvl="3">
      <w:start w:val="0"/>
      <w:numFmt w:val="bullet"/>
      <w:lvlText w:val="•"/>
      <w:lvlJc w:val="left"/>
      <w:pPr>
        <w:ind w:left="3549" w:hanging="489"/>
      </w:pPr>
      <w:rPr>
        <w:rFonts w:hint="default"/>
      </w:rPr>
    </w:lvl>
    <w:lvl w:ilvl="4">
      <w:start w:val="0"/>
      <w:numFmt w:val="bullet"/>
      <w:lvlText w:val="•"/>
      <w:lvlJc w:val="left"/>
      <w:pPr>
        <w:ind w:left="4386" w:hanging="489"/>
      </w:pPr>
      <w:rPr>
        <w:rFonts w:hint="default"/>
      </w:rPr>
    </w:lvl>
    <w:lvl w:ilvl="5">
      <w:start w:val="0"/>
      <w:numFmt w:val="bullet"/>
      <w:lvlText w:val="•"/>
      <w:lvlJc w:val="left"/>
      <w:pPr>
        <w:ind w:left="5222" w:hanging="489"/>
      </w:pPr>
      <w:rPr>
        <w:rFonts w:hint="default"/>
      </w:rPr>
    </w:lvl>
    <w:lvl w:ilvl="6">
      <w:start w:val="0"/>
      <w:numFmt w:val="bullet"/>
      <w:lvlText w:val="•"/>
      <w:lvlJc w:val="left"/>
      <w:pPr>
        <w:ind w:left="6059" w:hanging="489"/>
      </w:pPr>
      <w:rPr>
        <w:rFonts w:hint="default"/>
      </w:rPr>
    </w:lvl>
    <w:lvl w:ilvl="7">
      <w:start w:val="0"/>
      <w:numFmt w:val="bullet"/>
      <w:lvlText w:val="•"/>
      <w:lvlJc w:val="left"/>
      <w:pPr>
        <w:ind w:left="6895" w:hanging="489"/>
      </w:pPr>
      <w:rPr>
        <w:rFonts w:hint="default"/>
      </w:rPr>
    </w:lvl>
    <w:lvl w:ilvl="8">
      <w:start w:val="0"/>
      <w:numFmt w:val="bullet"/>
      <w:lvlText w:val="•"/>
      <w:lvlJc w:val="left"/>
      <w:pPr>
        <w:ind w:left="7732" w:hanging="489"/>
      </w:pPr>
      <w:rPr>
        <w:rFonts w:hint="default"/>
      </w:rPr>
    </w:lvl>
  </w:abstractNum>
  <w:abstractNum w:abstractNumId="93">
    <w:multiLevelType w:val="hybridMultilevel"/>
    <w:lvl w:ilvl="0">
      <w:start w:val="16"/>
      <w:numFmt w:val="decimal"/>
      <w:lvlText w:val="%1"/>
      <w:lvlJc w:val="left"/>
      <w:pPr>
        <w:ind w:left="1045" w:hanging="489"/>
        <w:jc w:val="left"/>
      </w:pPr>
      <w:rPr>
        <w:rFonts w:hint="default"/>
      </w:rPr>
    </w:lvl>
    <w:lvl w:ilvl="1">
      <w:start w:val="3"/>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92">
    <w:multiLevelType w:val="hybridMultilevel"/>
    <w:lvl w:ilvl="0">
      <w:start w:val="16"/>
      <w:numFmt w:val="decimal"/>
      <w:lvlText w:val="%1"/>
      <w:lvlJc w:val="left"/>
      <w:pPr>
        <w:ind w:left="1145" w:hanging="489"/>
        <w:jc w:val="left"/>
      </w:pPr>
      <w:rPr>
        <w:rFonts w:hint="default"/>
      </w:rPr>
    </w:lvl>
    <w:lvl w:ilvl="1">
      <w:start w:val="2"/>
      <w:numFmt w:val="decimal"/>
      <w:lvlText w:val="%1.%2"/>
      <w:lvlJc w:val="left"/>
      <w:pPr>
        <w:ind w:left="11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557" w:hanging="599"/>
        <w:jc w:val="righ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9" w:hanging="599"/>
      </w:pPr>
      <w:rPr>
        <w:rFonts w:hint="default"/>
      </w:rPr>
    </w:lvl>
    <w:lvl w:ilvl="4">
      <w:start w:val="0"/>
      <w:numFmt w:val="bullet"/>
      <w:lvlText w:val="•"/>
      <w:lvlJc w:val="left"/>
      <w:pPr>
        <w:ind w:left="3928" w:hanging="599"/>
      </w:pPr>
      <w:rPr>
        <w:rFonts w:hint="default"/>
      </w:rPr>
    </w:lvl>
    <w:lvl w:ilvl="5">
      <w:start w:val="0"/>
      <w:numFmt w:val="bullet"/>
      <w:lvlText w:val="•"/>
      <w:lvlJc w:val="left"/>
      <w:pPr>
        <w:ind w:left="4858" w:hanging="599"/>
      </w:pPr>
      <w:rPr>
        <w:rFonts w:hint="default"/>
      </w:rPr>
    </w:lvl>
    <w:lvl w:ilvl="6">
      <w:start w:val="0"/>
      <w:numFmt w:val="bullet"/>
      <w:lvlText w:val="•"/>
      <w:lvlJc w:val="left"/>
      <w:pPr>
        <w:ind w:left="5787" w:hanging="599"/>
      </w:pPr>
      <w:rPr>
        <w:rFonts w:hint="default"/>
      </w:rPr>
    </w:lvl>
    <w:lvl w:ilvl="7">
      <w:start w:val="0"/>
      <w:numFmt w:val="bullet"/>
      <w:lvlText w:val="•"/>
      <w:lvlJc w:val="left"/>
      <w:pPr>
        <w:ind w:left="6717" w:hanging="599"/>
      </w:pPr>
      <w:rPr>
        <w:rFonts w:hint="default"/>
      </w:rPr>
    </w:lvl>
    <w:lvl w:ilvl="8">
      <w:start w:val="0"/>
      <w:numFmt w:val="bullet"/>
      <w:lvlText w:val="•"/>
      <w:lvlJc w:val="left"/>
      <w:pPr>
        <w:ind w:left="7646" w:hanging="599"/>
      </w:pPr>
      <w:rPr>
        <w:rFonts w:hint="default"/>
      </w:rPr>
    </w:lvl>
  </w:abstractNum>
  <w:abstractNum w:abstractNumId="91">
    <w:multiLevelType w:val="hybridMultilevel"/>
    <w:lvl w:ilvl="0">
      <w:start w:val="16"/>
      <w:numFmt w:val="decimal"/>
      <w:lvlText w:val="%1"/>
      <w:lvlJc w:val="left"/>
      <w:pPr>
        <w:ind w:left="1045" w:hanging="489"/>
        <w:jc w:val="left"/>
      </w:pPr>
      <w:rPr>
        <w:rFonts w:hint="default"/>
      </w:rPr>
    </w:lvl>
    <w:lvl w:ilvl="1">
      <w:start w:val="1"/>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557" w:hanging="599"/>
        <w:jc w:val="righ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599"/>
      </w:pPr>
      <w:rPr>
        <w:rFonts w:hint="default"/>
      </w:rPr>
    </w:lvl>
    <w:lvl w:ilvl="4">
      <w:start w:val="0"/>
      <w:numFmt w:val="bullet"/>
      <w:lvlText w:val="•"/>
      <w:lvlJc w:val="left"/>
      <w:pPr>
        <w:ind w:left="3828" w:hanging="599"/>
      </w:pPr>
      <w:rPr>
        <w:rFonts w:hint="default"/>
      </w:rPr>
    </w:lvl>
    <w:lvl w:ilvl="5">
      <w:start w:val="0"/>
      <w:numFmt w:val="bullet"/>
      <w:lvlText w:val="•"/>
      <w:lvlJc w:val="left"/>
      <w:pPr>
        <w:ind w:left="4758" w:hanging="599"/>
      </w:pPr>
      <w:rPr>
        <w:rFonts w:hint="default"/>
      </w:rPr>
    </w:lvl>
    <w:lvl w:ilvl="6">
      <w:start w:val="0"/>
      <w:numFmt w:val="bullet"/>
      <w:lvlText w:val="•"/>
      <w:lvlJc w:val="left"/>
      <w:pPr>
        <w:ind w:left="5687" w:hanging="599"/>
      </w:pPr>
      <w:rPr>
        <w:rFonts w:hint="default"/>
      </w:rPr>
    </w:lvl>
    <w:lvl w:ilvl="7">
      <w:start w:val="0"/>
      <w:numFmt w:val="bullet"/>
      <w:lvlText w:val="•"/>
      <w:lvlJc w:val="left"/>
      <w:pPr>
        <w:ind w:left="6617" w:hanging="599"/>
      </w:pPr>
      <w:rPr>
        <w:rFonts w:hint="default"/>
      </w:rPr>
    </w:lvl>
    <w:lvl w:ilvl="8">
      <w:start w:val="0"/>
      <w:numFmt w:val="bullet"/>
      <w:lvlText w:val="•"/>
      <w:lvlJc w:val="left"/>
      <w:pPr>
        <w:ind w:left="7546" w:hanging="599"/>
      </w:pPr>
      <w:rPr>
        <w:rFonts w:hint="default"/>
      </w:rPr>
    </w:lvl>
  </w:abstractNum>
  <w:abstractNum w:abstractNumId="90">
    <w:multiLevelType w:val="hybridMultilevel"/>
    <w:lvl w:ilvl="0">
      <w:start w:val="15"/>
      <w:numFmt w:val="decimal"/>
      <w:lvlText w:val="%1"/>
      <w:lvlJc w:val="left"/>
      <w:pPr>
        <w:ind w:left="1045" w:hanging="489"/>
        <w:jc w:val="left"/>
      </w:pPr>
      <w:rPr>
        <w:rFonts w:hint="default"/>
      </w:rPr>
    </w:lvl>
    <w:lvl w:ilvl="1">
      <w:start w:val="2"/>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89">
    <w:multiLevelType w:val="hybridMultilevel"/>
    <w:lvl w:ilvl="0">
      <w:start w:val="15"/>
      <w:numFmt w:val="decimal"/>
      <w:lvlText w:val="%1"/>
      <w:lvlJc w:val="left"/>
      <w:pPr>
        <w:ind w:left="1045" w:hanging="489"/>
        <w:jc w:val="left"/>
      </w:pPr>
      <w:rPr>
        <w:rFonts w:hint="default"/>
      </w:rPr>
    </w:lvl>
    <w:lvl w:ilvl="1">
      <w:start w:val="1"/>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88">
    <w:multiLevelType w:val="hybridMultilevel"/>
    <w:lvl w:ilvl="0">
      <w:start w:val="14"/>
      <w:numFmt w:val="decimal"/>
      <w:lvlText w:val="%1"/>
      <w:lvlJc w:val="left"/>
      <w:pPr>
        <w:ind w:left="1045" w:hanging="489"/>
        <w:jc w:val="right"/>
      </w:pPr>
      <w:rPr>
        <w:rFonts w:hint="default"/>
      </w:rPr>
    </w:lvl>
    <w:lvl w:ilvl="1">
      <w:start w:val="7"/>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87">
    <w:multiLevelType w:val="hybridMultilevel"/>
    <w:lvl w:ilvl="0">
      <w:start w:val="14"/>
      <w:numFmt w:val="decimal"/>
      <w:lvlText w:val="%1"/>
      <w:lvlJc w:val="left"/>
      <w:pPr>
        <w:ind w:left="1045" w:hanging="489"/>
        <w:jc w:val="left"/>
      </w:pPr>
      <w:rPr>
        <w:rFonts w:hint="default"/>
      </w:rPr>
    </w:lvl>
    <w:lvl w:ilvl="1">
      <w:start w:val="6"/>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70" w:hanging="599"/>
      </w:pPr>
      <w:rPr>
        <w:rFonts w:hint="default"/>
      </w:rPr>
    </w:lvl>
    <w:lvl w:ilvl="4">
      <w:start w:val="0"/>
      <w:numFmt w:val="bullet"/>
      <w:lvlText w:val="•"/>
      <w:lvlJc w:val="left"/>
      <w:pPr>
        <w:ind w:left="3875" w:hanging="599"/>
      </w:pPr>
      <w:rPr>
        <w:rFonts w:hint="default"/>
      </w:rPr>
    </w:lvl>
    <w:lvl w:ilvl="5">
      <w:start w:val="0"/>
      <w:numFmt w:val="bullet"/>
      <w:lvlText w:val="•"/>
      <w:lvlJc w:val="left"/>
      <w:pPr>
        <w:ind w:left="4780" w:hanging="599"/>
      </w:pPr>
      <w:rPr>
        <w:rFonts w:hint="default"/>
      </w:rPr>
    </w:lvl>
    <w:lvl w:ilvl="6">
      <w:start w:val="0"/>
      <w:numFmt w:val="bullet"/>
      <w:lvlText w:val="•"/>
      <w:lvlJc w:val="left"/>
      <w:pPr>
        <w:ind w:left="5685" w:hanging="599"/>
      </w:pPr>
      <w:rPr>
        <w:rFonts w:hint="default"/>
      </w:rPr>
    </w:lvl>
    <w:lvl w:ilvl="7">
      <w:start w:val="0"/>
      <w:numFmt w:val="bullet"/>
      <w:lvlText w:val="•"/>
      <w:lvlJc w:val="left"/>
      <w:pPr>
        <w:ind w:left="6590" w:hanging="599"/>
      </w:pPr>
      <w:rPr>
        <w:rFonts w:hint="default"/>
      </w:rPr>
    </w:lvl>
    <w:lvl w:ilvl="8">
      <w:start w:val="0"/>
      <w:numFmt w:val="bullet"/>
      <w:lvlText w:val="•"/>
      <w:lvlJc w:val="left"/>
      <w:pPr>
        <w:ind w:left="7495" w:hanging="599"/>
      </w:pPr>
      <w:rPr>
        <w:rFonts w:hint="default"/>
      </w:rPr>
    </w:lvl>
  </w:abstractNum>
  <w:abstractNum w:abstractNumId="86">
    <w:multiLevelType w:val="hybridMultilevel"/>
    <w:lvl w:ilvl="0">
      <w:start w:val="14"/>
      <w:numFmt w:val="decimal"/>
      <w:lvlText w:val="%1"/>
      <w:lvlJc w:val="left"/>
      <w:pPr>
        <w:ind w:left="1045" w:hanging="489"/>
        <w:jc w:val="left"/>
      </w:pPr>
      <w:rPr>
        <w:rFonts w:hint="default"/>
      </w:rPr>
    </w:lvl>
    <w:lvl w:ilvl="1">
      <w:start w:val="5"/>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85">
    <w:multiLevelType w:val="hybridMultilevel"/>
    <w:lvl w:ilvl="0">
      <w:start w:val="14"/>
      <w:numFmt w:val="decimal"/>
      <w:lvlText w:val="%1"/>
      <w:lvlJc w:val="left"/>
      <w:pPr>
        <w:ind w:left="1045" w:hanging="489"/>
        <w:jc w:val="left"/>
      </w:pPr>
      <w:rPr>
        <w:rFonts w:hint="default"/>
      </w:rPr>
    </w:lvl>
    <w:lvl w:ilvl="1">
      <w:start w:val="2"/>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70" w:hanging="599"/>
      </w:pPr>
      <w:rPr>
        <w:rFonts w:hint="default"/>
      </w:rPr>
    </w:lvl>
    <w:lvl w:ilvl="4">
      <w:start w:val="0"/>
      <w:numFmt w:val="bullet"/>
      <w:lvlText w:val="•"/>
      <w:lvlJc w:val="left"/>
      <w:pPr>
        <w:ind w:left="3875" w:hanging="599"/>
      </w:pPr>
      <w:rPr>
        <w:rFonts w:hint="default"/>
      </w:rPr>
    </w:lvl>
    <w:lvl w:ilvl="5">
      <w:start w:val="0"/>
      <w:numFmt w:val="bullet"/>
      <w:lvlText w:val="•"/>
      <w:lvlJc w:val="left"/>
      <w:pPr>
        <w:ind w:left="4780" w:hanging="599"/>
      </w:pPr>
      <w:rPr>
        <w:rFonts w:hint="default"/>
      </w:rPr>
    </w:lvl>
    <w:lvl w:ilvl="6">
      <w:start w:val="0"/>
      <w:numFmt w:val="bullet"/>
      <w:lvlText w:val="•"/>
      <w:lvlJc w:val="left"/>
      <w:pPr>
        <w:ind w:left="5685" w:hanging="599"/>
      </w:pPr>
      <w:rPr>
        <w:rFonts w:hint="default"/>
      </w:rPr>
    </w:lvl>
    <w:lvl w:ilvl="7">
      <w:start w:val="0"/>
      <w:numFmt w:val="bullet"/>
      <w:lvlText w:val="•"/>
      <w:lvlJc w:val="left"/>
      <w:pPr>
        <w:ind w:left="6590" w:hanging="599"/>
      </w:pPr>
      <w:rPr>
        <w:rFonts w:hint="default"/>
      </w:rPr>
    </w:lvl>
    <w:lvl w:ilvl="8">
      <w:start w:val="0"/>
      <w:numFmt w:val="bullet"/>
      <w:lvlText w:val="•"/>
      <w:lvlJc w:val="left"/>
      <w:pPr>
        <w:ind w:left="7495" w:hanging="599"/>
      </w:pPr>
      <w:rPr>
        <w:rFonts w:hint="default"/>
      </w:rPr>
    </w:lvl>
  </w:abstractNum>
  <w:abstractNum w:abstractNumId="84">
    <w:multiLevelType w:val="hybridMultilevel"/>
    <w:lvl w:ilvl="0">
      <w:start w:val="14"/>
      <w:numFmt w:val="decimal"/>
      <w:lvlText w:val="%1"/>
      <w:lvlJc w:val="left"/>
      <w:pPr>
        <w:ind w:left="1045" w:hanging="489"/>
        <w:jc w:val="left"/>
      </w:pPr>
      <w:rPr>
        <w:rFonts w:hint="default"/>
      </w:rPr>
    </w:lvl>
    <w:lvl w:ilvl="1">
      <w:start w:val="1"/>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618"/>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618"/>
      </w:pPr>
      <w:rPr>
        <w:rFonts w:hint="default"/>
      </w:rPr>
    </w:lvl>
    <w:lvl w:ilvl="4">
      <w:start w:val="0"/>
      <w:numFmt w:val="bullet"/>
      <w:lvlText w:val="•"/>
      <w:lvlJc w:val="left"/>
      <w:pPr>
        <w:ind w:left="3828" w:hanging="618"/>
      </w:pPr>
      <w:rPr>
        <w:rFonts w:hint="default"/>
      </w:rPr>
    </w:lvl>
    <w:lvl w:ilvl="5">
      <w:start w:val="0"/>
      <w:numFmt w:val="bullet"/>
      <w:lvlText w:val="•"/>
      <w:lvlJc w:val="left"/>
      <w:pPr>
        <w:ind w:left="4758" w:hanging="618"/>
      </w:pPr>
      <w:rPr>
        <w:rFonts w:hint="default"/>
      </w:rPr>
    </w:lvl>
    <w:lvl w:ilvl="6">
      <w:start w:val="0"/>
      <w:numFmt w:val="bullet"/>
      <w:lvlText w:val="•"/>
      <w:lvlJc w:val="left"/>
      <w:pPr>
        <w:ind w:left="5687" w:hanging="618"/>
      </w:pPr>
      <w:rPr>
        <w:rFonts w:hint="default"/>
      </w:rPr>
    </w:lvl>
    <w:lvl w:ilvl="7">
      <w:start w:val="0"/>
      <w:numFmt w:val="bullet"/>
      <w:lvlText w:val="•"/>
      <w:lvlJc w:val="left"/>
      <w:pPr>
        <w:ind w:left="6617" w:hanging="618"/>
      </w:pPr>
      <w:rPr>
        <w:rFonts w:hint="default"/>
      </w:rPr>
    </w:lvl>
    <w:lvl w:ilvl="8">
      <w:start w:val="0"/>
      <w:numFmt w:val="bullet"/>
      <w:lvlText w:val="•"/>
      <w:lvlJc w:val="left"/>
      <w:pPr>
        <w:ind w:left="7546" w:hanging="618"/>
      </w:pPr>
      <w:rPr>
        <w:rFonts w:hint="default"/>
      </w:rPr>
    </w:lvl>
  </w:abstractNum>
  <w:abstractNum w:abstractNumId="83">
    <w:multiLevelType w:val="hybridMultilevel"/>
    <w:lvl w:ilvl="0">
      <w:start w:val="13"/>
      <w:numFmt w:val="decimal"/>
      <w:lvlText w:val="%1"/>
      <w:lvlJc w:val="left"/>
      <w:pPr>
        <w:ind w:left="1145" w:hanging="489"/>
        <w:jc w:val="left"/>
      </w:pPr>
      <w:rPr>
        <w:rFonts w:hint="default"/>
      </w:rPr>
    </w:lvl>
    <w:lvl w:ilvl="1">
      <w:start w:val="8"/>
      <w:numFmt w:val="decimal"/>
      <w:lvlText w:val="%1.%2"/>
      <w:lvlJc w:val="left"/>
      <w:pPr>
        <w:ind w:left="11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217" w:hanging="620"/>
        <w:jc w:val="right"/>
      </w:pPr>
      <w:rPr>
        <w:rFonts w:hint="default" w:ascii="方正书宋_GBK" w:hAnsi="方正书宋_GBK" w:eastAsia="方正书宋_GBK" w:cs="方正书宋_GBK"/>
        <w:color w:val="231F20"/>
        <w:w w:val="100"/>
        <w:sz w:val="22"/>
        <w:szCs w:val="22"/>
      </w:rPr>
    </w:lvl>
    <w:lvl w:ilvl="3">
      <w:start w:val="1"/>
      <w:numFmt w:val="decimal"/>
      <w:lvlText w:val="%1.%2.%3.%4"/>
      <w:lvlJc w:val="left"/>
      <w:pPr>
        <w:ind w:left="217" w:hanging="785"/>
        <w:jc w:val="right"/>
      </w:pPr>
      <w:rPr>
        <w:rFonts w:hint="default" w:ascii="方正书宋_GBK" w:hAnsi="方正书宋_GBK" w:eastAsia="方正书宋_GBK" w:cs="方正书宋_GBK"/>
        <w:color w:val="231F20"/>
        <w:w w:val="100"/>
        <w:sz w:val="22"/>
        <w:szCs w:val="22"/>
      </w:rPr>
    </w:lvl>
    <w:lvl w:ilvl="4">
      <w:start w:val="0"/>
      <w:numFmt w:val="bullet"/>
      <w:lvlText w:val="•"/>
      <w:lvlJc w:val="left"/>
      <w:pPr>
        <w:ind w:left="3928" w:hanging="785"/>
      </w:pPr>
      <w:rPr>
        <w:rFonts w:hint="default"/>
      </w:rPr>
    </w:lvl>
    <w:lvl w:ilvl="5">
      <w:start w:val="0"/>
      <w:numFmt w:val="bullet"/>
      <w:lvlText w:val="•"/>
      <w:lvlJc w:val="left"/>
      <w:pPr>
        <w:ind w:left="4858" w:hanging="785"/>
      </w:pPr>
      <w:rPr>
        <w:rFonts w:hint="default"/>
      </w:rPr>
    </w:lvl>
    <w:lvl w:ilvl="6">
      <w:start w:val="0"/>
      <w:numFmt w:val="bullet"/>
      <w:lvlText w:val="•"/>
      <w:lvlJc w:val="left"/>
      <w:pPr>
        <w:ind w:left="5787" w:hanging="785"/>
      </w:pPr>
      <w:rPr>
        <w:rFonts w:hint="default"/>
      </w:rPr>
    </w:lvl>
    <w:lvl w:ilvl="7">
      <w:start w:val="0"/>
      <w:numFmt w:val="bullet"/>
      <w:lvlText w:val="•"/>
      <w:lvlJc w:val="left"/>
      <w:pPr>
        <w:ind w:left="6717" w:hanging="785"/>
      </w:pPr>
      <w:rPr>
        <w:rFonts w:hint="default"/>
      </w:rPr>
    </w:lvl>
    <w:lvl w:ilvl="8">
      <w:start w:val="0"/>
      <w:numFmt w:val="bullet"/>
      <w:lvlText w:val="•"/>
      <w:lvlJc w:val="left"/>
      <w:pPr>
        <w:ind w:left="7646" w:hanging="785"/>
      </w:pPr>
      <w:rPr>
        <w:rFonts w:hint="default"/>
      </w:rPr>
    </w:lvl>
  </w:abstractNum>
  <w:abstractNum w:abstractNumId="82">
    <w:multiLevelType w:val="hybridMultilevel"/>
    <w:lvl w:ilvl="0">
      <w:start w:val="13"/>
      <w:numFmt w:val="decimal"/>
      <w:lvlText w:val="%1"/>
      <w:lvlJc w:val="left"/>
      <w:pPr>
        <w:ind w:left="1045" w:hanging="489"/>
        <w:jc w:val="left"/>
      </w:pPr>
      <w:rPr>
        <w:rFonts w:hint="default"/>
      </w:rPr>
    </w:lvl>
    <w:lvl w:ilvl="1">
      <w:start w:val="7"/>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217" w:hanging="619"/>
        <w:jc w:val="right"/>
      </w:pPr>
      <w:rPr>
        <w:rFonts w:hint="default" w:ascii="方正书宋_GBK" w:hAnsi="方正书宋_GBK" w:eastAsia="方正书宋_GBK" w:cs="方正书宋_GBK"/>
        <w:color w:val="231F20"/>
        <w:w w:val="100"/>
        <w:sz w:val="22"/>
        <w:szCs w:val="22"/>
      </w:rPr>
    </w:lvl>
    <w:lvl w:ilvl="3">
      <w:start w:val="0"/>
      <w:numFmt w:val="bullet"/>
      <w:lvlText w:val="•"/>
      <w:lvlJc w:val="left"/>
      <w:pPr>
        <w:ind w:left="2899" w:hanging="619"/>
      </w:pPr>
      <w:rPr>
        <w:rFonts w:hint="default"/>
      </w:rPr>
    </w:lvl>
    <w:lvl w:ilvl="4">
      <w:start w:val="0"/>
      <w:numFmt w:val="bullet"/>
      <w:lvlText w:val="•"/>
      <w:lvlJc w:val="left"/>
      <w:pPr>
        <w:ind w:left="3828" w:hanging="619"/>
      </w:pPr>
      <w:rPr>
        <w:rFonts w:hint="default"/>
      </w:rPr>
    </w:lvl>
    <w:lvl w:ilvl="5">
      <w:start w:val="0"/>
      <w:numFmt w:val="bullet"/>
      <w:lvlText w:val="•"/>
      <w:lvlJc w:val="left"/>
      <w:pPr>
        <w:ind w:left="4758" w:hanging="619"/>
      </w:pPr>
      <w:rPr>
        <w:rFonts w:hint="default"/>
      </w:rPr>
    </w:lvl>
    <w:lvl w:ilvl="6">
      <w:start w:val="0"/>
      <w:numFmt w:val="bullet"/>
      <w:lvlText w:val="•"/>
      <w:lvlJc w:val="left"/>
      <w:pPr>
        <w:ind w:left="5687" w:hanging="619"/>
      </w:pPr>
      <w:rPr>
        <w:rFonts w:hint="default"/>
      </w:rPr>
    </w:lvl>
    <w:lvl w:ilvl="7">
      <w:start w:val="0"/>
      <w:numFmt w:val="bullet"/>
      <w:lvlText w:val="•"/>
      <w:lvlJc w:val="left"/>
      <w:pPr>
        <w:ind w:left="6617" w:hanging="619"/>
      </w:pPr>
      <w:rPr>
        <w:rFonts w:hint="default"/>
      </w:rPr>
    </w:lvl>
    <w:lvl w:ilvl="8">
      <w:start w:val="0"/>
      <w:numFmt w:val="bullet"/>
      <w:lvlText w:val="•"/>
      <w:lvlJc w:val="left"/>
      <w:pPr>
        <w:ind w:left="7546" w:hanging="619"/>
      </w:pPr>
      <w:rPr>
        <w:rFonts w:hint="default"/>
      </w:rPr>
    </w:lvl>
  </w:abstractNum>
  <w:abstractNum w:abstractNumId="81">
    <w:multiLevelType w:val="hybridMultilevel"/>
    <w:lvl w:ilvl="0">
      <w:start w:val="13"/>
      <w:numFmt w:val="decimal"/>
      <w:lvlText w:val="%1"/>
      <w:lvlJc w:val="left"/>
      <w:pPr>
        <w:ind w:left="1045" w:hanging="489"/>
        <w:jc w:val="left"/>
      </w:pPr>
      <w:rPr>
        <w:rFonts w:hint="default"/>
      </w:rPr>
    </w:lvl>
    <w:lvl w:ilvl="1">
      <w:start w:val="5"/>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620"/>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99" w:hanging="620"/>
      </w:pPr>
      <w:rPr>
        <w:rFonts w:hint="default"/>
      </w:rPr>
    </w:lvl>
    <w:lvl w:ilvl="4">
      <w:start w:val="0"/>
      <w:numFmt w:val="bullet"/>
      <w:lvlText w:val="•"/>
      <w:lvlJc w:val="left"/>
      <w:pPr>
        <w:ind w:left="3828" w:hanging="620"/>
      </w:pPr>
      <w:rPr>
        <w:rFonts w:hint="default"/>
      </w:rPr>
    </w:lvl>
    <w:lvl w:ilvl="5">
      <w:start w:val="0"/>
      <w:numFmt w:val="bullet"/>
      <w:lvlText w:val="•"/>
      <w:lvlJc w:val="left"/>
      <w:pPr>
        <w:ind w:left="4758" w:hanging="620"/>
      </w:pPr>
      <w:rPr>
        <w:rFonts w:hint="default"/>
      </w:rPr>
    </w:lvl>
    <w:lvl w:ilvl="6">
      <w:start w:val="0"/>
      <w:numFmt w:val="bullet"/>
      <w:lvlText w:val="•"/>
      <w:lvlJc w:val="left"/>
      <w:pPr>
        <w:ind w:left="5687" w:hanging="620"/>
      </w:pPr>
      <w:rPr>
        <w:rFonts w:hint="default"/>
      </w:rPr>
    </w:lvl>
    <w:lvl w:ilvl="7">
      <w:start w:val="0"/>
      <w:numFmt w:val="bullet"/>
      <w:lvlText w:val="•"/>
      <w:lvlJc w:val="left"/>
      <w:pPr>
        <w:ind w:left="6617" w:hanging="620"/>
      </w:pPr>
      <w:rPr>
        <w:rFonts w:hint="default"/>
      </w:rPr>
    </w:lvl>
    <w:lvl w:ilvl="8">
      <w:start w:val="0"/>
      <w:numFmt w:val="bullet"/>
      <w:lvlText w:val="•"/>
      <w:lvlJc w:val="left"/>
      <w:pPr>
        <w:ind w:left="7546" w:hanging="620"/>
      </w:pPr>
      <w:rPr>
        <w:rFonts w:hint="default"/>
      </w:rPr>
    </w:lvl>
  </w:abstractNum>
  <w:abstractNum w:abstractNumId="80">
    <w:multiLevelType w:val="hybridMultilevel"/>
    <w:lvl w:ilvl="0">
      <w:start w:val="13"/>
      <w:numFmt w:val="decimal"/>
      <w:lvlText w:val="%1"/>
      <w:lvlJc w:val="left"/>
      <w:pPr>
        <w:ind w:left="1045" w:hanging="489"/>
        <w:jc w:val="left"/>
      </w:pPr>
      <w:rPr>
        <w:rFonts w:hint="default"/>
      </w:rPr>
    </w:lvl>
    <w:lvl w:ilvl="1">
      <w:start w:val="4"/>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79">
    <w:multiLevelType w:val="hybridMultilevel"/>
    <w:lvl w:ilvl="0">
      <w:start w:val="13"/>
      <w:numFmt w:val="decimal"/>
      <w:lvlText w:val="%1"/>
      <w:lvlJc w:val="left"/>
      <w:pPr>
        <w:ind w:left="1045" w:hanging="489"/>
        <w:jc w:val="left"/>
      </w:pPr>
      <w:rPr>
        <w:rFonts w:hint="default"/>
      </w:rPr>
    </w:lvl>
    <w:lvl w:ilvl="1">
      <w:start w:val="3"/>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319" w:hanging="763"/>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3341" w:hanging="763"/>
      </w:pPr>
      <w:rPr>
        <w:rFonts w:hint="default"/>
      </w:rPr>
    </w:lvl>
    <w:lvl w:ilvl="5">
      <w:start w:val="0"/>
      <w:numFmt w:val="bullet"/>
      <w:lvlText w:val="•"/>
      <w:lvlJc w:val="left"/>
      <w:pPr>
        <w:ind w:left="4352" w:hanging="763"/>
      </w:pPr>
      <w:rPr>
        <w:rFonts w:hint="default"/>
      </w:rPr>
    </w:lvl>
    <w:lvl w:ilvl="6">
      <w:start w:val="0"/>
      <w:numFmt w:val="bullet"/>
      <w:lvlText w:val="•"/>
      <w:lvlJc w:val="left"/>
      <w:pPr>
        <w:ind w:left="5362" w:hanging="763"/>
      </w:pPr>
      <w:rPr>
        <w:rFonts w:hint="default"/>
      </w:rPr>
    </w:lvl>
    <w:lvl w:ilvl="7">
      <w:start w:val="0"/>
      <w:numFmt w:val="bullet"/>
      <w:lvlText w:val="•"/>
      <w:lvlJc w:val="left"/>
      <w:pPr>
        <w:ind w:left="6373" w:hanging="763"/>
      </w:pPr>
      <w:rPr>
        <w:rFonts w:hint="default"/>
      </w:rPr>
    </w:lvl>
    <w:lvl w:ilvl="8">
      <w:start w:val="0"/>
      <w:numFmt w:val="bullet"/>
      <w:lvlText w:val="•"/>
      <w:lvlJc w:val="left"/>
      <w:pPr>
        <w:ind w:left="7384" w:hanging="763"/>
      </w:pPr>
      <w:rPr>
        <w:rFonts w:hint="default"/>
      </w:rPr>
    </w:lvl>
  </w:abstractNum>
  <w:abstractNum w:abstractNumId="78">
    <w:multiLevelType w:val="hybridMultilevel"/>
    <w:lvl w:ilvl="0">
      <w:start w:val="13"/>
      <w:numFmt w:val="decimal"/>
      <w:lvlText w:val="%1"/>
      <w:lvlJc w:val="left"/>
      <w:pPr>
        <w:ind w:left="1045" w:hanging="489"/>
        <w:jc w:val="left"/>
      </w:pPr>
      <w:rPr>
        <w:rFonts w:hint="default"/>
      </w:rPr>
    </w:lvl>
    <w:lvl w:ilvl="1">
      <w:start w:val="2"/>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620"/>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99" w:hanging="620"/>
      </w:pPr>
      <w:rPr>
        <w:rFonts w:hint="default"/>
      </w:rPr>
    </w:lvl>
    <w:lvl w:ilvl="4">
      <w:start w:val="0"/>
      <w:numFmt w:val="bullet"/>
      <w:lvlText w:val="•"/>
      <w:lvlJc w:val="left"/>
      <w:pPr>
        <w:ind w:left="3828" w:hanging="620"/>
      </w:pPr>
      <w:rPr>
        <w:rFonts w:hint="default"/>
      </w:rPr>
    </w:lvl>
    <w:lvl w:ilvl="5">
      <w:start w:val="0"/>
      <w:numFmt w:val="bullet"/>
      <w:lvlText w:val="•"/>
      <w:lvlJc w:val="left"/>
      <w:pPr>
        <w:ind w:left="4758" w:hanging="620"/>
      </w:pPr>
      <w:rPr>
        <w:rFonts w:hint="default"/>
      </w:rPr>
    </w:lvl>
    <w:lvl w:ilvl="6">
      <w:start w:val="0"/>
      <w:numFmt w:val="bullet"/>
      <w:lvlText w:val="•"/>
      <w:lvlJc w:val="left"/>
      <w:pPr>
        <w:ind w:left="5687" w:hanging="620"/>
      </w:pPr>
      <w:rPr>
        <w:rFonts w:hint="default"/>
      </w:rPr>
    </w:lvl>
    <w:lvl w:ilvl="7">
      <w:start w:val="0"/>
      <w:numFmt w:val="bullet"/>
      <w:lvlText w:val="•"/>
      <w:lvlJc w:val="left"/>
      <w:pPr>
        <w:ind w:left="6617" w:hanging="620"/>
      </w:pPr>
      <w:rPr>
        <w:rFonts w:hint="default"/>
      </w:rPr>
    </w:lvl>
    <w:lvl w:ilvl="8">
      <w:start w:val="0"/>
      <w:numFmt w:val="bullet"/>
      <w:lvlText w:val="•"/>
      <w:lvlJc w:val="left"/>
      <w:pPr>
        <w:ind w:left="7546" w:hanging="620"/>
      </w:pPr>
      <w:rPr>
        <w:rFonts w:hint="default"/>
      </w:rPr>
    </w:lvl>
  </w:abstractNum>
  <w:abstractNum w:abstractNumId="77">
    <w:multiLevelType w:val="hybridMultilevel"/>
    <w:lvl w:ilvl="0">
      <w:start w:val="13"/>
      <w:numFmt w:val="decimal"/>
      <w:lvlText w:val="%1"/>
      <w:lvlJc w:val="left"/>
      <w:pPr>
        <w:ind w:left="1045" w:hanging="489"/>
        <w:jc w:val="left"/>
      </w:pPr>
      <w:rPr>
        <w:rFonts w:hint="default"/>
      </w:rPr>
    </w:lvl>
    <w:lvl w:ilvl="1">
      <w:start w:val="1"/>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622"/>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76" w:hanging="622"/>
      </w:pPr>
      <w:rPr>
        <w:rFonts w:hint="default"/>
      </w:rPr>
    </w:lvl>
    <w:lvl w:ilvl="4">
      <w:start w:val="0"/>
      <w:numFmt w:val="bullet"/>
      <w:lvlText w:val="•"/>
      <w:lvlJc w:val="left"/>
      <w:pPr>
        <w:ind w:left="3795" w:hanging="622"/>
      </w:pPr>
      <w:rPr>
        <w:rFonts w:hint="default"/>
      </w:rPr>
    </w:lvl>
    <w:lvl w:ilvl="5">
      <w:start w:val="0"/>
      <w:numFmt w:val="bullet"/>
      <w:lvlText w:val="•"/>
      <w:lvlJc w:val="left"/>
      <w:pPr>
        <w:ind w:left="4713" w:hanging="622"/>
      </w:pPr>
      <w:rPr>
        <w:rFonts w:hint="default"/>
      </w:rPr>
    </w:lvl>
    <w:lvl w:ilvl="6">
      <w:start w:val="0"/>
      <w:numFmt w:val="bullet"/>
      <w:lvlText w:val="•"/>
      <w:lvlJc w:val="left"/>
      <w:pPr>
        <w:ind w:left="5631" w:hanging="622"/>
      </w:pPr>
      <w:rPr>
        <w:rFonts w:hint="default"/>
      </w:rPr>
    </w:lvl>
    <w:lvl w:ilvl="7">
      <w:start w:val="0"/>
      <w:numFmt w:val="bullet"/>
      <w:lvlText w:val="•"/>
      <w:lvlJc w:val="left"/>
      <w:pPr>
        <w:ind w:left="6550" w:hanging="622"/>
      </w:pPr>
      <w:rPr>
        <w:rFonts w:hint="default"/>
      </w:rPr>
    </w:lvl>
    <w:lvl w:ilvl="8">
      <w:start w:val="0"/>
      <w:numFmt w:val="bullet"/>
      <w:lvlText w:val="•"/>
      <w:lvlJc w:val="left"/>
      <w:pPr>
        <w:ind w:left="7468" w:hanging="622"/>
      </w:pPr>
      <w:rPr>
        <w:rFonts w:hint="default"/>
      </w:rPr>
    </w:lvl>
  </w:abstractNum>
  <w:abstractNum w:abstractNumId="76">
    <w:multiLevelType w:val="hybridMultilevel"/>
    <w:lvl w:ilvl="0">
      <w:start w:val="12"/>
      <w:numFmt w:val="decimal"/>
      <w:lvlText w:val="%1"/>
      <w:lvlJc w:val="left"/>
      <w:pPr>
        <w:ind w:left="1045" w:hanging="489"/>
        <w:jc w:val="left"/>
      </w:pPr>
      <w:rPr>
        <w:rFonts w:hint="default"/>
      </w:rPr>
    </w:lvl>
    <w:lvl w:ilvl="1">
      <w:start w:val="2"/>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620"/>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76" w:hanging="620"/>
      </w:pPr>
      <w:rPr>
        <w:rFonts w:hint="default"/>
      </w:rPr>
    </w:lvl>
    <w:lvl w:ilvl="4">
      <w:start w:val="0"/>
      <w:numFmt w:val="bullet"/>
      <w:lvlText w:val="•"/>
      <w:lvlJc w:val="left"/>
      <w:pPr>
        <w:ind w:left="3795" w:hanging="620"/>
      </w:pPr>
      <w:rPr>
        <w:rFonts w:hint="default"/>
      </w:rPr>
    </w:lvl>
    <w:lvl w:ilvl="5">
      <w:start w:val="0"/>
      <w:numFmt w:val="bullet"/>
      <w:lvlText w:val="•"/>
      <w:lvlJc w:val="left"/>
      <w:pPr>
        <w:ind w:left="4713" w:hanging="620"/>
      </w:pPr>
      <w:rPr>
        <w:rFonts w:hint="default"/>
      </w:rPr>
    </w:lvl>
    <w:lvl w:ilvl="6">
      <w:start w:val="0"/>
      <w:numFmt w:val="bullet"/>
      <w:lvlText w:val="•"/>
      <w:lvlJc w:val="left"/>
      <w:pPr>
        <w:ind w:left="5631" w:hanging="620"/>
      </w:pPr>
      <w:rPr>
        <w:rFonts w:hint="default"/>
      </w:rPr>
    </w:lvl>
    <w:lvl w:ilvl="7">
      <w:start w:val="0"/>
      <w:numFmt w:val="bullet"/>
      <w:lvlText w:val="•"/>
      <w:lvlJc w:val="left"/>
      <w:pPr>
        <w:ind w:left="6550" w:hanging="620"/>
      </w:pPr>
      <w:rPr>
        <w:rFonts w:hint="default"/>
      </w:rPr>
    </w:lvl>
    <w:lvl w:ilvl="8">
      <w:start w:val="0"/>
      <w:numFmt w:val="bullet"/>
      <w:lvlText w:val="•"/>
      <w:lvlJc w:val="left"/>
      <w:pPr>
        <w:ind w:left="7468" w:hanging="620"/>
      </w:pPr>
      <w:rPr>
        <w:rFonts w:hint="default"/>
      </w:rPr>
    </w:lvl>
  </w:abstractNum>
  <w:abstractNum w:abstractNumId="75">
    <w:multiLevelType w:val="hybridMultilevel"/>
    <w:lvl w:ilvl="0">
      <w:start w:val="12"/>
      <w:numFmt w:val="decimal"/>
      <w:lvlText w:val="%1"/>
      <w:lvlJc w:val="left"/>
      <w:pPr>
        <w:ind w:left="1045" w:hanging="489"/>
        <w:jc w:val="left"/>
      </w:pPr>
      <w:rPr>
        <w:rFonts w:hint="default"/>
      </w:rPr>
    </w:lvl>
    <w:lvl w:ilvl="1">
      <w:start w:val="1"/>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620"/>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99" w:hanging="620"/>
      </w:pPr>
      <w:rPr>
        <w:rFonts w:hint="default"/>
      </w:rPr>
    </w:lvl>
    <w:lvl w:ilvl="4">
      <w:start w:val="0"/>
      <w:numFmt w:val="bullet"/>
      <w:lvlText w:val="•"/>
      <w:lvlJc w:val="left"/>
      <w:pPr>
        <w:ind w:left="3828" w:hanging="620"/>
      </w:pPr>
      <w:rPr>
        <w:rFonts w:hint="default"/>
      </w:rPr>
    </w:lvl>
    <w:lvl w:ilvl="5">
      <w:start w:val="0"/>
      <w:numFmt w:val="bullet"/>
      <w:lvlText w:val="•"/>
      <w:lvlJc w:val="left"/>
      <w:pPr>
        <w:ind w:left="4758" w:hanging="620"/>
      </w:pPr>
      <w:rPr>
        <w:rFonts w:hint="default"/>
      </w:rPr>
    </w:lvl>
    <w:lvl w:ilvl="6">
      <w:start w:val="0"/>
      <w:numFmt w:val="bullet"/>
      <w:lvlText w:val="•"/>
      <w:lvlJc w:val="left"/>
      <w:pPr>
        <w:ind w:left="5687" w:hanging="620"/>
      </w:pPr>
      <w:rPr>
        <w:rFonts w:hint="default"/>
      </w:rPr>
    </w:lvl>
    <w:lvl w:ilvl="7">
      <w:start w:val="0"/>
      <w:numFmt w:val="bullet"/>
      <w:lvlText w:val="•"/>
      <w:lvlJc w:val="left"/>
      <w:pPr>
        <w:ind w:left="6617" w:hanging="620"/>
      </w:pPr>
      <w:rPr>
        <w:rFonts w:hint="default"/>
      </w:rPr>
    </w:lvl>
    <w:lvl w:ilvl="8">
      <w:start w:val="0"/>
      <w:numFmt w:val="bullet"/>
      <w:lvlText w:val="•"/>
      <w:lvlJc w:val="left"/>
      <w:pPr>
        <w:ind w:left="7546" w:hanging="620"/>
      </w:pPr>
      <w:rPr>
        <w:rFonts w:hint="default"/>
      </w:rPr>
    </w:lvl>
  </w:abstractNum>
  <w:abstractNum w:abstractNumId="74">
    <w:multiLevelType w:val="hybridMultilevel"/>
    <w:lvl w:ilvl="0">
      <w:start w:val="11"/>
      <w:numFmt w:val="decimal"/>
      <w:lvlText w:val="%1"/>
      <w:lvlJc w:val="left"/>
      <w:pPr>
        <w:ind w:left="1045" w:hanging="489"/>
        <w:jc w:val="left"/>
      </w:pPr>
      <w:rPr>
        <w:rFonts w:hint="default"/>
      </w:rPr>
    </w:lvl>
    <w:lvl w:ilvl="1">
      <w:start w:val="4"/>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693" w:hanging="489"/>
      </w:pPr>
      <w:rPr>
        <w:rFonts w:hint="default"/>
      </w:rPr>
    </w:lvl>
    <w:lvl w:ilvl="3">
      <w:start w:val="0"/>
      <w:numFmt w:val="bullet"/>
      <w:lvlText w:val="•"/>
      <w:lvlJc w:val="left"/>
      <w:pPr>
        <w:ind w:left="3519" w:hanging="489"/>
      </w:pPr>
      <w:rPr>
        <w:rFonts w:hint="default"/>
      </w:rPr>
    </w:lvl>
    <w:lvl w:ilvl="4">
      <w:start w:val="0"/>
      <w:numFmt w:val="bullet"/>
      <w:lvlText w:val="•"/>
      <w:lvlJc w:val="left"/>
      <w:pPr>
        <w:ind w:left="4346" w:hanging="489"/>
      </w:pPr>
      <w:rPr>
        <w:rFonts w:hint="default"/>
      </w:rPr>
    </w:lvl>
    <w:lvl w:ilvl="5">
      <w:start w:val="0"/>
      <w:numFmt w:val="bullet"/>
      <w:lvlText w:val="•"/>
      <w:lvlJc w:val="left"/>
      <w:pPr>
        <w:ind w:left="5172" w:hanging="489"/>
      </w:pPr>
      <w:rPr>
        <w:rFonts w:hint="default"/>
      </w:rPr>
    </w:lvl>
    <w:lvl w:ilvl="6">
      <w:start w:val="0"/>
      <w:numFmt w:val="bullet"/>
      <w:lvlText w:val="•"/>
      <w:lvlJc w:val="left"/>
      <w:pPr>
        <w:ind w:left="5999" w:hanging="489"/>
      </w:pPr>
      <w:rPr>
        <w:rFonts w:hint="default"/>
      </w:rPr>
    </w:lvl>
    <w:lvl w:ilvl="7">
      <w:start w:val="0"/>
      <w:numFmt w:val="bullet"/>
      <w:lvlText w:val="•"/>
      <w:lvlJc w:val="left"/>
      <w:pPr>
        <w:ind w:left="6825" w:hanging="489"/>
      </w:pPr>
      <w:rPr>
        <w:rFonts w:hint="default"/>
      </w:rPr>
    </w:lvl>
    <w:lvl w:ilvl="8">
      <w:start w:val="0"/>
      <w:numFmt w:val="bullet"/>
      <w:lvlText w:val="•"/>
      <w:lvlJc w:val="left"/>
      <w:pPr>
        <w:ind w:left="7652" w:hanging="489"/>
      </w:pPr>
      <w:rPr>
        <w:rFonts w:hint="default"/>
      </w:rPr>
    </w:lvl>
  </w:abstractNum>
  <w:abstractNum w:abstractNumId="73">
    <w:multiLevelType w:val="hybridMultilevel"/>
    <w:lvl w:ilvl="0">
      <w:start w:val="11"/>
      <w:numFmt w:val="decimal"/>
      <w:lvlText w:val="%1"/>
      <w:lvlJc w:val="left"/>
      <w:pPr>
        <w:ind w:left="1045" w:hanging="489"/>
        <w:jc w:val="left"/>
      </w:pPr>
      <w:rPr>
        <w:rFonts w:hint="default"/>
      </w:rPr>
    </w:lvl>
    <w:lvl w:ilvl="1">
      <w:start w:val="1"/>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72">
    <w:multiLevelType w:val="hybridMultilevel"/>
    <w:lvl w:ilvl="0">
      <w:start w:val="10"/>
      <w:numFmt w:val="decimal"/>
      <w:lvlText w:val="%1"/>
      <w:lvlJc w:val="left"/>
      <w:pPr>
        <w:ind w:left="1045" w:hanging="489"/>
        <w:jc w:val="left"/>
      </w:pPr>
      <w:rPr>
        <w:rFonts w:hint="default"/>
      </w:rPr>
    </w:lvl>
    <w:lvl w:ilvl="1">
      <w:start w:val="5"/>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70" w:hanging="599"/>
      </w:pPr>
      <w:rPr>
        <w:rFonts w:hint="default"/>
      </w:rPr>
    </w:lvl>
    <w:lvl w:ilvl="4">
      <w:start w:val="0"/>
      <w:numFmt w:val="bullet"/>
      <w:lvlText w:val="•"/>
      <w:lvlJc w:val="left"/>
      <w:pPr>
        <w:ind w:left="3875" w:hanging="599"/>
      </w:pPr>
      <w:rPr>
        <w:rFonts w:hint="default"/>
      </w:rPr>
    </w:lvl>
    <w:lvl w:ilvl="5">
      <w:start w:val="0"/>
      <w:numFmt w:val="bullet"/>
      <w:lvlText w:val="•"/>
      <w:lvlJc w:val="left"/>
      <w:pPr>
        <w:ind w:left="4780" w:hanging="599"/>
      </w:pPr>
      <w:rPr>
        <w:rFonts w:hint="default"/>
      </w:rPr>
    </w:lvl>
    <w:lvl w:ilvl="6">
      <w:start w:val="0"/>
      <w:numFmt w:val="bullet"/>
      <w:lvlText w:val="•"/>
      <w:lvlJc w:val="left"/>
      <w:pPr>
        <w:ind w:left="5685" w:hanging="599"/>
      </w:pPr>
      <w:rPr>
        <w:rFonts w:hint="default"/>
      </w:rPr>
    </w:lvl>
    <w:lvl w:ilvl="7">
      <w:start w:val="0"/>
      <w:numFmt w:val="bullet"/>
      <w:lvlText w:val="•"/>
      <w:lvlJc w:val="left"/>
      <w:pPr>
        <w:ind w:left="6590" w:hanging="599"/>
      </w:pPr>
      <w:rPr>
        <w:rFonts w:hint="default"/>
      </w:rPr>
    </w:lvl>
    <w:lvl w:ilvl="8">
      <w:start w:val="0"/>
      <w:numFmt w:val="bullet"/>
      <w:lvlText w:val="•"/>
      <w:lvlJc w:val="left"/>
      <w:pPr>
        <w:ind w:left="7495" w:hanging="599"/>
      </w:pPr>
      <w:rPr>
        <w:rFonts w:hint="default"/>
      </w:rPr>
    </w:lvl>
  </w:abstractNum>
  <w:abstractNum w:abstractNumId="71">
    <w:multiLevelType w:val="hybridMultilevel"/>
    <w:lvl w:ilvl="0">
      <w:start w:val="10"/>
      <w:numFmt w:val="decimal"/>
      <w:lvlText w:val="%1"/>
      <w:lvlJc w:val="left"/>
      <w:pPr>
        <w:ind w:left="1145" w:hanging="489"/>
        <w:jc w:val="left"/>
      </w:pPr>
      <w:rPr>
        <w:rFonts w:hint="default"/>
      </w:rPr>
    </w:lvl>
    <w:lvl w:ilvl="1">
      <w:start w:val="4"/>
      <w:numFmt w:val="decimal"/>
      <w:lvlText w:val="%1.%2"/>
      <w:lvlJc w:val="left"/>
      <w:pPr>
        <w:ind w:left="11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599"/>
        <w:jc w:val="righ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9" w:hanging="599"/>
      </w:pPr>
      <w:rPr>
        <w:rFonts w:hint="default"/>
      </w:rPr>
    </w:lvl>
    <w:lvl w:ilvl="4">
      <w:start w:val="0"/>
      <w:numFmt w:val="bullet"/>
      <w:lvlText w:val="•"/>
      <w:lvlJc w:val="left"/>
      <w:pPr>
        <w:ind w:left="3928" w:hanging="599"/>
      </w:pPr>
      <w:rPr>
        <w:rFonts w:hint="default"/>
      </w:rPr>
    </w:lvl>
    <w:lvl w:ilvl="5">
      <w:start w:val="0"/>
      <w:numFmt w:val="bullet"/>
      <w:lvlText w:val="•"/>
      <w:lvlJc w:val="left"/>
      <w:pPr>
        <w:ind w:left="4858" w:hanging="599"/>
      </w:pPr>
      <w:rPr>
        <w:rFonts w:hint="default"/>
      </w:rPr>
    </w:lvl>
    <w:lvl w:ilvl="6">
      <w:start w:val="0"/>
      <w:numFmt w:val="bullet"/>
      <w:lvlText w:val="•"/>
      <w:lvlJc w:val="left"/>
      <w:pPr>
        <w:ind w:left="5787" w:hanging="599"/>
      </w:pPr>
      <w:rPr>
        <w:rFonts w:hint="default"/>
      </w:rPr>
    </w:lvl>
    <w:lvl w:ilvl="7">
      <w:start w:val="0"/>
      <w:numFmt w:val="bullet"/>
      <w:lvlText w:val="•"/>
      <w:lvlJc w:val="left"/>
      <w:pPr>
        <w:ind w:left="6717" w:hanging="599"/>
      </w:pPr>
      <w:rPr>
        <w:rFonts w:hint="default"/>
      </w:rPr>
    </w:lvl>
    <w:lvl w:ilvl="8">
      <w:start w:val="0"/>
      <w:numFmt w:val="bullet"/>
      <w:lvlText w:val="•"/>
      <w:lvlJc w:val="left"/>
      <w:pPr>
        <w:ind w:left="7646" w:hanging="599"/>
      </w:pPr>
      <w:rPr>
        <w:rFonts w:hint="default"/>
      </w:rPr>
    </w:lvl>
  </w:abstractNum>
  <w:abstractNum w:abstractNumId="70">
    <w:multiLevelType w:val="hybridMultilevel"/>
    <w:lvl w:ilvl="0">
      <w:start w:val="10"/>
      <w:numFmt w:val="decimal"/>
      <w:lvlText w:val="%1"/>
      <w:lvlJc w:val="left"/>
      <w:pPr>
        <w:ind w:left="1145" w:hanging="489"/>
        <w:jc w:val="left"/>
      </w:pPr>
      <w:rPr>
        <w:rFonts w:hint="default"/>
      </w:rPr>
    </w:lvl>
    <w:lvl w:ilvl="1">
      <w:start w:val="3"/>
      <w:numFmt w:val="decimal"/>
      <w:lvlText w:val="%1.%2"/>
      <w:lvlJc w:val="left"/>
      <w:pPr>
        <w:ind w:left="11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217" w:hanging="622"/>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9" w:hanging="622"/>
      </w:pPr>
      <w:rPr>
        <w:rFonts w:hint="default"/>
      </w:rPr>
    </w:lvl>
    <w:lvl w:ilvl="4">
      <w:start w:val="0"/>
      <w:numFmt w:val="bullet"/>
      <w:lvlText w:val="•"/>
      <w:lvlJc w:val="left"/>
      <w:pPr>
        <w:ind w:left="3928" w:hanging="622"/>
      </w:pPr>
      <w:rPr>
        <w:rFonts w:hint="default"/>
      </w:rPr>
    </w:lvl>
    <w:lvl w:ilvl="5">
      <w:start w:val="0"/>
      <w:numFmt w:val="bullet"/>
      <w:lvlText w:val="•"/>
      <w:lvlJc w:val="left"/>
      <w:pPr>
        <w:ind w:left="4858" w:hanging="622"/>
      </w:pPr>
      <w:rPr>
        <w:rFonts w:hint="default"/>
      </w:rPr>
    </w:lvl>
    <w:lvl w:ilvl="6">
      <w:start w:val="0"/>
      <w:numFmt w:val="bullet"/>
      <w:lvlText w:val="•"/>
      <w:lvlJc w:val="left"/>
      <w:pPr>
        <w:ind w:left="5787" w:hanging="622"/>
      </w:pPr>
      <w:rPr>
        <w:rFonts w:hint="default"/>
      </w:rPr>
    </w:lvl>
    <w:lvl w:ilvl="7">
      <w:start w:val="0"/>
      <w:numFmt w:val="bullet"/>
      <w:lvlText w:val="•"/>
      <w:lvlJc w:val="left"/>
      <w:pPr>
        <w:ind w:left="6717" w:hanging="622"/>
      </w:pPr>
      <w:rPr>
        <w:rFonts w:hint="default"/>
      </w:rPr>
    </w:lvl>
    <w:lvl w:ilvl="8">
      <w:start w:val="0"/>
      <w:numFmt w:val="bullet"/>
      <w:lvlText w:val="•"/>
      <w:lvlJc w:val="left"/>
      <w:pPr>
        <w:ind w:left="7646" w:hanging="622"/>
      </w:pPr>
      <w:rPr>
        <w:rFonts w:hint="default"/>
      </w:rPr>
    </w:lvl>
  </w:abstractNum>
  <w:abstractNum w:abstractNumId="69">
    <w:multiLevelType w:val="hybridMultilevel"/>
    <w:lvl w:ilvl="0">
      <w:start w:val="10"/>
      <w:numFmt w:val="decimal"/>
      <w:lvlText w:val="%1"/>
      <w:lvlJc w:val="left"/>
      <w:pPr>
        <w:ind w:left="1045" w:hanging="489"/>
        <w:jc w:val="left"/>
      </w:pPr>
      <w:rPr>
        <w:rFonts w:hint="default"/>
      </w:rPr>
    </w:lvl>
    <w:lvl w:ilvl="1">
      <w:start w:val="1"/>
      <w:numFmt w:val="decimal"/>
      <w:lvlText w:val="%1.%2"/>
      <w:lvlJc w:val="left"/>
      <w:pPr>
        <w:ind w:left="1045" w:hanging="489"/>
        <w:jc w:val="righ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178" w:hanging="599"/>
      </w:pPr>
      <w:rPr>
        <w:rFonts w:hint="default"/>
      </w:rPr>
    </w:lvl>
    <w:lvl w:ilvl="4">
      <w:start w:val="0"/>
      <w:numFmt w:val="bullet"/>
      <w:lvlText w:val="•"/>
      <w:lvlJc w:val="left"/>
      <w:pPr>
        <w:ind w:left="3196" w:hanging="599"/>
      </w:pPr>
      <w:rPr>
        <w:rFonts w:hint="default"/>
      </w:rPr>
    </w:lvl>
    <w:lvl w:ilvl="5">
      <w:start w:val="0"/>
      <w:numFmt w:val="bullet"/>
      <w:lvlText w:val="•"/>
      <w:lvlJc w:val="left"/>
      <w:pPr>
        <w:ind w:left="4214" w:hanging="599"/>
      </w:pPr>
      <w:rPr>
        <w:rFonts w:hint="default"/>
      </w:rPr>
    </w:lvl>
    <w:lvl w:ilvl="6">
      <w:start w:val="0"/>
      <w:numFmt w:val="bullet"/>
      <w:lvlText w:val="•"/>
      <w:lvlJc w:val="left"/>
      <w:pPr>
        <w:ind w:left="5232" w:hanging="599"/>
      </w:pPr>
      <w:rPr>
        <w:rFonts w:hint="default"/>
      </w:rPr>
    </w:lvl>
    <w:lvl w:ilvl="7">
      <w:start w:val="0"/>
      <w:numFmt w:val="bullet"/>
      <w:lvlText w:val="•"/>
      <w:lvlJc w:val="left"/>
      <w:pPr>
        <w:ind w:left="6250" w:hanging="599"/>
      </w:pPr>
      <w:rPr>
        <w:rFonts w:hint="default"/>
      </w:rPr>
    </w:lvl>
    <w:lvl w:ilvl="8">
      <w:start w:val="0"/>
      <w:numFmt w:val="bullet"/>
      <w:lvlText w:val="•"/>
      <w:lvlJc w:val="left"/>
      <w:pPr>
        <w:ind w:left="7269" w:hanging="599"/>
      </w:pPr>
      <w:rPr>
        <w:rFonts w:hint="default"/>
      </w:rPr>
    </w:lvl>
  </w:abstractNum>
  <w:abstractNum w:abstractNumId="68">
    <w:multiLevelType w:val="hybridMultilevel"/>
    <w:lvl w:ilvl="0">
      <w:start w:val="9"/>
      <w:numFmt w:val="decimal"/>
      <w:lvlText w:val="%1"/>
      <w:lvlJc w:val="left"/>
      <w:pPr>
        <w:ind w:left="923" w:hanging="367"/>
        <w:jc w:val="left"/>
      </w:pPr>
      <w:rPr>
        <w:rFonts w:hint="default"/>
      </w:rPr>
    </w:lvl>
    <w:lvl w:ilvl="1">
      <w:start w:val="3"/>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511"/>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05" w:hanging="511"/>
      </w:pPr>
      <w:rPr>
        <w:rFonts w:hint="default"/>
      </w:rPr>
    </w:lvl>
    <w:lvl w:ilvl="4">
      <w:start w:val="0"/>
      <w:numFmt w:val="bullet"/>
      <w:lvlText w:val="•"/>
      <w:lvlJc w:val="left"/>
      <w:pPr>
        <w:ind w:left="3748" w:hanging="511"/>
      </w:pPr>
      <w:rPr>
        <w:rFonts w:hint="default"/>
      </w:rPr>
    </w:lvl>
    <w:lvl w:ilvl="5">
      <w:start w:val="0"/>
      <w:numFmt w:val="bullet"/>
      <w:lvlText w:val="•"/>
      <w:lvlJc w:val="left"/>
      <w:pPr>
        <w:ind w:left="4691" w:hanging="511"/>
      </w:pPr>
      <w:rPr>
        <w:rFonts w:hint="default"/>
      </w:rPr>
    </w:lvl>
    <w:lvl w:ilvl="6">
      <w:start w:val="0"/>
      <w:numFmt w:val="bullet"/>
      <w:lvlText w:val="•"/>
      <w:lvlJc w:val="left"/>
      <w:pPr>
        <w:ind w:left="5634" w:hanging="511"/>
      </w:pPr>
      <w:rPr>
        <w:rFonts w:hint="default"/>
      </w:rPr>
    </w:lvl>
    <w:lvl w:ilvl="7">
      <w:start w:val="0"/>
      <w:numFmt w:val="bullet"/>
      <w:lvlText w:val="•"/>
      <w:lvlJc w:val="left"/>
      <w:pPr>
        <w:ind w:left="6577" w:hanging="511"/>
      </w:pPr>
      <w:rPr>
        <w:rFonts w:hint="default"/>
      </w:rPr>
    </w:lvl>
    <w:lvl w:ilvl="8">
      <w:start w:val="0"/>
      <w:numFmt w:val="bullet"/>
      <w:lvlText w:val="•"/>
      <w:lvlJc w:val="left"/>
      <w:pPr>
        <w:ind w:left="7519" w:hanging="511"/>
      </w:pPr>
      <w:rPr>
        <w:rFonts w:hint="default"/>
      </w:rPr>
    </w:lvl>
  </w:abstractNum>
  <w:abstractNum w:abstractNumId="67">
    <w:multiLevelType w:val="hybridMultilevel"/>
    <w:lvl w:ilvl="0">
      <w:start w:val="9"/>
      <w:numFmt w:val="decimal"/>
      <w:lvlText w:val="%1"/>
      <w:lvlJc w:val="left"/>
      <w:pPr>
        <w:ind w:left="923" w:hanging="367"/>
        <w:jc w:val="left"/>
      </w:pPr>
      <w:rPr>
        <w:rFonts w:hint="default"/>
      </w:rPr>
    </w:lvl>
    <w:lvl w:ilvl="1">
      <w:start w:val="2"/>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513"/>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05" w:hanging="513"/>
      </w:pPr>
      <w:rPr>
        <w:rFonts w:hint="default"/>
      </w:rPr>
    </w:lvl>
    <w:lvl w:ilvl="4">
      <w:start w:val="0"/>
      <w:numFmt w:val="bullet"/>
      <w:lvlText w:val="•"/>
      <w:lvlJc w:val="left"/>
      <w:pPr>
        <w:ind w:left="3748" w:hanging="513"/>
      </w:pPr>
      <w:rPr>
        <w:rFonts w:hint="default"/>
      </w:rPr>
    </w:lvl>
    <w:lvl w:ilvl="5">
      <w:start w:val="0"/>
      <w:numFmt w:val="bullet"/>
      <w:lvlText w:val="•"/>
      <w:lvlJc w:val="left"/>
      <w:pPr>
        <w:ind w:left="4691" w:hanging="513"/>
      </w:pPr>
      <w:rPr>
        <w:rFonts w:hint="default"/>
      </w:rPr>
    </w:lvl>
    <w:lvl w:ilvl="6">
      <w:start w:val="0"/>
      <w:numFmt w:val="bullet"/>
      <w:lvlText w:val="•"/>
      <w:lvlJc w:val="left"/>
      <w:pPr>
        <w:ind w:left="5634" w:hanging="513"/>
      </w:pPr>
      <w:rPr>
        <w:rFonts w:hint="default"/>
      </w:rPr>
    </w:lvl>
    <w:lvl w:ilvl="7">
      <w:start w:val="0"/>
      <w:numFmt w:val="bullet"/>
      <w:lvlText w:val="•"/>
      <w:lvlJc w:val="left"/>
      <w:pPr>
        <w:ind w:left="6577" w:hanging="513"/>
      </w:pPr>
      <w:rPr>
        <w:rFonts w:hint="default"/>
      </w:rPr>
    </w:lvl>
    <w:lvl w:ilvl="8">
      <w:start w:val="0"/>
      <w:numFmt w:val="bullet"/>
      <w:lvlText w:val="•"/>
      <w:lvlJc w:val="left"/>
      <w:pPr>
        <w:ind w:left="7519" w:hanging="513"/>
      </w:pPr>
      <w:rPr>
        <w:rFonts w:hint="default"/>
      </w:rPr>
    </w:lvl>
  </w:abstractNum>
  <w:abstractNum w:abstractNumId="66">
    <w:multiLevelType w:val="hybridMultilevel"/>
    <w:lvl w:ilvl="0">
      <w:start w:val="9"/>
      <w:numFmt w:val="decimal"/>
      <w:lvlText w:val="%1"/>
      <w:lvlJc w:val="left"/>
      <w:pPr>
        <w:ind w:left="923" w:hanging="367"/>
        <w:jc w:val="left"/>
      </w:pPr>
      <w:rPr>
        <w:rFonts w:hint="default"/>
      </w:rPr>
    </w:lvl>
    <w:lvl w:ilvl="1">
      <w:start w:val="1"/>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514"/>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05" w:hanging="514"/>
      </w:pPr>
      <w:rPr>
        <w:rFonts w:hint="default"/>
      </w:rPr>
    </w:lvl>
    <w:lvl w:ilvl="4">
      <w:start w:val="0"/>
      <w:numFmt w:val="bullet"/>
      <w:lvlText w:val="•"/>
      <w:lvlJc w:val="left"/>
      <w:pPr>
        <w:ind w:left="3748" w:hanging="514"/>
      </w:pPr>
      <w:rPr>
        <w:rFonts w:hint="default"/>
      </w:rPr>
    </w:lvl>
    <w:lvl w:ilvl="5">
      <w:start w:val="0"/>
      <w:numFmt w:val="bullet"/>
      <w:lvlText w:val="•"/>
      <w:lvlJc w:val="left"/>
      <w:pPr>
        <w:ind w:left="4691" w:hanging="514"/>
      </w:pPr>
      <w:rPr>
        <w:rFonts w:hint="default"/>
      </w:rPr>
    </w:lvl>
    <w:lvl w:ilvl="6">
      <w:start w:val="0"/>
      <w:numFmt w:val="bullet"/>
      <w:lvlText w:val="•"/>
      <w:lvlJc w:val="left"/>
      <w:pPr>
        <w:ind w:left="5634" w:hanging="514"/>
      </w:pPr>
      <w:rPr>
        <w:rFonts w:hint="default"/>
      </w:rPr>
    </w:lvl>
    <w:lvl w:ilvl="7">
      <w:start w:val="0"/>
      <w:numFmt w:val="bullet"/>
      <w:lvlText w:val="•"/>
      <w:lvlJc w:val="left"/>
      <w:pPr>
        <w:ind w:left="6577" w:hanging="514"/>
      </w:pPr>
      <w:rPr>
        <w:rFonts w:hint="default"/>
      </w:rPr>
    </w:lvl>
    <w:lvl w:ilvl="8">
      <w:start w:val="0"/>
      <w:numFmt w:val="bullet"/>
      <w:lvlText w:val="•"/>
      <w:lvlJc w:val="left"/>
      <w:pPr>
        <w:ind w:left="7519" w:hanging="514"/>
      </w:pPr>
      <w:rPr>
        <w:rFonts w:hint="default"/>
      </w:rPr>
    </w:lvl>
  </w:abstractNum>
  <w:abstractNum w:abstractNumId="65">
    <w:multiLevelType w:val="hybridMultilevel"/>
    <w:lvl w:ilvl="0">
      <w:start w:val="8"/>
      <w:numFmt w:val="decimal"/>
      <w:lvlText w:val="%1"/>
      <w:lvlJc w:val="left"/>
      <w:pPr>
        <w:ind w:left="923" w:hanging="367"/>
        <w:jc w:val="left"/>
      </w:pPr>
      <w:rPr>
        <w:rFonts w:hint="default"/>
      </w:rPr>
    </w:lvl>
    <w:lvl w:ilvl="1">
      <w:start w:val="9"/>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073" w:hanging="490"/>
      </w:pPr>
      <w:rPr>
        <w:rFonts w:hint="default"/>
      </w:rPr>
    </w:lvl>
    <w:lvl w:ilvl="4">
      <w:start w:val="0"/>
      <w:numFmt w:val="bullet"/>
      <w:lvlText w:val="•"/>
      <w:lvlJc w:val="left"/>
      <w:pPr>
        <w:ind w:left="3106" w:hanging="490"/>
      </w:pPr>
      <w:rPr>
        <w:rFonts w:hint="default"/>
      </w:rPr>
    </w:lvl>
    <w:lvl w:ilvl="5">
      <w:start w:val="0"/>
      <w:numFmt w:val="bullet"/>
      <w:lvlText w:val="•"/>
      <w:lvlJc w:val="left"/>
      <w:pPr>
        <w:ind w:left="4139" w:hanging="490"/>
      </w:pPr>
      <w:rPr>
        <w:rFonts w:hint="default"/>
      </w:rPr>
    </w:lvl>
    <w:lvl w:ilvl="6">
      <w:start w:val="0"/>
      <w:numFmt w:val="bullet"/>
      <w:lvlText w:val="•"/>
      <w:lvlJc w:val="left"/>
      <w:pPr>
        <w:ind w:left="5172" w:hanging="490"/>
      </w:pPr>
      <w:rPr>
        <w:rFonts w:hint="default"/>
      </w:rPr>
    </w:lvl>
    <w:lvl w:ilvl="7">
      <w:start w:val="0"/>
      <w:numFmt w:val="bullet"/>
      <w:lvlText w:val="•"/>
      <w:lvlJc w:val="left"/>
      <w:pPr>
        <w:ind w:left="6205" w:hanging="490"/>
      </w:pPr>
      <w:rPr>
        <w:rFonts w:hint="default"/>
      </w:rPr>
    </w:lvl>
    <w:lvl w:ilvl="8">
      <w:start w:val="0"/>
      <w:numFmt w:val="bullet"/>
      <w:lvlText w:val="•"/>
      <w:lvlJc w:val="left"/>
      <w:pPr>
        <w:ind w:left="7239" w:hanging="490"/>
      </w:pPr>
      <w:rPr>
        <w:rFonts w:hint="default"/>
      </w:rPr>
    </w:lvl>
  </w:abstractNum>
  <w:abstractNum w:abstractNumId="64">
    <w:multiLevelType w:val="hybridMultilevel"/>
    <w:lvl w:ilvl="0">
      <w:start w:val="8"/>
      <w:numFmt w:val="decimal"/>
      <w:lvlText w:val="%1"/>
      <w:lvlJc w:val="left"/>
      <w:pPr>
        <w:ind w:left="923" w:hanging="367"/>
        <w:jc w:val="left"/>
      </w:pPr>
      <w:rPr>
        <w:rFonts w:hint="default"/>
      </w:rPr>
    </w:lvl>
    <w:lvl w:ilvl="1">
      <w:start w:val="8"/>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83" w:hanging="491"/>
      </w:pPr>
      <w:rPr>
        <w:rFonts w:hint="default"/>
      </w:rPr>
    </w:lvl>
    <w:lvl w:ilvl="4">
      <w:start w:val="0"/>
      <w:numFmt w:val="bullet"/>
      <w:lvlText w:val="•"/>
      <w:lvlJc w:val="left"/>
      <w:pPr>
        <w:ind w:left="3715" w:hanging="491"/>
      </w:pPr>
      <w:rPr>
        <w:rFonts w:hint="default"/>
      </w:rPr>
    </w:lvl>
    <w:lvl w:ilvl="5">
      <w:start w:val="0"/>
      <w:numFmt w:val="bullet"/>
      <w:lvlText w:val="•"/>
      <w:lvlJc w:val="left"/>
      <w:pPr>
        <w:ind w:left="4646" w:hanging="491"/>
      </w:pPr>
      <w:rPr>
        <w:rFonts w:hint="default"/>
      </w:rPr>
    </w:lvl>
    <w:lvl w:ilvl="6">
      <w:start w:val="0"/>
      <w:numFmt w:val="bullet"/>
      <w:lvlText w:val="•"/>
      <w:lvlJc w:val="left"/>
      <w:pPr>
        <w:ind w:left="5578" w:hanging="491"/>
      </w:pPr>
      <w:rPr>
        <w:rFonts w:hint="default"/>
      </w:rPr>
    </w:lvl>
    <w:lvl w:ilvl="7">
      <w:start w:val="0"/>
      <w:numFmt w:val="bullet"/>
      <w:lvlText w:val="•"/>
      <w:lvlJc w:val="left"/>
      <w:pPr>
        <w:ind w:left="6510" w:hanging="491"/>
      </w:pPr>
      <w:rPr>
        <w:rFonts w:hint="default"/>
      </w:rPr>
    </w:lvl>
    <w:lvl w:ilvl="8">
      <w:start w:val="0"/>
      <w:numFmt w:val="bullet"/>
      <w:lvlText w:val="•"/>
      <w:lvlJc w:val="left"/>
      <w:pPr>
        <w:ind w:left="7442" w:hanging="491"/>
      </w:pPr>
      <w:rPr>
        <w:rFonts w:hint="default"/>
      </w:rPr>
    </w:lvl>
  </w:abstractNum>
  <w:abstractNum w:abstractNumId="63">
    <w:multiLevelType w:val="hybridMultilevel"/>
    <w:lvl w:ilvl="0">
      <w:start w:val="8"/>
      <w:numFmt w:val="decimal"/>
      <w:lvlText w:val="%1"/>
      <w:lvlJc w:val="left"/>
      <w:pPr>
        <w:ind w:left="923" w:hanging="367"/>
        <w:jc w:val="left"/>
      </w:pPr>
      <w:rPr>
        <w:rFonts w:hint="default"/>
      </w:rPr>
    </w:lvl>
    <w:lvl w:ilvl="1">
      <w:start w:val="5"/>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76" w:hanging="490"/>
      </w:pPr>
      <w:rPr>
        <w:rFonts w:hint="default"/>
      </w:rPr>
    </w:lvl>
    <w:lvl w:ilvl="4">
      <w:start w:val="0"/>
      <w:numFmt w:val="bullet"/>
      <w:lvlText w:val="•"/>
      <w:lvlJc w:val="left"/>
      <w:pPr>
        <w:ind w:left="3795" w:hanging="490"/>
      </w:pPr>
      <w:rPr>
        <w:rFonts w:hint="default"/>
      </w:rPr>
    </w:lvl>
    <w:lvl w:ilvl="5">
      <w:start w:val="0"/>
      <w:numFmt w:val="bullet"/>
      <w:lvlText w:val="•"/>
      <w:lvlJc w:val="left"/>
      <w:pPr>
        <w:ind w:left="4713" w:hanging="490"/>
      </w:pPr>
      <w:rPr>
        <w:rFonts w:hint="default"/>
      </w:rPr>
    </w:lvl>
    <w:lvl w:ilvl="6">
      <w:start w:val="0"/>
      <w:numFmt w:val="bullet"/>
      <w:lvlText w:val="•"/>
      <w:lvlJc w:val="left"/>
      <w:pPr>
        <w:ind w:left="5631" w:hanging="490"/>
      </w:pPr>
      <w:rPr>
        <w:rFonts w:hint="default"/>
      </w:rPr>
    </w:lvl>
    <w:lvl w:ilvl="7">
      <w:start w:val="0"/>
      <w:numFmt w:val="bullet"/>
      <w:lvlText w:val="•"/>
      <w:lvlJc w:val="left"/>
      <w:pPr>
        <w:ind w:left="6550" w:hanging="490"/>
      </w:pPr>
      <w:rPr>
        <w:rFonts w:hint="default"/>
      </w:rPr>
    </w:lvl>
    <w:lvl w:ilvl="8">
      <w:start w:val="0"/>
      <w:numFmt w:val="bullet"/>
      <w:lvlText w:val="•"/>
      <w:lvlJc w:val="left"/>
      <w:pPr>
        <w:ind w:left="7468" w:hanging="490"/>
      </w:pPr>
      <w:rPr>
        <w:rFonts w:hint="default"/>
      </w:rPr>
    </w:lvl>
  </w:abstractNum>
  <w:abstractNum w:abstractNumId="62">
    <w:multiLevelType w:val="hybridMultilevel"/>
    <w:lvl w:ilvl="0">
      <w:start w:val="8"/>
      <w:numFmt w:val="decimal"/>
      <w:lvlText w:val="%1"/>
      <w:lvlJc w:val="left"/>
      <w:pPr>
        <w:ind w:left="923" w:hanging="367"/>
        <w:jc w:val="left"/>
      </w:pPr>
      <w:rPr>
        <w:rFonts w:hint="default"/>
      </w:rPr>
    </w:lvl>
    <w:lvl w:ilvl="1">
      <w:start w:val="4"/>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76" w:hanging="490"/>
      </w:pPr>
      <w:rPr>
        <w:rFonts w:hint="default"/>
      </w:rPr>
    </w:lvl>
    <w:lvl w:ilvl="4">
      <w:start w:val="0"/>
      <w:numFmt w:val="bullet"/>
      <w:lvlText w:val="•"/>
      <w:lvlJc w:val="left"/>
      <w:pPr>
        <w:ind w:left="3795" w:hanging="490"/>
      </w:pPr>
      <w:rPr>
        <w:rFonts w:hint="default"/>
      </w:rPr>
    </w:lvl>
    <w:lvl w:ilvl="5">
      <w:start w:val="0"/>
      <w:numFmt w:val="bullet"/>
      <w:lvlText w:val="•"/>
      <w:lvlJc w:val="left"/>
      <w:pPr>
        <w:ind w:left="4713" w:hanging="490"/>
      </w:pPr>
      <w:rPr>
        <w:rFonts w:hint="default"/>
      </w:rPr>
    </w:lvl>
    <w:lvl w:ilvl="6">
      <w:start w:val="0"/>
      <w:numFmt w:val="bullet"/>
      <w:lvlText w:val="•"/>
      <w:lvlJc w:val="left"/>
      <w:pPr>
        <w:ind w:left="5631" w:hanging="490"/>
      </w:pPr>
      <w:rPr>
        <w:rFonts w:hint="default"/>
      </w:rPr>
    </w:lvl>
    <w:lvl w:ilvl="7">
      <w:start w:val="0"/>
      <w:numFmt w:val="bullet"/>
      <w:lvlText w:val="•"/>
      <w:lvlJc w:val="left"/>
      <w:pPr>
        <w:ind w:left="6550" w:hanging="490"/>
      </w:pPr>
      <w:rPr>
        <w:rFonts w:hint="default"/>
      </w:rPr>
    </w:lvl>
    <w:lvl w:ilvl="8">
      <w:start w:val="0"/>
      <w:numFmt w:val="bullet"/>
      <w:lvlText w:val="•"/>
      <w:lvlJc w:val="left"/>
      <w:pPr>
        <w:ind w:left="7468" w:hanging="490"/>
      </w:pPr>
      <w:rPr>
        <w:rFonts w:hint="default"/>
      </w:rPr>
    </w:lvl>
  </w:abstractNum>
  <w:abstractNum w:abstractNumId="61">
    <w:multiLevelType w:val="hybridMultilevel"/>
    <w:lvl w:ilvl="0">
      <w:start w:val="8"/>
      <w:numFmt w:val="decimal"/>
      <w:lvlText w:val="%1"/>
      <w:lvlJc w:val="left"/>
      <w:pPr>
        <w:ind w:left="923" w:hanging="367"/>
        <w:jc w:val="left"/>
      </w:pPr>
      <w:rPr>
        <w:rFonts w:hint="default"/>
      </w:rPr>
    </w:lvl>
    <w:lvl w:ilvl="1">
      <w:start w:val="2"/>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76" w:hanging="490"/>
      </w:pPr>
      <w:rPr>
        <w:rFonts w:hint="default"/>
      </w:rPr>
    </w:lvl>
    <w:lvl w:ilvl="4">
      <w:start w:val="0"/>
      <w:numFmt w:val="bullet"/>
      <w:lvlText w:val="•"/>
      <w:lvlJc w:val="left"/>
      <w:pPr>
        <w:ind w:left="3795" w:hanging="490"/>
      </w:pPr>
      <w:rPr>
        <w:rFonts w:hint="default"/>
      </w:rPr>
    </w:lvl>
    <w:lvl w:ilvl="5">
      <w:start w:val="0"/>
      <w:numFmt w:val="bullet"/>
      <w:lvlText w:val="•"/>
      <w:lvlJc w:val="left"/>
      <w:pPr>
        <w:ind w:left="4713" w:hanging="490"/>
      </w:pPr>
      <w:rPr>
        <w:rFonts w:hint="default"/>
      </w:rPr>
    </w:lvl>
    <w:lvl w:ilvl="6">
      <w:start w:val="0"/>
      <w:numFmt w:val="bullet"/>
      <w:lvlText w:val="•"/>
      <w:lvlJc w:val="left"/>
      <w:pPr>
        <w:ind w:left="5631" w:hanging="490"/>
      </w:pPr>
      <w:rPr>
        <w:rFonts w:hint="default"/>
      </w:rPr>
    </w:lvl>
    <w:lvl w:ilvl="7">
      <w:start w:val="0"/>
      <w:numFmt w:val="bullet"/>
      <w:lvlText w:val="•"/>
      <w:lvlJc w:val="left"/>
      <w:pPr>
        <w:ind w:left="6550" w:hanging="490"/>
      </w:pPr>
      <w:rPr>
        <w:rFonts w:hint="default"/>
      </w:rPr>
    </w:lvl>
    <w:lvl w:ilvl="8">
      <w:start w:val="0"/>
      <w:numFmt w:val="bullet"/>
      <w:lvlText w:val="•"/>
      <w:lvlJc w:val="left"/>
      <w:pPr>
        <w:ind w:left="7468" w:hanging="490"/>
      </w:pPr>
      <w:rPr>
        <w:rFonts w:hint="default"/>
      </w:rPr>
    </w:lvl>
  </w:abstractNum>
  <w:abstractNum w:abstractNumId="60">
    <w:multiLevelType w:val="hybridMultilevel"/>
    <w:lvl w:ilvl="0">
      <w:start w:val="8"/>
      <w:numFmt w:val="decimal"/>
      <w:lvlText w:val="%1"/>
      <w:lvlJc w:val="left"/>
      <w:pPr>
        <w:ind w:left="923" w:hanging="367"/>
        <w:jc w:val="left"/>
      </w:pPr>
      <w:rPr>
        <w:rFonts w:hint="default"/>
      </w:rPr>
    </w:lvl>
    <w:lvl w:ilvl="1">
      <w:start w:val="1"/>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76" w:hanging="490"/>
      </w:pPr>
      <w:rPr>
        <w:rFonts w:hint="default"/>
      </w:rPr>
    </w:lvl>
    <w:lvl w:ilvl="4">
      <w:start w:val="0"/>
      <w:numFmt w:val="bullet"/>
      <w:lvlText w:val="•"/>
      <w:lvlJc w:val="left"/>
      <w:pPr>
        <w:ind w:left="3795" w:hanging="490"/>
      </w:pPr>
      <w:rPr>
        <w:rFonts w:hint="default"/>
      </w:rPr>
    </w:lvl>
    <w:lvl w:ilvl="5">
      <w:start w:val="0"/>
      <w:numFmt w:val="bullet"/>
      <w:lvlText w:val="•"/>
      <w:lvlJc w:val="left"/>
      <w:pPr>
        <w:ind w:left="4713" w:hanging="490"/>
      </w:pPr>
      <w:rPr>
        <w:rFonts w:hint="default"/>
      </w:rPr>
    </w:lvl>
    <w:lvl w:ilvl="6">
      <w:start w:val="0"/>
      <w:numFmt w:val="bullet"/>
      <w:lvlText w:val="•"/>
      <w:lvlJc w:val="left"/>
      <w:pPr>
        <w:ind w:left="5631" w:hanging="490"/>
      </w:pPr>
      <w:rPr>
        <w:rFonts w:hint="default"/>
      </w:rPr>
    </w:lvl>
    <w:lvl w:ilvl="7">
      <w:start w:val="0"/>
      <w:numFmt w:val="bullet"/>
      <w:lvlText w:val="•"/>
      <w:lvlJc w:val="left"/>
      <w:pPr>
        <w:ind w:left="6550" w:hanging="490"/>
      </w:pPr>
      <w:rPr>
        <w:rFonts w:hint="default"/>
      </w:rPr>
    </w:lvl>
    <w:lvl w:ilvl="8">
      <w:start w:val="0"/>
      <w:numFmt w:val="bullet"/>
      <w:lvlText w:val="•"/>
      <w:lvlJc w:val="left"/>
      <w:pPr>
        <w:ind w:left="7468" w:hanging="490"/>
      </w:pPr>
      <w:rPr>
        <w:rFonts w:hint="default"/>
      </w:rPr>
    </w:lvl>
  </w:abstractNum>
  <w:abstractNum w:abstractNumId="59">
    <w:multiLevelType w:val="hybridMultilevel"/>
    <w:lvl w:ilvl="0">
      <w:start w:val="7"/>
      <w:numFmt w:val="decimal"/>
      <w:lvlText w:val="%1"/>
      <w:lvlJc w:val="left"/>
      <w:pPr>
        <w:ind w:left="923" w:hanging="367"/>
        <w:jc w:val="left"/>
      </w:pPr>
      <w:rPr>
        <w:rFonts w:hint="default"/>
      </w:rPr>
    </w:lvl>
    <w:lvl w:ilvl="1">
      <w:start w:val="9"/>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58">
    <w:multiLevelType w:val="hybridMultilevel"/>
    <w:lvl w:ilvl="0">
      <w:start w:val="7"/>
      <w:numFmt w:val="decimal"/>
      <w:lvlText w:val="%1"/>
      <w:lvlJc w:val="left"/>
      <w:pPr>
        <w:ind w:left="923" w:hanging="367"/>
        <w:jc w:val="left"/>
      </w:pPr>
      <w:rPr>
        <w:rFonts w:hint="default"/>
      </w:rPr>
    </w:lvl>
    <w:lvl w:ilvl="1">
      <w:start w:val="7"/>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514"/>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05" w:hanging="514"/>
      </w:pPr>
      <w:rPr>
        <w:rFonts w:hint="default"/>
      </w:rPr>
    </w:lvl>
    <w:lvl w:ilvl="4">
      <w:start w:val="0"/>
      <w:numFmt w:val="bullet"/>
      <w:lvlText w:val="•"/>
      <w:lvlJc w:val="left"/>
      <w:pPr>
        <w:ind w:left="3748" w:hanging="514"/>
      </w:pPr>
      <w:rPr>
        <w:rFonts w:hint="default"/>
      </w:rPr>
    </w:lvl>
    <w:lvl w:ilvl="5">
      <w:start w:val="0"/>
      <w:numFmt w:val="bullet"/>
      <w:lvlText w:val="•"/>
      <w:lvlJc w:val="left"/>
      <w:pPr>
        <w:ind w:left="4691" w:hanging="514"/>
      </w:pPr>
      <w:rPr>
        <w:rFonts w:hint="default"/>
      </w:rPr>
    </w:lvl>
    <w:lvl w:ilvl="6">
      <w:start w:val="0"/>
      <w:numFmt w:val="bullet"/>
      <w:lvlText w:val="•"/>
      <w:lvlJc w:val="left"/>
      <w:pPr>
        <w:ind w:left="5634" w:hanging="514"/>
      </w:pPr>
      <w:rPr>
        <w:rFonts w:hint="default"/>
      </w:rPr>
    </w:lvl>
    <w:lvl w:ilvl="7">
      <w:start w:val="0"/>
      <w:numFmt w:val="bullet"/>
      <w:lvlText w:val="•"/>
      <w:lvlJc w:val="left"/>
      <w:pPr>
        <w:ind w:left="6577" w:hanging="514"/>
      </w:pPr>
      <w:rPr>
        <w:rFonts w:hint="default"/>
      </w:rPr>
    </w:lvl>
    <w:lvl w:ilvl="8">
      <w:start w:val="0"/>
      <w:numFmt w:val="bullet"/>
      <w:lvlText w:val="•"/>
      <w:lvlJc w:val="left"/>
      <w:pPr>
        <w:ind w:left="7519" w:hanging="514"/>
      </w:pPr>
      <w:rPr>
        <w:rFonts w:hint="default"/>
      </w:rPr>
    </w:lvl>
  </w:abstractNum>
  <w:abstractNum w:abstractNumId="57">
    <w:multiLevelType w:val="hybridMultilevel"/>
    <w:lvl w:ilvl="0">
      <w:start w:val="7"/>
      <w:numFmt w:val="decimal"/>
      <w:lvlText w:val="%1"/>
      <w:lvlJc w:val="left"/>
      <w:pPr>
        <w:ind w:left="923" w:hanging="367"/>
        <w:jc w:val="left"/>
      </w:pPr>
      <w:rPr>
        <w:rFonts w:hint="default"/>
      </w:rPr>
    </w:lvl>
    <w:lvl w:ilvl="1">
      <w:start w:val="6"/>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56">
    <w:multiLevelType w:val="hybridMultilevel"/>
    <w:lvl w:ilvl="0">
      <w:start w:val="7"/>
      <w:numFmt w:val="decimal"/>
      <w:lvlText w:val="%1"/>
      <w:lvlJc w:val="left"/>
      <w:pPr>
        <w:ind w:left="923" w:hanging="367"/>
        <w:jc w:val="left"/>
      </w:pPr>
      <w:rPr>
        <w:rFonts w:hint="default"/>
      </w:rPr>
    </w:lvl>
    <w:lvl w:ilvl="1">
      <w:start w:val="5"/>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05" w:hanging="491"/>
      </w:pPr>
      <w:rPr>
        <w:rFonts w:hint="default"/>
      </w:rPr>
    </w:lvl>
    <w:lvl w:ilvl="4">
      <w:start w:val="0"/>
      <w:numFmt w:val="bullet"/>
      <w:lvlText w:val="•"/>
      <w:lvlJc w:val="left"/>
      <w:pPr>
        <w:ind w:left="3748" w:hanging="491"/>
      </w:pPr>
      <w:rPr>
        <w:rFonts w:hint="default"/>
      </w:rPr>
    </w:lvl>
    <w:lvl w:ilvl="5">
      <w:start w:val="0"/>
      <w:numFmt w:val="bullet"/>
      <w:lvlText w:val="•"/>
      <w:lvlJc w:val="left"/>
      <w:pPr>
        <w:ind w:left="4691" w:hanging="491"/>
      </w:pPr>
      <w:rPr>
        <w:rFonts w:hint="default"/>
      </w:rPr>
    </w:lvl>
    <w:lvl w:ilvl="6">
      <w:start w:val="0"/>
      <w:numFmt w:val="bullet"/>
      <w:lvlText w:val="•"/>
      <w:lvlJc w:val="left"/>
      <w:pPr>
        <w:ind w:left="5634" w:hanging="491"/>
      </w:pPr>
      <w:rPr>
        <w:rFonts w:hint="default"/>
      </w:rPr>
    </w:lvl>
    <w:lvl w:ilvl="7">
      <w:start w:val="0"/>
      <w:numFmt w:val="bullet"/>
      <w:lvlText w:val="•"/>
      <w:lvlJc w:val="left"/>
      <w:pPr>
        <w:ind w:left="6577" w:hanging="491"/>
      </w:pPr>
      <w:rPr>
        <w:rFonts w:hint="default"/>
      </w:rPr>
    </w:lvl>
    <w:lvl w:ilvl="8">
      <w:start w:val="0"/>
      <w:numFmt w:val="bullet"/>
      <w:lvlText w:val="•"/>
      <w:lvlJc w:val="left"/>
      <w:pPr>
        <w:ind w:left="7519" w:hanging="491"/>
      </w:pPr>
      <w:rPr>
        <w:rFonts w:hint="default"/>
      </w:rPr>
    </w:lvl>
  </w:abstractNum>
  <w:abstractNum w:abstractNumId="55">
    <w:multiLevelType w:val="hybridMultilevel"/>
    <w:lvl w:ilvl="0">
      <w:start w:val="7"/>
      <w:numFmt w:val="decimal"/>
      <w:lvlText w:val="%1"/>
      <w:lvlJc w:val="left"/>
      <w:pPr>
        <w:ind w:left="923" w:hanging="367"/>
        <w:jc w:val="left"/>
      </w:pPr>
      <w:rPr>
        <w:rFonts w:hint="default"/>
      </w:rPr>
    </w:lvl>
    <w:lvl w:ilvl="1">
      <w:start w:val="3"/>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05" w:hanging="491"/>
      </w:pPr>
      <w:rPr>
        <w:rFonts w:hint="default"/>
      </w:rPr>
    </w:lvl>
    <w:lvl w:ilvl="4">
      <w:start w:val="0"/>
      <w:numFmt w:val="bullet"/>
      <w:lvlText w:val="•"/>
      <w:lvlJc w:val="left"/>
      <w:pPr>
        <w:ind w:left="3748" w:hanging="491"/>
      </w:pPr>
      <w:rPr>
        <w:rFonts w:hint="default"/>
      </w:rPr>
    </w:lvl>
    <w:lvl w:ilvl="5">
      <w:start w:val="0"/>
      <w:numFmt w:val="bullet"/>
      <w:lvlText w:val="•"/>
      <w:lvlJc w:val="left"/>
      <w:pPr>
        <w:ind w:left="4691" w:hanging="491"/>
      </w:pPr>
      <w:rPr>
        <w:rFonts w:hint="default"/>
      </w:rPr>
    </w:lvl>
    <w:lvl w:ilvl="6">
      <w:start w:val="0"/>
      <w:numFmt w:val="bullet"/>
      <w:lvlText w:val="•"/>
      <w:lvlJc w:val="left"/>
      <w:pPr>
        <w:ind w:left="5634" w:hanging="491"/>
      </w:pPr>
      <w:rPr>
        <w:rFonts w:hint="default"/>
      </w:rPr>
    </w:lvl>
    <w:lvl w:ilvl="7">
      <w:start w:val="0"/>
      <w:numFmt w:val="bullet"/>
      <w:lvlText w:val="•"/>
      <w:lvlJc w:val="left"/>
      <w:pPr>
        <w:ind w:left="6577" w:hanging="491"/>
      </w:pPr>
      <w:rPr>
        <w:rFonts w:hint="default"/>
      </w:rPr>
    </w:lvl>
    <w:lvl w:ilvl="8">
      <w:start w:val="0"/>
      <w:numFmt w:val="bullet"/>
      <w:lvlText w:val="•"/>
      <w:lvlJc w:val="left"/>
      <w:pPr>
        <w:ind w:left="7519" w:hanging="491"/>
      </w:pPr>
      <w:rPr>
        <w:rFonts w:hint="default"/>
      </w:rPr>
    </w:lvl>
  </w:abstractNum>
  <w:abstractNum w:abstractNumId="54">
    <w:multiLevelType w:val="hybridMultilevel"/>
    <w:lvl w:ilvl="0">
      <w:start w:val="7"/>
      <w:numFmt w:val="decimal"/>
      <w:lvlText w:val="%1"/>
      <w:lvlJc w:val="left"/>
      <w:pPr>
        <w:ind w:left="1023" w:hanging="367"/>
        <w:jc w:val="left"/>
      </w:pPr>
      <w:rPr>
        <w:rFonts w:hint="default"/>
      </w:rPr>
    </w:lvl>
    <w:lvl w:ilvl="1">
      <w:start w:val="2"/>
      <w:numFmt w:val="decimal"/>
      <w:lvlText w:val="%1.%2"/>
      <w:lvlJc w:val="left"/>
      <w:pPr>
        <w:ind w:left="10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47" w:hanging="490"/>
        <w:jc w:val="righ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9" w:hanging="490"/>
      </w:pPr>
      <w:rPr>
        <w:rFonts w:hint="default"/>
      </w:rPr>
    </w:lvl>
    <w:lvl w:ilvl="4">
      <w:start w:val="0"/>
      <w:numFmt w:val="bullet"/>
      <w:lvlText w:val="•"/>
      <w:lvlJc w:val="left"/>
      <w:pPr>
        <w:ind w:left="3928" w:hanging="490"/>
      </w:pPr>
      <w:rPr>
        <w:rFonts w:hint="default"/>
      </w:rPr>
    </w:lvl>
    <w:lvl w:ilvl="5">
      <w:start w:val="0"/>
      <w:numFmt w:val="bullet"/>
      <w:lvlText w:val="•"/>
      <w:lvlJc w:val="left"/>
      <w:pPr>
        <w:ind w:left="4858" w:hanging="490"/>
      </w:pPr>
      <w:rPr>
        <w:rFonts w:hint="default"/>
      </w:rPr>
    </w:lvl>
    <w:lvl w:ilvl="6">
      <w:start w:val="0"/>
      <w:numFmt w:val="bullet"/>
      <w:lvlText w:val="•"/>
      <w:lvlJc w:val="left"/>
      <w:pPr>
        <w:ind w:left="5787" w:hanging="490"/>
      </w:pPr>
      <w:rPr>
        <w:rFonts w:hint="default"/>
      </w:rPr>
    </w:lvl>
    <w:lvl w:ilvl="7">
      <w:start w:val="0"/>
      <w:numFmt w:val="bullet"/>
      <w:lvlText w:val="•"/>
      <w:lvlJc w:val="left"/>
      <w:pPr>
        <w:ind w:left="6717" w:hanging="490"/>
      </w:pPr>
      <w:rPr>
        <w:rFonts w:hint="default"/>
      </w:rPr>
    </w:lvl>
    <w:lvl w:ilvl="8">
      <w:start w:val="0"/>
      <w:numFmt w:val="bullet"/>
      <w:lvlText w:val="•"/>
      <w:lvlJc w:val="left"/>
      <w:pPr>
        <w:ind w:left="7646" w:hanging="490"/>
      </w:pPr>
      <w:rPr>
        <w:rFonts w:hint="default"/>
      </w:rPr>
    </w:lvl>
  </w:abstractNum>
  <w:abstractNum w:abstractNumId="53">
    <w:multiLevelType w:val="hybridMultilevel"/>
    <w:lvl w:ilvl="0">
      <w:start w:val="7"/>
      <w:numFmt w:val="decimal"/>
      <w:lvlText w:val="%1"/>
      <w:lvlJc w:val="left"/>
      <w:pPr>
        <w:ind w:left="923" w:hanging="367"/>
        <w:jc w:val="left"/>
      </w:pPr>
      <w:rPr>
        <w:rFonts w:hint="default"/>
      </w:rPr>
    </w:lvl>
    <w:lvl w:ilvl="1">
      <w:start w:val="1"/>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righ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52">
    <w:multiLevelType w:val="hybridMultilevel"/>
    <w:lvl w:ilvl="0">
      <w:start w:val="6"/>
      <w:numFmt w:val="decimal"/>
      <w:lvlText w:val="%1"/>
      <w:lvlJc w:val="left"/>
      <w:pPr>
        <w:ind w:left="923" w:hanging="367"/>
        <w:jc w:val="right"/>
      </w:pPr>
      <w:rPr>
        <w:rFonts w:hint="default"/>
      </w:rPr>
    </w:lvl>
    <w:lvl w:ilvl="1">
      <w:start w:val="6"/>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05" w:hanging="490"/>
      </w:pPr>
      <w:rPr>
        <w:rFonts w:hint="default"/>
      </w:rPr>
    </w:lvl>
    <w:lvl w:ilvl="4">
      <w:start w:val="0"/>
      <w:numFmt w:val="bullet"/>
      <w:lvlText w:val="•"/>
      <w:lvlJc w:val="left"/>
      <w:pPr>
        <w:ind w:left="3748" w:hanging="490"/>
      </w:pPr>
      <w:rPr>
        <w:rFonts w:hint="default"/>
      </w:rPr>
    </w:lvl>
    <w:lvl w:ilvl="5">
      <w:start w:val="0"/>
      <w:numFmt w:val="bullet"/>
      <w:lvlText w:val="•"/>
      <w:lvlJc w:val="left"/>
      <w:pPr>
        <w:ind w:left="4691" w:hanging="490"/>
      </w:pPr>
      <w:rPr>
        <w:rFonts w:hint="default"/>
      </w:rPr>
    </w:lvl>
    <w:lvl w:ilvl="6">
      <w:start w:val="0"/>
      <w:numFmt w:val="bullet"/>
      <w:lvlText w:val="•"/>
      <w:lvlJc w:val="left"/>
      <w:pPr>
        <w:ind w:left="5634" w:hanging="490"/>
      </w:pPr>
      <w:rPr>
        <w:rFonts w:hint="default"/>
      </w:rPr>
    </w:lvl>
    <w:lvl w:ilvl="7">
      <w:start w:val="0"/>
      <w:numFmt w:val="bullet"/>
      <w:lvlText w:val="•"/>
      <w:lvlJc w:val="left"/>
      <w:pPr>
        <w:ind w:left="6577" w:hanging="490"/>
      </w:pPr>
      <w:rPr>
        <w:rFonts w:hint="default"/>
      </w:rPr>
    </w:lvl>
    <w:lvl w:ilvl="8">
      <w:start w:val="0"/>
      <w:numFmt w:val="bullet"/>
      <w:lvlText w:val="•"/>
      <w:lvlJc w:val="left"/>
      <w:pPr>
        <w:ind w:left="7519" w:hanging="490"/>
      </w:pPr>
      <w:rPr>
        <w:rFonts w:hint="default"/>
      </w:rPr>
    </w:lvl>
  </w:abstractNum>
  <w:abstractNum w:abstractNumId="51">
    <w:multiLevelType w:val="hybridMultilevel"/>
    <w:lvl w:ilvl="0">
      <w:start w:val="6"/>
      <w:numFmt w:val="decimal"/>
      <w:lvlText w:val="%1"/>
      <w:lvlJc w:val="left"/>
      <w:pPr>
        <w:ind w:left="923" w:hanging="367"/>
        <w:jc w:val="left"/>
      </w:pPr>
      <w:rPr>
        <w:rFonts w:hint="default"/>
      </w:rPr>
    </w:lvl>
    <w:lvl w:ilvl="1">
      <w:start w:val="4"/>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righ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50">
    <w:multiLevelType w:val="hybridMultilevel"/>
    <w:lvl w:ilvl="0">
      <w:start w:val="6"/>
      <w:numFmt w:val="decimal"/>
      <w:lvlText w:val="%1"/>
      <w:lvlJc w:val="left"/>
      <w:pPr>
        <w:ind w:left="923" w:hanging="367"/>
        <w:jc w:val="left"/>
      </w:pPr>
      <w:rPr>
        <w:rFonts w:hint="default"/>
      </w:rPr>
    </w:lvl>
    <w:lvl w:ilvl="1">
      <w:start w:val="3"/>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49">
    <w:multiLevelType w:val="hybridMultilevel"/>
    <w:lvl w:ilvl="0">
      <w:start w:val="6"/>
      <w:numFmt w:val="decimal"/>
      <w:lvlText w:val="%1"/>
      <w:lvlJc w:val="left"/>
      <w:pPr>
        <w:ind w:left="923" w:hanging="367"/>
        <w:jc w:val="left"/>
      </w:pPr>
      <w:rPr>
        <w:rFonts w:hint="default"/>
      </w:rPr>
    </w:lvl>
    <w:lvl w:ilvl="1">
      <w:start w:val="1"/>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48">
    <w:multiLevelType w:val="hybridMultilevel"/>
    <w:lvl w:ilvl="0">
      <w:start w:val="5"/>
      <w:numFmt w:val="decimal"/>
      <w:lvlText w:val="%1"/>
      <w:lvlJc w:val="left"/>
      <w:pPr>
        <w:ind w:left="923" w:hanging="367"/>
        <w:jc w:val="left"/>
      </w:pPr>
      <w:rPr>
        <w:rFonts w:hint="default"/>
      </w:rPr>
    </w:lvl>
    <w:lvl w:ilvl="1">
      <w:start w:val="5"/>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511"/>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05" w:hanging="511"/>
      </w:pPr>
      <w:rPr>
        <w:rFonts w:hint="default"/>
      </w:rPr>
    </w:lvl>
    <w:lvl w:ilvl="4">
      <w:start w:val="0"/>
      <w:numFmt w:val="bullet"/>
      <w:lvlText w:val="•"/>
      <w:lvlJc w:val="left"/>
      <w:pPr>
        <w:ind w:left="3748" w:hanging="511"/>
      </w:pPr>
      <w:rPr>
        <w:rFonts w:hint="default"/>
      </w:rPr>
    </w:lvl>
    <w:lvl w:ilvl="5">
      <w:start w:val="0"/>
      <w:numFmt w:val="bullet"/>
      <w:lvlText w:val="•"/>
      <w:lvlJc w:val="left"/>
      <w:pPr>
        <w:ind w:left="4691" w:hanging="511"/>
      </w:pPr>
      <w:rPr>
        <w:rFonts w:hint="default"/>
      </w:rPr>
    </w:lvl>
    <w:lvl w:ilvl="6">
      <w:start w:val="0"/>
      <w:numFmt w:val="bullet"/>
      <w:lvlText w:val="•"/>
      <w:lvlJc w:val="left"/>
      <w:pPr>
        <w:ind w:left="5634" w:hanging="511"/>
      </w:pPr>
      <w:rPr>
        <w:rFonts w:hint="default"/>
      </w:rPr>
    </w:lvl>
    <w:lvl w:ilvl="7">
      <w:start w:val="0"/>
      <w:numFmt w:val="bullet"/>
      <w:lvlText w:val="•"/>
      <w:lvlJc w:val="left"/>
      <w:pPr>
        <w:ind w:left="6577" w:hanging="511"/>
      </w:pPr>
      <w:rPr>
        <w:rFonts w:hint="default"/>
      </w:rPr>
    </w:lvl>
    <w:lvl w:ilvl="8">
      <w:start w:val="0"/>
      <w:numFmt w:val="bullet"/>
      <w:lvlText w:val="•"/>
      <w:lvlJc w:val="left"/>
      <w:pPr>
        <w:ind w:left="7519" w:hanging="511"/>
      </w:pPr>
      <w:rPr>
        <w:rFonts w:hint="default"/>
      </w:rPr>
    </w:lvl>
  </w:abstractNum>
  <w:abstractNum w:abstractNumId="47">
    <w:multiLevelType w:val="hybridMultilevel"/>
    <w:lvl w:ilvl="0">
      <w:start w:val="5"/>
      <w:numFmt w:val="decimal"/>
      <w:lvlText w:val="%1"/>
      <w:lvlJc w:val="left"/>
      <w:pPr>
        <w:ind w:left="923" w:hanging="367"/>
        <w:jc w:val="left"/>
      </w:pPr>
      <w:rPr>
        <w:rFonts w:hint="default"/>
      </w:rPr>
    </w:lvl>
    <w:lvl w:ilvl="1">
      <w:start w:val="3"/>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05" w:hanging="491"/>
      </w:pPr>
      <w:rPr>
        <w:rFonts w:hint="default"/>
      </w:rPr>
    </w:lvl>
    <w:lvl w:ilvl="4">
      <w:start w:val="0"/>
      <w:numFmt w:val="bullet"/>
      <w:lvlText w:val="•"/>
      <w:lvlJc w:val="left"/>
      <w:pPr>
        <w:ind w:left="3748" w:hanging="491"/>
      </w:pPr>
      <w:rPr>
        <w:rFonts w:hint="default"/>
      </w:rPr>
    </w:lvl>
    <w:lvl w:ilvl="5">
      <w:start w:val="0"/>
      <w:numFmt w:val="bullet"/>
      <w:lvlText w:val="•"/>
      <w:lvlJc w:val="left"/>
      <w:pPr>
        <w:ind w:left="4691" w:hanging="491"/>
      </w:pPr>
      <w:rPr>
        <w:rFonts w:hint="default"/>
      </w:rPr>
    </w:lvl>
    <w:lvl w:ilvl="6">
      <w:start w:val="0"/>
      <w:numFmt w:val="bullet"/>
      <w:lvlText w:val="•"/>
      <w:lvlJc w:val="left"/>
      <w:pPr>
        <w:ind w:left="5634" w:hanging="491"/>
      </w:pPr>
      <w:rPr>
        <w:rFonts w:hint="default"/>
      </w:rPr>
    </w:lvl>
    <w:lvl w:ilvl="7">
      <w:start w:val="0"/>
      <w:numFmt w:val="bullet"/>
      <w:lvlText w:val="•"/>
      <w:lvlJc w:val="left"/>
      <w:pPr>
        <w:ind w:left="6577" w:hanging="491"/>
      </w:pPr>
      <w:rPr>
        <w:rFonts w:hint="default"/>
      </w:rPr>
    </w:lvl>
    <w:lvl w:ilvl="8">
      <w:start w:val="0"/>
      <w:numFmt w:val="bullet"/>
      <w:lvlText w:val="•"/>
      <w:lvlJc w:val="left"/>
      <w:pPr>
        <w:ind w:left="7519" w:hanging="491"/>
      </w:pPr>
      <w:rPr>
        <w:rFonts w:hint="default"/>
      </w:rPr>
    </w:lvl>
  </w:abstractNum>
  <w:abstractNum w:abstractNumId="46">
    <w:multiLevelType w:val="hybridMultilevel"/>
    <w:lvl w:ilvl="0">
      <w:start w:val="5"/>
      <w:numFmt w:val="decimal"/>
      <w:lvlText w:val="%1"/>
      <w:lvlJc w:val="left"/>
      <w:pPr>
        <w:ind w:left="923" w:hanging="367"/>
        <w:jc w:val="left"/>
      </w:pPr>
      <w:rPr>
        <w:rFonts w:hint="default"/>
      </w:rPr>
    </w:lvl>
    <w:lvl w:ilvl="1">
      <w:start w:val="2"/>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83" w:hanging="491"/>
      </w:pPr>
      <w:rPr>
        <w:rFonts w:hint="default"/>
      </w:rPr>
    </w:lvl>
    <w:lvl w:ilvl="4">
      <w:start w:val="0"/>
      <w:numFmt w:val="bullet"/>
      <w:lvlText w:val="•"/>
      <w:lvlJc w:val="left"/>
      <w:pPr>
        <w:ind w:left="3715" w:hanging="491"/>
      </w:pPr>
      <w:rPr>
        <w:rFonts w:hint="default"/>
      </w:rPr>
    </w:lvl>
    <w:lvl w:ilvl="5">
      <w:start w:val="0"/>
      <w:numFmt w:val="bullet"/>
      <w:lvlText w:val="•"/>
      <w:lvlJc w:val="left"/>
      <w:pPr>
        <w:ind w:left="4646" w:hanging="491"/>
      </w:pPr>
      <w:rPr>
        <w:rFonts w:hint="default"/>
      </w:rPr>
    </w:lvl>
    <w:lvl w:ilvl="6">
      <w:start w:val="0"/>
      <w:numFmt w:val="bullet"/>
      <w:lvlText w:val="•"/>
      <w:lvlJc w:val="left"/>
      <w:pPr>
        <w:ind w:left="5578" w:hanging="491"/>
      </w:pPr>
      <w:rPr>
        <w:rFonts w:hint="default"/>
      </w:rPr>
    </w:lvl>
    <w:lvl w:ilvl="7">
      <w:start w:val="0"/>
      <w:numFmt w:val="bullet"/>
      <w:lvlText w:val="•"/>
      <w:lvlJc w:val="left"/>
      <w:pPr>
        <w:ind w:left="6510" w:hanging="491"/>
      </w:pPr>
      <w:rPr>
        <w:rFonts w:hint="default"/>
      </w:rPr>
    </w:lvl>
    <w:lvl w:ilvl="8">
      <w:start w:val="0"/>
      <w:numFmt w:val="bullet"/>
      <w:lvlText w:val="•"/>
      <w:lvlJc w:val="left"/>
      <w:pPr>
        <w:ind w:left="7442" w:hanging="491"/>
      </w:pPr>
      <w:rPr>
        <w:rFonts w:hint="default"/>
      </w:rPr>
    </w:lvl>
  </w:abstractNum>
  <w:abstractNum w:abstractNumId="45">
    <w:multiLevelType w:val="hybridMultilevel"/>
    <w:lvl w:ilvl="0">
      <w:start w:val="5"/>
      <w:numFmt w:val="decimal"/>
      <w:lvlText w:val="%1"/>
      <w:lvlJc w:val="left"/>
      <w:pPr>
        <w:ind w:left="923" w:hanging="367"/>
        <w:jc w:val="left"/>
      </w:pPr>
      <w:rPr>
        <w:rFonts w:hint="default"/>
      </w:rPr>
    </w:lvl>
    <w:lvl w:ilvl="1">
      <w:start w:val="1"/>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44">
    <w:multiLevelType w:val="hybridMultilevel"/>
    <w:lvl w:ilvl="0">
      <w:start w:val="4"/>
      <w:numFmt w:val="decimal"/>
      <w:lvlText w:val="%1"/>
      <w:lvlJc w:val="left"/>
      <w:pPr>
        <w:ind w:left="923" w:hanging="367"/>
        <w:jc w:val="left"/>
      </w:pPr>
      <w:rPr>
        <w:rFonts w:hint="default"/>
      </w:rPr>
    </w:lvl>
    <w:lvl w:ilvl="1">
      <w:start w:val="8"/>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511"/>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05" w:hanging="511"/>
      </w:pPr>
      <w:rPr>
        <w:rFonts w:hint="default"/>
      </w:rPr>
    </w:lvl>
    <w:lvl w:ilvl="4">
      <w:start w:val="0"/>
      <w:numFmt w:val="bullet"/>
      <w:lvlText w:val="•"/>
      <w:lvlJc w:val="left"/>
      <w:pPr>
        <w:ind w:left="3748" w:hanging="511"/>
      </w:pPr>
      <w:rPr>
        <w:rFonts w:hint="default"/>
      </w:rPr>
    </w:lvl>
    <w:lvl w:ilvl="5">
      <w:start w:val="0"/>
      <w:numFmt w:val="bullet"/>
      <w:lvlText w:val="•"/>
      <w:lvlJc w:val="left"/>
      <w:pPr>
        <w:ind w:left="4691" w:hanging="511"/>
      </w:pPr>
      <w:rPr>
        <w:rFonts w:hint="default"/>
      </w:rPr>
    </w:lvl>
    <w:lvl w:ilvl="6">
      <w:start w:val="0"/>
      <w:numFmt w:val="bullet"/>
      <w:lvlText w:val="•"/>
      <w:lvlJc w:val="left"/>
      <w:pPr>
        <w:ind w:left="5634" w:hanging="511"/>
      </w:pPr>
      <w:rPr>
        <w:rFonts w:hint="default"/>
      </w:rPr>
    </w:lvl>
    <w:lvl w:ilvl="7">
      <w:start w:val="0"/>
      <w:numFmt w:val="bullet"/>
      <w:lvlText w:val="•"/>
      <w:lvlJc w:val="left"/>
      <w:pPr>
        <w:ind w:left="6577" w:hanging="511"/>
      </w:pPr>
      <w:rPr>
        <w:rFonts w:hint="default"/>
      </w:rPr>
    </w:lvl>
    <w:lvl w:ilvl="8">
      <w:start w:val="0"/>
      <w:numFmt w:val="bullet"/>
      <w:lvlText w:val="•"/>
      <w:lvlJc w:val="left"/>
      <w:pPr>
        <w:ind w:left="7519" w:hanging="511"/>
      </w:pPr>
      <w:rPr>
        <w:rFonts w:hint="default"/>
      </w:rPr>
    </w:lvl>
  </w:abstractNum>
  <w:abstractNum w:abstractNumId="43">
    <w:multiLevelType w:val="hybridMultilevel"/>
    <w:lvl w:ilvl="0">
      <w:start w:val="4"/>
      <w:numFmt w:val="decimal"/>
      <w:lvlText w:val="%1"/>
      <w:lvlJc w:val="left"/>
      <w:pPr>
        <w:ind w:left="923" w:hanging="367"/>
        <w:jc w:val="left"/>
      </w:pPr>
      <w:rPr>
        <w:rFonts w:hint="default"/>
      </w:rPr>
    </w:lvl>
    <w:lvl w:ilvl="1">
      <w:start w:val="7"/>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05" w:hanging="491"/>
      </w:pPr>
      <w:rPr>
        <w:rFonts w:hint="default"/>
      </w:rPr>
    </w:lvl>
    <w:lvl w:ilvl="4">
      <w:start w:val="0"/>
      <w:numFmt w:val="bullet"/>
      <w:lvlText w:val="•"/>
      <w:lvlJc w:val="left"/>
      <w:pPr>
        <w:ind w:left="3748" w:hanging="491"/>
      </w:pPr>
      <w:rPr>
        <w:rFonts w:hint="default"/>
      </w:rPr>
    </w:lvl>
    <w:lvl w:ilvl="5">
      <w:start w:val="0"/>
      <w:numFmt w:val="bullet"/>
      <w:lvlText w:val="•"/>
      <w:lvlJc w:val="left"/>
      <w:pPr>
        <w:ind w:left="4691" w:hanging="491"/>
      </w:pPr>
      <w:rPr>
        <w:rFonts w:hint="default"/>
      </w:rPr>
    </w:lvl>
    <w:lvl w:ilvl="6">
      <w:start w:val="0"/>
      <w:numFmt w:val="bullet"/>
      <w:lvlText w:val="•"/>
      <w:lvlJc w:val="left"/>
      <w:pPr>
        <w:ind w:left="5634" w:hanging="491"/>
      </w:pPr>
      <w:rPr>
        <w:rFonts w:hint="default"/>
      </w:rPr>
    </w:lvl>
    <w:lvl w:ilvl="7">
      <w:start w:val="0"/>
      <w:numFmt w:val="bullet"/>
      <w:lvlText w:val="•"/>
      <w:lvlJc w:val="left"/>
      <w:pPr>
        <w:ind w:left="6577" w:hanging="491"/>
      </w:pPr>
      <w:rPr>
        <w:rFonts w:hint="default"/>
      </w:rPr>
    </w:lvl>
    <w:lvl w:ilvl="8">
      <w:start w:val="0"/>
      <w:numFmt w:val="bullet"/>
      <w:lvlText w:val="•"/>
      <w:lvlJc w:val="left"/>
      <w:pPr>
        <w:ind w:left="7519" w:hanging="491"/>
      </w:pPr>
      <w:rPr>
        <w:rFonts w:hint="default"/>
      </w:rPr>
    </w:lvl>
  </w:abstractNum>
  <w:abstractNum w:abstractNumId="42">
    <w:multiLevelType w:val="hybridMultilevel"/>
    <w:lvl w:ilvl="0">
      <w:start w:val="4"/>
      <w:numFmt w:val="decimal"/>
      <w:lvlText w:val="%1"/>
      <w:lvlJc w:val="left"/>
      <w:pPr>
        <w:ind w:left="923" w:hanging="367"/>
        <w:jc w:val="left"/>
      </w:pPr>
      <w:rPr>
        <w:rFonts w:hint="default"/>
      </w:rPr>
    </w:lvl>
    <w:lvl w:ilvl="1">
      <w:start w:val="6"/>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05" w:hanging="491"/>
      </w:pPr>
      <w:rPr>
        <w:rFonts w:hint="default"/>
      </w:rPr>
    </w:lvl>
    <w:lvl w:ilvl="4">
      <w:start w:val="0"/>
      <w:numFmt w:val="bullet"/>
      <w:lvlText w:val="•"/>
      <w:lvlJc w:val="left"/>
      <w:pPr>
        <w:ind w:left="3748" w:hanging="491"/>
      </w:pPr>
      <w:rPr>
        <w:rFonts w:hint="default"/>
      </w:rPr>
    </w:lvl>
    <w:lvl w:ilvl="5">
      <w:start w:val="0"/>
      <w:numFmt w:val="bullet"/>
      <w:lvlText w:val="•"/>
      <w:lvlJc w:val="left"/>
      <w:pPr>
        <w:ind w:left="4691" w:hanging="491"/>
      </w:pPr>
      <w:rPr>
        <w:rFonts w:hint="default"/>
      </w:rPr>
    </w:lvl>
    <w:lvl w:ilvl="6">
      <w:start w:val="0"/>
      <w:numFmt w:val="bullet"/>
      <w:lvlText w:val="•"/>
      <w:lvlJc w:val="left"/>
      <w:pPr>
        <w:ind w:left="5634" w:hanging="491"/>
      </w:pPr>
      <w:rPr>
        <w:rFonts w:hint="default"/>
      </w:rPr>
    </w:lvl>
    <w:lvl w:ilvl="7">
      <w:start w:val="0"/>
      <w:numFmt w:val="bullet"/>
      <w:lvlText w:val="•"/>
      <w:lvlJc w:val="left"/>
      <w:pPr>
        <w:ind w:left="6577" w:hanging="491"/>
      </w:pPr>
      <w:rPr>
        <w:rFonts w:hint="default"/>
      </w:rPr>
    </w:lvl>
    <w:lvl w:ilvl="8">
      <w:start w:val="0"/>
      <w:numFmt w:val="bullet"/>
      <w:lvlText w:val="•"/>
      <w:lvlJc w:val="left"/>
      <w:pPr>
        <w:ind w:left="7519" w:hanging="491"/>
      </w:pPr>
      <w:rPr>
        <w:rFonts w:hint="default"/>
      </w:rPr>
    </w:lvl>
  </w:abstractNum>
  <w:abstractNum w:abstractNumId="41">
    <w:multiLevelType w:val="hybridMultilevel"/>
    <w:lvl w:ilvl="0">
      <w:start w:val="4"/>
      <w:numFmt w:val="decimal"/>
      <w:lvlText w:val="%1"/>
      <w:lvlJc w:val="left"/>
      <w:pPr>
        <w:ind w:left="923" w:hanging="367"/>
        <w:jc w:val="left"/>
      </w:pPr>
      <w:rPr>
        <w:rFonts w:hint="default"/>
      </w:rPr>
    </w:lvl>
    <w:lvl w:ilvl="1">
      <w:start w:val="5"/>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40">
    <w:multiLevelType w:val="hybridMultilevel"/>
    <w:lvl w:ilvl="0">
      <w:start w:val="4"/>
      <w:numFmt w:val="decimal"/>
      <w:lvlText w:val="%1"/>
      <w:lvlJc w:val="left"/>
      <w:pPr>
        <w:ind w:left="923" w:hanging="367"/>
        <w:jc w:val="left"/>
      </w:pPr>
      <w:rPr>
        <w:rFonts w:hint="default"/>
      </w:rPr>
    </w:lvl>
    <w:lvl w:ilvl="1">
      <w:start w:val="4"/>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39">
    <w:multiLevelType w:val="hybridMultilevel"/>
    <w:lvl w:ilvl="0">
      <w:start w:val="4"/>
      <w:numFmt w:val="decimal"/>
      <w:lvlText w:val="%1"/>
      <w:lvlJc w:val="left"/>
      <w:pPr>
        <w:ind w:left="923" w:hanging="367"/>
        <w:jc w:val="left"/>
      </w:pPr>
      <w:rPr>
        <w:rFonts w:hint="default"/>
      </w:rPr>
    </w:lvl>
    <w:lvl w:ilvl="1">
      <w:start w:val="1"/>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05" w:hanging="491"/>
      </w:pPr>
      <w:rPr>
        <w:rFonts w:hint="default"/>
      </w:rPr>
    </w:lvl>
    <w:lvl w:ilvl="4">
      <w:start w:val="0"/>
      <w:numFmt w:val="bullet"/>
      <w:lvlText w:val="•"/>
      <w:lvlJc w:val="left"/>
      <w:pPr>
        <w:ind w:left="3748" w:hanging="491"/>
      </w:pPr>
      <w:rPr>
        <w:rFonts w:hint="default"/>
      </w:rPr>
    </w:lvl>
    <w:lvl w:ilvl="5">
      <w:start w:val="0"/>
      <w:numFmt w:val="bullet"/>
      <w:lvlText w:val="•"/>
      <w:lvlJc w:val="left"/>
      <w:pPr>
        <w:ind w:left="4691" w:hanging="491"/>
      </w:pPr>
      <w:rPr>
        <w:rFonts w:hint="default"/>
      </w:rPr>
    </w:lvl>
    <w:lvl w:ilvl="6">
      <w:start w:val="0"/>
      <w:numFmt w:val="bullet"/>
      <w:lvlText w:val="•"/>
      <w:lvlJc w:val="left"/>
      <w:pPr>
        <w:ind w:left="5634" w:hanging="491"/>
      </w:pPr>
      <w:rPr>
        <w:rFonts w:hint="default"/>
      </w:rPr>
    </w:lvl>
    <w:lvl w:ilvl="7">
      <w:start w:val="0"/>
      <w:numFmt w:val="bullet"/>
      <w:lvlText w:val="•"/>
      <w:lvlJc w:val="left"/>
      <w:pPr>
        <w:ind w:left="6577" w:hanging="491"/>
      </w:pPr>
      <w:rPr>
        <w:rFonts w:hint="default"/>
      </w:rPr>
    </w:lvl>
    <w:lvl w:ilvl="8">
      <w:start w:val="0"/>
      <w:numFmt w:val="bullet"/>
      <w:lvlText w:val="•"/>
      <w:lvlJc w:val="left"/>
      <w:pPr>
        <w:ind w:left="7519" w:hanging="491"/>
      </w:pPr>
      <w:rPr>
        <w:rFonts w:hint="default"/>
      </w:rPr>
    </w:lvl>
  </w:abstractNum>
  <w:abstractNum w:abstractNumId="38">
    <w:multiLevelType w:val="hybridMultilevel"/>
    <w:lvl w:ilvl="0">
      <w:start w:val="3"/>
      <w:numFmt w:val="decimal"/>
      <w:lvlText w:val="%1"/>
      <w:lvlJc w:val="left"/>
      <w:pPr>
        <w:ind w:left="923" w:hanging="367"/>
        <w:jc w:val="left"/>
      </w:pPr>
      <w:rPr>
        <w:rFonts w:hint="default"/>
      </w:rPr>
    </w:lvl>
    <w:lvl w:ilvl="1">
      <w:start w:val="7"/>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511"/>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05" w:hanging="511"/>
      </w:pPr>
      <w:rPr>
        <w:rFonts w:hint="default"/>
      </w:rPr>
    </w:lvl>
    <w:lvl w:ilvl="4">
      <w:start w:val="0"/>
      <w:numFmt w:val="bullet"/>
      <w:lvlText w:val="•"/>
      <w:lvlJc w:val="left"/>
      <w:pPr>
        <w:ind w:left="3748" w:hanging="511"/>
      </w:pPr>
      <w:rPr>
        <w:rFonts w:hint="default"/>
      </w:rPr>
    </w:lvl>
    <w:lvl w:ilvl="5">
      <w:start w:val="0"/>
      <w:numFmt w:val="bullet"/>
      <w:lvlText w:val="•"/>
      <w:lvlJc w:val="left"/>
      <w:pPr>
        <w:ind w:left="4691" w:hanging="511"/>
      </w:pPr>
      <w:rPr>
        <w:rFonts w:hint="default"/>
      </w:rPr>
    </w:lvl>
    <w:lvl w:ilvl="6">
      <w:start w:val="0"/>
      <w:numFmt w:val="bullet"/>
      <w:lvlText w:val="•"/>
      <w:lvlJc w:val="left"/>
      <w:pPr>
        <w:ind w:left="5634" w:hanging="511"/>
      </w:pPr>
      <w:rPr>
        <w:rFonts w:hint="default"/>
      </w:rPr>
    </w:lvl>
    <w:lvl w:ilvl="7">
      <w:start w:val="0"/>
      <w:numFmt w:val="bullet"/>
      <w:lvlText w:val="•"/>
      <w:lvlJc w:val="left"/>
      <w:pPr>
        <w:ind w:left="6577" w:hanging="511"/>
      </w:pPr>
      <w:rPr>
        <w:rFonts w:hint="default"/>
      </w:rPr>
    </w:lvl>
    <w:lvl w:ilvl="8">
      <w:start w:val="0"/>
      <w:numFmt w:val="bullet"/>
      <w:lvlText w:val="•"/>
      <w:lvlJc w:val="left"/>
      <w:pPr>
        <w:ind w:left="7519" w:hanging="511"/>
      </w:pPr>
      <w:rPr>
        <w:rFonts w:hint="default"/>
      </w:rPr>
    </w:lvl>
  </w:abstractNum>
  <w:abstractNum w:abstractNumId="37">
    <w:multiLevelType w:val="hybridMultilevel"/>
    <w:lvl w:ilvl="0">
      <w:start w:val="3"/>
      <w:numFmt w:val="decimal"/>
      <w:lvlText w:val="%1"/>
      <w:lvlJc w:val="left"/>
      <w:pPr>
        <w:ind w:left="1023" w:hanging="367"/>
        <w:jc w:val="left"/>
      </w:pPr>
      <w:rPr>
        <w:rFonts w:hint="default"/>
      </w:rPr>
    </w:lvl>
    <w:lvl w:ilvl="1">
      <w:start w:val="5"/>
      <w:numFmt w:val="decimal"/>
      <w:lvlText w:val="%1.%2"/>
      <w:lvlJc w:val="left"/>
      <w:pPr>
        <w:ind w:left="10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2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83" w:hanging="491"/>
      </w:pPr>
      <w:rPr>
        <w:rFonts w:hint="default"/>
      </w:rPr>
    </w:lvl>
    <w:lvl w:ilvl="4">
      <w:start w:val="0"/>
      <w:numFmt w:val="bullet"/>
      <w:lvlText w:val="•"/>
      <w:lvlJc w:val="left"/>
      <w:pPr>
        <w:ind w:left="3815" w:hanging="491"/>
      </w:pPr>
      <w:rPr>
        <w:rFonts w:hint="default"/>
      </w:rPr>
    </w:lvl>
    <w:lvl w:ilvl="5">
      <w:start w:val="0"/>
      <w:numFmt w:val="bullet"/>
      <w:lvlText w:val="•"/>
      <w:lvlJc w:val="left"/>
      <w:pPr>
        <w:ind w:left="4746" w:hanging="491"/>
      </w:pPr>
      <w:rPr>
        <w:rFonts w:hint="default"/>
      </w:rPr>
    </w:lvl>
    <w:lvl w:ilvl="6">
      <w:start w:val="0"/>
      <w:numFmt w:val="bullet"/>
      <w:lvlText w:val="•"/>
      <w:lvlJc w:val="left"/>
      <w:pPr>
        <w:ind w:left="5678" w:hanging="491"/>
      </w:pPr>
      <w:rPr>
        <w:rFonts w:hint="default"/>
      </w:rPr>
    </w:lvl>
    <w:lvl w:ilvl="7">
      <w:start w:val="0"/>
      <w:numFmt w:val="bullet"/>
      <w:lvlText w:val="•"/>
      <w:lvlJc w:val="left"/>
      <w:pPr>
        <w:ind w:left="6610" w:hanging="491"/>
      </w:pPr>
      <w:rPr>
        <w:rFonts w:hint="default"/>
      </w:rPr>
    </w:lvl>
    <w:lvl w:ilvl="8">
      <w:start w:val="0"/>
      <w:numFmt w:val="bullet"/>
      <w:lvlText w:val="•"/>
      <w:lvlJc w:val="left"/>
      <w:pPr>
        <w:ind w:left="7542" w:hanging="491"/>
      </w:pPr>
      <w:rPr>
        <w:rFonts w:hint="default"/>
      </w:rPr>
    </w:lvl>
  </w:abstractNum>
  <w:abstractNum w:abstractNumId="36">
    <w:multiLevelType w:val="hybridMultilevel"/>
    <w:lvl w:ilvl="0">
      <w:start w:val="3"/>
      <w:numFmt w:val="decimal"/>
      <w:lvlText w:val="%1"/>
      <w:lvlJc w:val="left"/>
      <w:pPr>
        <w:ind w:left="923" w:hanging="367"/>
        <w:jc w:val="left"/>
      </w:pPr>
      <w:rPr>
        <w:rFonts w:hint="default"/>
      </w:rPr>
    </w:lvl>
    <w:lvl w:ilvl="1">
      <w:start w:val="1"/>
      <w:numFmt w:val="decimal"/>
      <w:lvlText w:val="%1.%2"/>
      <w:lvlJc w:val="left"/>
      <w:pPr>
        <w:ind w:left="923" w:hanging="367"/>
        <w:jc w:val="righ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514"/>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1968" w:hanging="514"/>
      </w:pPr>
      <w:rPr>
        <w:rFonts w:hint="default"/>
      </w:rPr>
    </w:lvl>
    <w:lvl w:ilvl="4">
      <w:start w:val="0"/>
      <w:numFmt w:val="bullet"/>
      <w:lvlText w:val="•"/>
      <w:lvlJc w:val="left"/>
      <w:pPr>
        <w:ind w:left="3016" w:hanging="514"/>
      </w:pPr>
      <w:rPr>
        <w:rFonts w:hint="default"/>
      </w:rPr>
    </w:lvl>
    <w:lvl w:ilvl="5">
      <w:start w:val="0"/>
      <w:numFmt w:val="bullet"/>
      <w:lvlText w:val="•"/>
      <w:lvlJc w:val="left"/>
      <w:pPr>
        <w:ind w:left="4064" w:hanging="514"/>
      </w:pPr>
      <w:rPr>
        <w:rFonts w:hint="default"/>
      </w:rPr>
    </w:lvl>
    <w:lvl w:ilvl="6">
      <w:start w:val="0"/>
      <w:numFmt w:val="bullet"/>
      <w:lvlText w:val="•"/>
      <w:lvlJc w:val="left"/>
      <w:pPr>
        <w:ind w:left="5112" w:hanging="514"/>
      </w:pPr>
      <w:rPr>
        <w:rFonts w:hint="default"/>
      </w:rPr>
    </w:lvl>
    <w:lvl w:ilvl="7">
      <w:start w:val="0"/>
      <w:numFmt w:val="bullet"/>
      <w:lvlText w:val="•"/>
      <w:lvlJc w:val="left"/>
      <w:pPr>
        <w:ind w:left="6160" w:hanging="514"/>
      </w:pPr>
      <w:rPr>
        <w:rFonts w:hint="default"/>
      </w:rPr>
    </w:lvl>
    <w:lvl w:ilvl="8">
      <w:start w:val="0"/>
      <w:numFmt w:val="bullet"/>
      <w:lvlText w:val="•"/>
      <w:lvlJc w:val="left"/>
      <w:pPr>
        <w:ind w:left="7209" w:hanging="514"/>
      </w:pPr>
      <w:rPr>
        <w:rFonts w:hint="default"/>
      </w:rPr>
    </w:lvl>
  </w:abstractNum>
  <w:abstractNum w:abstractNumId="35">
    <w:multiLevelType w:val="hybridMultilevel"/>
    <w:lvl w:ilvl="0">
      <w:start w:val="2"/>
      <w:numFmt w:val="decimal"/>
      <w:lvlText w:val="%1"/>
      <w:lvlJc w:val="left"/>
      <w:pPr>
        <w:ind w:left="923" w:hanging="367"/>
        <w:jc w:val="left"/>
      </w:pPr>
      <w:rPr>
        <w:rFonts w:hint="default"/>
      </w:rPr>
    </w:lvl>
    <w:lvl w:ilvl="1">
      <w:start w:val="3"/>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511"/>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05" w:hanging="511"/>
      </w:pPr>
      <w:rPr>
        <w:rFonts w:hint="default"/>
      </w:rPr>
    </w:lvl>
    <w:lvl w:ilvl="4">
      <w:start w:val="0"/>
      <w:numFmt w:val="bullet"/>
      <w:lvlText w:val="•"/>
      <w:lvlJc w:val="left"/>
      <w:pPr>
        <w:ind w:left="3748" w:hanging="511"/>
      </w:pPr>
      <w:rPr>
        <w:rFonts w:hint="default"/>
      </w:rPr>
    </w:lvl>
    <w:lvl w:ilvl="5">
      <w:start w:val="0"/>
      <w:numFmt w:val="bullet"/>
      <w:lvlText w:val="•"/>
      <w:lvlJc w:val="left"/>
      <w:pPr>
        <w:ind w:left="4691" w:hanging="511"/>
      </w:pPr>
      <w:rPr>
        <w:rFonts w:hint="default"/>
      </w:rPr>
    </w:lvl>
    <w:lvl w:ilvl="6">
      <w:start w:val="0"/>
      <w:numFmt w:val="bullet"/>
      <w:lvlText w:val="•"/>
      <w:lvlJc w:val="left"/>
      <w:pPr>
        <w:ind w:left="5634" w:hanging="511"/>
      </w:pPr>
      <w:rPr>
        <w:rFonts w:hint="default"/>
      </w:rPr>
    </w:lvl>
    <w:lvl w:ilvl="7">
      <w:start w:val="0"/>
      <w:numFmt w:val="bullet"/>
      <w:lvlText w:val="•"/>
      <w:lvlJc w:val="left"/>
      <w:pPr>
        <w:ind w:left="6577" w:hanging="511"/>
      </w:pPr>
      <w:rPr>
        <w:rFonts w:hint="default"/>
      </w:rPr>
    </w:lvl>
    <w:lvl w:ilvl="8">
      <w:start w:val="0"/>
      <w:numFmt w:val="bullet"/>
      <w:lvlText w:val="•"/>
      <w:lvlJc w:val="left"/>
      <w:pPr>
        <w:ind w:left="7519" w:hanging="511"/>
      </w:pPr>
      <w:rPr>
        <w:rFonts w:hint="default"/>
      </w:rPr>
    </w:lvl>
  </w:abstractNum>
  <w:abstractNum w:abstractNumId="34">
    <w:multiLevelType w:val="hybridMultilevel"/>
    <w:lvl w:ilvl="0">
      <w:start w:val="2"/>
      <w:numFmt w:val="decimal"/>
      <w:lvlText w:val="%1"/>
      <w:lvlJc w:val="left"/>
      <w:pPr>
        <w:ind w:left="923" w:hanging="367"/>
        <w:jc w:val="left"/>
      </w:pPr>
      <w:rPr>
        <w:rFonts w:hint="default"/>
      </w:rPr>
    </w:lvl>
    <w:lvl w:ilvl="1">
      <w:start w:val="1"/>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33">
    <w:multiLevelType w:val="hybridMultilevel"/>
    <w:lvl w:ilvl="0">
      <w:start w:val="1"/>
      <w:numFmt w:val="decimal"/>
      <w:lvlText w:val="%1"/>
      <w:lvlJc w:val="left"/>
      <w:pPr>
        <w:ind w:left="1045" w:hanging="489"/>
        <w:jc w:val="left"/>
      </w:pPr>
      <w:rPr>
        <w:rFonts w:hint="default"/>
      </w:rPr>
    </w:lvl>
    <w:lvl w:ilvl="1">
      <w:start w:val="11"/>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713" w:hanging="489"/>
      </w:pPr>
      <w:rPr>
        <w:rFonts w:hint="default"/>
      </w:rPr>
    </w:lvl>
    <w:lvl w:ilvl="3">
      <w:start w:val="0"/>
      <w:numFmt w:val="bullet"/>
      <w:lvlText w:val="•"/>
      <w:lvlJc w:val="left"/>
      <w:pPr>
        <w:ind w:left="3549" w:hanging="489"/>
      </w:pPr>
      <w:rPr>
        <w:rFonts w:hint="default"/>
      </w:rPr>
    </w:lvl>
    <w:lvl w:ilvl="4">
      <w:start w:val="0"/>
      <w:numFmt w:val="bullet"/>
      <w:lvlText w:val="•"/>
      <w:lvlJc w:val="left"/>
      <w:pPr>
        <w:ind w:left="4386" w:hanging="489"/>
      </w:pPr>
      <w:rPr>
        <w:rFonts w:hint="default"/>
      </w:rPr>
    </w:lvl>
    <w:lvl w:ilvl="5">
      <w:start w:val="0"/>
      <w:numFmt w:val="bullet"/>
      <w:lvlText w:val="•"/>
      <w:lvlJc w:val="left"/>
      <w:pPr>
        <w:ind w:left="5222" w:hanging="489"/>
      </w:pPr>
      <w:rPr>
        <w:rFonts w:hint="default"/>
      </w:rPr>
    </w:lvl>
    <w:lvl w:ilvl="6">
      <w:start w:val="0"/>
      <w:numFmt w:val="bullet"/>
      <w:lvlText w:val="•"/>
      <w:lvlJc w:val="left"/>
      <w:pPr>
        <w:ind w:left="6059" w:hanging="489"/>
      </w:pPr>
      <w:rPr>
        <w:rFonts w:hint="default"/>
      </w:rPr>
    </w:lvl>
    <w:lvl w:ilvl="7">
      <w:start w:val="0"/>
      <w:numFmt w:val="bullet"/>
      <w:lvlText w:val="•"/>
      <w:lvlJc w:val="left"/>
      <w:pPr>
        <w:ind w:left="6895" w:hanging="489"/>
      </w:pPr>
      <w:rPr>
        <w:rFonts w:hint="default"/>
      </w:rPr>
    </w:lvl>
    <w:lvl w:ilvl="8">
      <w:start w:val="0"/>
      <w:numFmt w:val="bullet"/>
      <w:lvlText w:val="•"/>
      <w:lvlJc w:val="left"/>
      <w:pPr>
        <w:ind w:left="7732" w:hanging="489"/>
      </w:pPr>
      <w:rPr>
        <w:rFonts w:hint="default"/>
      </w:rPr>
    </w:lvl>
  </w:abstractNum>
  <w:abstractNum w:abstractNumId="32">
    <w:multiLevelType w:val="hybridMultilevel"/>
    <w:lvl w:ilvl="0">
      <w:start w:val="1"/>
      <w:numFmt w:val="decimal"/>
      <w:lvlText w:val="%1"/>
      <w:lvlJc w:val="left"/>
      <w:pPr>
        <w:ind w:left="923" w:hanging="367"/>
        <w:jc w:val="left"/>
      </w:pPr>
      <w:rPr>
        <w:rFonts w:hint="default"/>
      </w:rPr>
    </w:lvl>
    <w:lvl w:ilvl="1">
      <w:start w:val="8"/>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630"/>
        <w:jc w:val="left"/>
      </w:pPr>
      <w:rPr>
        <w:rFonts w:hint="default" w:ascii="方正书宋_GBK" w:hAnsi="方正书宋_GBK" w:eastAsia="方正书宋_GBK" w:cs="方正书宋_GBK"/>
        <w:color w:val="231F20"/>
        <w:spacing w:val="0"/>
        <w:w w:val="100"/>
        <w:sz w:val="22"/>
        <w:szCs w:val="22"/>
      </w:rPr>
    </w:lvl>
    <w:lvl w:ilvl="3">
      <w:start w:val="0"/>
      <w:numFmt w:val="bullet"/>
      <w:lvlText w:val="•"/>
      <w:lvlJc w:val="left"/>
      <w:pPr>
        <w:ind w:left="2783" w:hanging="630"/>
      </w:pPr>
      <w:rPr>
        <w:rFonts w:hint="default"/>
      </w:rPr>
    </w:lvl>
    <w:lvl w:ilvl="4">
      <w:start w:val="0"/>
      <w:numFmt w:val="bullet"/>
      <w:lvlText w:val="•"/>
      <w:lvlJc w:val="left"/>
      <w:pPr>
        <w:ind w:left="3715" w:hanging="630"/>
      </w:pPr>
      <w:rPr>
        <w:rFonts w:hint="default"/>
      </w:rPr>
    </w:lvl>
    <w:lvl w:ilvl="5">
      <w:start w:val="0"/>
      <w:numFmt w:val="bullet"/>
      <w:lvlText w:val="•"/>
      <w:lvlJc w:val="left"/>
      <w:pPr>
        <w:ind w:left="4646" w:hanging="630"/>
      </w:pPr>
      <w:rPr>
        <w:rFonts w:hint="default"/>
      </w:rPr>
    </w:lvl>
    <w:lvl w:ilvl="6">
      <w:start w:val="0"/>
      <w:numFmt w:val="bullet"/>
      <w:lvlText w:val="•"/>
      <w:lvlJc w:val="left"/>
      <w:pPr>
        <w:ind w:left="5578" w:hanging="630"/>
      </w:pPr>
      <w:rPr>
        <w:rFonts w:hint="default"/>
      </w:rPr>
    </w:lvl>
    <w:lvl w:ilvl="7">
      <w:start w:val="0"/>
      <w:numFmt w:val="bullet"/>
      <w:lvlText w:val="•"/>
      <w:lvlJc w:val="left"/>
      <w:pPr>
        <w:ind w:left="6510" w:hanging="630"/>
      </w:pPr>
      <w:rPr>
        <w:rFonts w:hint="default"/>
      </w:rPr>
    </w:lvl>
    <w:lvl w:ilvl="8">
      <w:start w:val="0"/>
      <w:numFmt w:val="bullet"/>
      <w:lvlText w:val="•"/>
      <w:lvlJc w:val="left"/>
      <w:pPr>
        <w:ind w:left="7442" w:hanging="630"/>
      </w:pPr>
      <w:rPr>
        <w:rFonts w:hint="default"/>
      </w:rPr>
    </w:lvl>
  </w:abstractNum>
  <w:abstractNum w:abstractNumId="31">
    <w:multiLevelType w:val="hybridMultilevel"/>
    <w:lvl w:ilvl="0">
      <w:start w:val="1"/>
      <w:numFmt w:val="decimal"/>
      <w:lvlText w:val="%1"/>
      <w:lvlJc w:val="left"/>
      <w:pPr>
        <w:ind w:left="923" w:hanging="367"/>
        <w:jc w:val="left"/>
      </w:pPr>
      <w:rPr>
        <w:rFonts w:hint="default"/>
      </w:rPr>
    </w:lvl>
    <w:lvl w:ilvl="1">
      <w:start w:val="7"/>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83" w:hanging="491"/>
      </w:pPr>
      <w:rPr>
        <w:rFonts w:hint="default"/>
      </w:rPr>
    </w:lvl>
    <w:lvl w:ilvl="4">
      <w:start w:val="0"/>
      <w:numFmt w:val="bullet"/>
      <w:lvlText w:val="•"/>
      <w:lvlJc w:val="left"/>
      <w:pPr>
        <w:ind w:left="3715" w:hanging="491"/>
      </w:pPr>
      <w:rPr>
        <w:rFonts w:hint="default"/>
      </w:rPr>
    </w:lvl>
    <w:lvl w:ilvl="5">
      <w:start w:val="0"/>
      <w:numFmt w:val="bullet"/>
      <w:lvlText w:val="•"/>
      <w:lvlJc w:val="left"/>
      <w:pPr>
        <w:ind w:left="4646" w:hanging="491"/>
      </w:pPr>
      <w:rPr>
        <w:rFonts w:hint="default"/>
      </w:rPr>
    </w:lvl>
    <w:lvl w:ilvl="6">
      <w:start w:val="0"/>
      <w:numFmt w:val="bullet"/>
      <w:lvlText w:val="•"/>
      <w:lvlJc w:val="left"/>
      <w:pPr>
        <w:ind w:left="5578" w:hanging="491"/>
      </w:pPr>
      <w:rPr>
        <w:rFonts w:hint="default"/>
      </w:rPr>
    </w:lvl>
    <w:lvl w:ilvl="7">
      <w:start w:val="0"/>
      <w:numFmt w:val="bullet"/>
      <w:lvlText w:val="•"/>
      <w:lvlJc w:val="left"/>
      <w:pPr>
        <w:ind w:left="6510" w:hanging="491"/>
      </w:pPr>
      <w:rPr>
        <w:rFonts w:hint="default"/>
      </w:rPr>
    </w:lvl>
    <w:lvl w:ilvl="8">
      <w:start w:val="0"/>
      <w:numFmt w:val="bullet"/>
      <w:lvlText w:val="•"/>
      <w:lvlJc w:val="left"/>
      <w:pPr>
        <w:ind w:left="7442" w:hanging="491"/>
      </w:pPr>
      <w:rPr>
        <w:rFonts w:hint="default"/>
      </w:rPr>
    </w:lvl>
  </w:abstractNum>
  <w:abstractNum w:abstractNumId="30">
    <w:multiLevelType w:val="hybridMultilevel"/>
    <w:lvl w:ilvl="0">
      <w:start w:val="1"/>
      <w:numFmt w:val="decimal"/>
      <w:lvlText w:val="%1"/>
      <w:lvlJc w:val="left"/>
      <w:pPr>
        <w:ind w:left="923" w:hanging="367"/>
        <w:jc w:val="left"/>
      </w:pPr>
      <w:rPr>
        <w:rFonts w:hint="default"/>
      </w:rPr>
    </w:lvl>
    <w:lvl w:ilvl="1">
      <w:start w:val="2"/>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073" w:hanging="491"/>
      </w:pPr>
      <w:rPr>
        <w:rFonts w:hint="default"/>
      </w:rPr>
    </w:lvl>
    <w:lvl w:ilvl="4">
      <w:start w:val="0"/>
      <w:numFmt w:val="bullet"/>
      <w:lvlText w:val="•"/>
      <w:lvlJc w:val="left"/>
      <w:pPr>
        <w:ind w:left="3106" w:hanging="491"/>
      </w:pPr>
      <w:rPr>
        <w:rFonts w:hint="default"/>
      </w:rPr>
    </w:lvl>
    <w:lvl w:ilvl="5">
      <w:start w:val="0"/>
      <w:numFmt w:val="bullet"/>
      <w:lvlText w:val="•"/>
      <w:lvlJc w:val="left"/>
      <w:pPr>
        <w:ind w:left="4139" w:hanging="491"/>
      </w:pPr>
      <w:rPr>
        <w:rFonts w:hint="default"/>
      </w:rPr>
    </w:lvl>
    <w:lvl w:ilvl="6">
      <w:start w:val="0"/>
      <w:numFmt w:val="bullet"/>
      <w:lvlText w:val="•"/>
      <w:lvlJc w:val="left"/>
      <w:pPr>
        <w:ind w:left="5172" w:hanging="491"/>
      </w:pPr>
      <w:rPr>
        <w:rFonts w:hint="default"/>
      </w:rPr>
    </w:lvl>
    <w:lvl w:ilvl="7">
      <w:start w:val="0"/>
      <w:numFmt w:val="bullet"/>
      <w:lvlText w:val="•"/>
      <w:lvlJc w:val="left"/>
      <w:pPr>
        <w:ind w:left="6205" w:hanging="491"/>
      </w:pPr>
      <w:rPr>
        <w:rFonts w:hint="default"/>
      </w:rPr>
    </w:lvl>
    <w:lvl w:ilvl="8">
      <w:start w:val="0"/>
      <w:numFmt w:val="bullet"/>
      <w:lvlText w:val="•"/>
      <w:lvlJc w:val="left"/>
      <w:pPr>
        <w:ind w:left="7239" w:hanging="491"/>
      </w:pPr>
      <w:rPr>
        <w:rFonts w:hint="default"/>
      </w:rPr>
    </w:lvl>
  </w:abstractNum>
  <w:abstractNum w:abstractNumId="29">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6"/>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75"/>
        <w:jc w:val="left"/>
      </w:pPr>
      <w:rPr>
        <w:rFonts w:hint="default" w:ascii="方正书宋_GBK" w:hAnsi="方正书宋_GBK" w:eastAsia="方正书宋_GBK" w:cs="方正书宋_GBK"/>
        <w:color w:val="231F20"/>
        <w:w w:val="100"/>
        <w:sz w:val="22"/>
        <w:szCs w:val="22"/>
      </w:rPr>
    </w:lvl>
    <w:lvl w:ilvl="4">
      <w:start w:val="0"/>
      <w:numFmt w:val="bullet"/>
      <w:lvlText w:val="•"/>
      <w:lvlJc w:val="left"/>
      <w:pPr>
        <w:ind w:left="3828" w:hanging="675"/>
      </w:pPr>
      <w:rPr>
        <w:rFonts w:hint="default"/>
      </w:rPr>
    </w:lvl>
    <w:lvl w:ilvl="5">
      <w:start w:val="0"/>
      <w:numFmt w:val="bullet"/>
      <w:lvlText w:val="•"/>
      <w:lvlJc w:val="left"/>
      <w:pPr>
        <w:ind w:left="4758" w:hanging="675"/>
      </w:pPr>
      <w:rPr>
        <w:rFonts w:hint="default"/>
      </w:rPr>
    </w:lvl>
    <w:lvl w:ilvl="6">
      <w:start w:val="0"/>
      <w:numFmt w:val="bullet"/>
      <w:lvlText w:val="•"/>
      <w:lvlJc w:val="left"/>
      <w:pPr>
        <w:ind w:left="5687" w:hanging="675"/>
      </w:pPr>
      <w:rPr>
        <w:rFonts w:hint="default"/>
      </w:rPr>
    </w:lvl>
    <w:lvl w:ilvl="7">
      <w:start w:val="0"/>
      <w:numFmt w:val="bullet"/>
      <w:lvlText w:val="•"/>
      <w:lvlJc w:val="left"/>
      <w:pPr>
        <w:ind w:left="6617" w:hanging="675"/>
      </w:pPr>
      <w:rPr>
        <w:rFonts w:hint="default"/>
      </w:rPr>
    </w:lvl>
    <w:lvl w:ilvl="8">
      <w:start w:val="0"/>
      <w:numFmt w:val="bullet"/>
      <w:lvlText w:val="•"/>
      <w:lvlJc w:val="left"/>
      <w:pPr>
        <w:ind w:left="7546" w:hanging="675"/>
      </w:pPr>
      <w:rPr>
        <w:rFonts w:hint="default"/>
      </w:rPr>
    </w:lvl>
  </w:abstractNum>
  <w:abstractNum w:abstractNumId="28">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5"/>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74"/>
        <w:jc w:val="left"/>
      </w:pPr>
      <w:rPr>
        <w:rFonts w:hint="default" w:ascii="方正书宋_GBK" w:hAnsi="方正书宋_GBK" w:eastAsia="方正书宋_GBK" w:cs="方正书宋_GBK"/>
        <w:color w:val="231F20"/>
        <w:w w:val="100"/>
        <w:sz w:val="22"/>
        <w:szCs w:val="22"/>
      </w:rPr>
    </w:lvl>
    <w:lvl w:ilvl="4">
      <w:start w:val="0"/>
      <w:numFmt w:val="bullet"/>
      <w:lvlText w:val="•"/>
      <w:lvlJc w:val="left"/>
      <w:pPr>
        <w:ind w:left="3828" w:hanging="674"/>
      </w:pPr>
      <w:rPr>
        <w:rFonts w:hint="default"/>
      </w:rPr>
    </w:lvl>
    <w:lvl w:ilvl="5">
      <w:start w:val="0"/>
      <w:numFmt w:val="bullet"/>
      <w:lvlText w:val="•"/>
      <w:lvlJc w:val="left"/>
      <w:pPr>
        <w:ind w:left="4758" w:hanging="674"/>
      </w:pPr>
      <w:rPr>
        <w:rFonts w:hint="default"/>
      </w:rPr>
    </w:lvl>
    <w:lvl w:ilvl="6">
      <w:start w:val="0"/>
      <w:numFmt w:val="bullet"/>
      <w:lvlText w:val="•"/>
      <w:lvlJc w:val="left"/>
      <w:pPr>
        <w:ind w:left="5687" w:hanging="674"/>
      </w:pPr>
      <w:rPr>
        <w:rFonts w:hint="default"/>
      </w:rPr>
    </w:lvl>
    <w:lvl w:ilvl="7">
      <w:start w:val="0"/>
      <w:numFmt w:val="bullet"/>
      <w:lvlText w:val="•"/>
      <w:lvlJc w:val="left"/>
      <w:pPr>
        <w:ind w:left="6617" w:hanging="674"/>
      </w:pPr>
      <w:rPr>
        <w:rFonts w:hint="default"/>
      </w:rPr>
    </w:lvl>
    <w:lvl w:ilvl="8">
      <w:start w:val="0"/>
      <w:numFmt w:val="bullet"/>
      <w:lvlText w:val="•"/>
      <w:lvlJc w:val="left"/>
      <w:pPr>
        <w:ind w:left="7546" w:hanging="674"/>
      </w:pPr>
      <w:rPr>
        <w:rFonts w:hint="default"/>
      </w:rPr>
    </w:lvl>
  </w:abstractNum>
  <w:abstractNum w:abstractNumId="27">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4"/>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75"/>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3828" w:hanging="675"/>
      </w:pPr>
      <w:rPr>
        <w:rFonts w:hint="default"/>
      </w:rPr>
    </w:lvl>
    <w:lvl w:ilvl="5">
      <w:start w:val="0"/>
      <w:numFmt w:val="bullet"/>
      <w:lvlText w:val="•"/>
      <w:lvlJc w:val="left"/>
      <w:pPr>
        <w:ind w:left="4758" w:hanging="675"/>
      </w:pPr>
      <w:rPr>
        <w:rFonts w:hint="default"/>
      </w:rPr>
    </w:lvl>
    <w:lvl w:ilvl="6">
      <w:start w:val="0"/>
      <w:numFmt w:val="bullet"/>
      <w:lvlText w:val="•"/>
      <w:lvlJc w:val="left"/>
      <w:pPr>
        <w:ind w:left="5687" w:hanging="675"/>
      </w:pPr>
      <w:rPr>
        <w:rFonts w:hint="default"/>
      </w:rPr>
    </w:lvl>
    <w:lvl w:ilvl="7">
      <w:start w:val="0"/>
      <w:numFmt w:val="bullet"/>
      <w:lvlText w:val="•"/>
      <w:lvlJc w:val="left"/>
      <w:pPr>
        <w:ind w:left="6617" w:hanging="675"/>
      </w:pPr>
      <w:rPr>
        <w:rFonts w:hint="default"/>
      </w:rPr>
    </w:lvl>
    <w:lvl w:ilvl="8">
      <w:start w:val="0"/>
      <w:numFmt w:val="bullet"/>
      <w:lvlText w:val="•"/>
      <w:lvlJc w:val="left"/>
      <w:pPr>
        <w:ind w:left="7546" w:hanging="675"/>
      </w:pPr>
      <w:rPr>
        <w:rFonts w:hint="default"/>
      </w:rPr>
    </w:lvl>
  </w:abstractNum>
  <w:abstractNum w:abstractNumId="26">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3"/>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53"/>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3795" w:hanging="653"/>
      </w:pPr>
      <w:rPr>
        <w:rFonts w:hint="default"/>
      </w:rPr>
    </w:lvl>
    <w:lvl w:ilvl="5">
      <w:start w:val="0"/>
      <w:numFmt w:val="bullet"/>
      <w:lvlText w:val="•"/>
      <w:lvlJc w:val="left"/>
      <w:pPr>
        <w:ind w:left="4713" w:hanging="653"/>
      </w:pPr>
      <w:rPr>
        <w:rFonts w:hint="default"/>
      </w:rPr>
    </w:lvl>
    <w:lvl w:ilvl="6">
      <w:start w:val="0"/>
      <w:numFmt w:val="bullet"/>
      <w:lvlText w:val="•"/>
      <w:lvlJc w:val="left"/>
      <w:pPr>
        <w:ind w:left="5631" w:hanging="653"/>
      </w:pPr>
      <w:rPr>
        <w:rFonts w:hint="default"/>
      </w:rPr>
    </w:lvl>
    <w:lvl w:ilvl="7">
      <w:start w:val="0"/>
      <w:numFmt w:val="bullet"/>
      <w:lvlText w:val="•"/>
      <w:lvlJc w:val="left"/>
      <w:pPr>
        <w:ind w:left="6550" w:hanging="653"/>
      </w:pPr>
      <w:rPr>
        <w:rFonts w:hint="default"/>
      </w:rPr>
    </w:lvl>
    <w:lvl w:ilvl="8">
      <w:start w:val="0"/>
      <w:numFmt w:val="bullet"/>
      <w:lvlText w:val="•"/>
      <w:lvlJc w:val="left"/>
      <w:pPr>
        <w:ind w:left="7468" w:hanging="653"/>
      </w:pPr>
      <w:rPr>
        <w:rFonts w:hint="default"/>
      </w:rPr>
    </w:lvl>
  </w:abstractNum>
  <w:abstractNum w:abstractNumId="25">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2"/>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53"/>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3828" w:hanging="653"/>
      </w:pPr>
      <w:rPr>
        <w:rFonts w:hint="default"/>
      </w:rPr>
    </w:lvl>
    <w:lvl w:ilvl="5">
      <w:start w:val="0"/>
      <w:numFmt w:val="bullet"/>
      <w:lvlText w:val="•"/>
      <w:lvlJc w:val="left"/>
      <w:pPr>
        <w:ind w:left="4758" w:hanging="653"/>
      </w:pPr>
      <w:rPr>
        <w:rFonts w:hint="default"/>
      </w:rPr>
    </w:lvl>
    <w:lvl w:ilvl="6">
      <w:start w:val="0"/>
      <w:numFmt w:val="bullet"/>
      <w:lvlText w:val="•"/>
      <w:lvlJc w:val="left"/>
      <w:pPr>
        <w:ind w:left="5687" w:hanging="653"/>
      </w:pPr>
      <w:rPr>
        <w:rFonts w:hint="default"/>
      </w:rPr>
    </w:lvl>
    <w:lvl w:ilvl="7">
      <w:start w:val="0"/>
      <w:numFmt w:val="bullet"/>
      <w:lvlText w:val="•"/>
      <w:lvlJc w:val="left"/>
      <w:pPr>
        <w:ind w:left="6617" w:hanging="653"/>
      </w:pPr>
      <w:rPr>
        <w:rFonts w:hint="default"/>
      </w:rPr>
    </w:lvl>
    <w:lvl w:ilvl="8">
      <w:start w:val="0"/>
      <w:numFmt w:val="bullet"/>
      <w:lvlText w:val="•"/>
      <w:lvlJc w:val="left"/>
      <w:pPr>
        <w:ind w:left="7546" w:hanging="653"/>
      </w:pPr>
      <w:rPr>
        <w:rFonts w:hint="default"/>
      </w:rPr>
    </w:lvl>
  </w:abstractNum>
  <w:abstractNum w:abstractNumId="24">
    <w:multiLevelType w:val="hybridMultilevel"/>
    <w:lvl w:ilvl="0">
      <w:start w:val="1"/>
      <w:numFmt w:val="decimal"/>
      <w:lvlText w:val="%1"/>
      <w:lvlJc w:val="left"/>
      <w:pPr>
        <w:ind w:left="923" w:hanging="367"/>
        <w:jc w:val="left"/>
      </w:pPr>
      <w:rPr>
        <w:rFonts w:hint="default"/>
      </w:rPr>
    </w:lvl>
    <w:lvl w:ilvl="1">
      <w:start w:val="1"/>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74"/>
        <w:jc w:val="left"/>
      </w:pPr>
      <w:rPr>
        <w:rFonts w:hint="default" w:ascii="方正书宋_GBK" w:hAnsi="方正书宋_GBK" w:eastAsia="方正书宋_GBK" w:cs="方正书宋_GBK"/>
        <w:color w:val="231F20"/>
        <w:w w:val="100"/>
        <w:sz w:val="22"/>
        <w:szCs w:val="22"/>
      </w:rPr>
    </w:lvl>
    <w:lvl w:ilvl="4">
      <w:start w:val="0"/>
      <w:numFmt w:val="bullet"/>
      <w:lvlText w:val="•"/>
      <w:lvlJc w:val="left"/>
      <w:pPr>
        <w:ind w:left="3131" w:hanging="674"/>
      </w:pPr>
      <w:rPr>
        <w:rFonts w:hint="default"/>
      </w:rPr>
    </w:lvl>
    <w:lvl w:ilvl="5">
      <w:start w:val="0"/>
      <w:numFmt w:val="bullet"/>
      <w:lvlText w:val="•"/>
      <w:lvlJc w:val="left"/>
      <w:pPr>
        <w:ind w:left="4177" w:hanging="674"/>
      </w:pPr>
      <w:rPr>
        <w:rFonts w:hint="default"/>
      </w:rPr>
    </w:lvl>
    <w:lvl w:ilvl="6">
      <w:start w:val="0"/>
      <w:numFmt w:val="bullet"/>
      <w:lvlText w:val="•"/>
      <w:lvlJc w:val="left"/>
      <w:pPr>
        <w:ind w:left="5222" w:hanging="674"/>
      </w:pPr>
      <w:rPr>
        <w:rFonts w:hint="default"/>
      </w:rPr>
    </w:lvl>
    <w:lvl w:ilvl="7">
      <w:start w:val="0"/>
      <w:numFmt w:val="bullet"/>
      <w:lvlText w:val="•"/>
      <w:lvlJc w:val="left"/>
      <w:pPr>
        <w:ind w:left="6268" w:hanging="674"/>
      </w:pPr>
      <w:rPr>
        <w:rFonts w:hint="default"/>
      </w:rPr>
    </w:lvl>
    <w:lvl w:ilvl="8">
      <w:start w:val="0"/>
      <w:numFmt w:val="bullet"/>
      <w:lvlText w:val="•"/>
      <w:lvlJc w:val="left"/>
      <w:pPr>
        <w:ind w:left="7314" w:hanging="674"/>
      </w:pPr>
      <w:rPr>
        <w:rFonts w:hint="default"/>
      </w:rPr>
    </w:lvl>
  </w:abstractNum>
  <w:abstractNum w:abstractNumId="23">
    <w:multiLevelType w:val="hybridMultilevel"/>
    <w:lvl w:ilvl="0">
      <w:start w:val="1"/>
      <w:numFmt w:val="decimal"/>
      <w:lvlText w:val="%1."/>
      <w:lvlJc w:val="left"/>
      <w:pPr>
        <w:ind w:left="117" w:hanging="237"/>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37"/>
      </w:pPr>
      <w:rPr>
        <w:rFonts w:hint="default"/>
      </w:rPr>
    </w:lvl>
    <w:lvl w:ilvl="2">
      <w:start w:val="0"/>
      <w:numFmt w:val="bullet"/>
      <w:lvlText w:val="•"/>
      <w:lvlJc w:val="left"/>
      <w:pPr>
        <w:ind w:left="1977" w:hanging="237"/>
      </w:pPr>
      <w:rPr>
        <w:rFonts w:hint="default"/>
      </w:rPr>
    </w:lvl>
    <w:lvl w:ilvl="3">
      <w:start w:val="0"/>
      <w:numFmt w:val="bullet"/>
      <w:lvlText w:val="•"/>
      <w:lvlJc w:val="left"/>
      <w:pPr>
        <w:ind w:left="2905" w:hanging="237"/>
      </w:pPr>
      <w:rPr>
        <w:rFonts w:hint="default"/>
      </w:rPr>
    </w:lvl>
    <w:lvl w:ilvl="4">
      <w:start w:val="0"/>
      <w:numFmt w:val="bullet"/>
      <w:lvlText w:val="•"/>
      <w:lvlJc w:val="left"/>
      <w:pPr>
        <w:ind w:left="3834" w:hanging="237"/>
      </w:pPr>
      <w:rPr>
        <w:rFonts w:hint="default"/>
      </w:rPr>
    </w:lvl>
    <w:lvl w:ilvl="5">
      <w:start w:val="0"/>
      <w:numFmt w:val="bullet"/>
      <w:lvlText w:val="•"/>
      <w:lvlJc w:val="left"/>
      <w:pPr>
        <w:ind w:left="4762" w:hanging="237"/>
      </w:pPr>
      <w:rPr>
        <w:rFonts w:hint="default"/>
      </w:rPr>
    </w:lvl>
    <w:lvl w:ilvl="6">
      <w:start w:val="0"/>
      <w:numFmt w:val="bullet"/>
      <w:lvlText w:val="•"/>
      <w:lvlJc w:val="left"/>
      <w:pPr>
        <w:ind w:left="5691" w:hanging="237"/>
      </w:pPr>
      <w:rPr>
        <w:rFonts w:hint="default"/>
      </w:rPr>
    </w:lvl>
    <w:lvl w:ilvl="7">
      <w:start w:val="0"/>
      <w:numFmt w:val="bullet"/>
      <w:lvlText w:val="•"/>
      <w:lvlJc w:val="left"/>
      <w:pPr>
        <w:ind w:left="6619" w:hanging="237"/>
      </w:pPr>
      <w:rPr>
        <w:rFonts w:hint="default"/>
      </w:rPr>
    </w:lvl>
    <w:lvl w:ilvl="8">
      <w:start w:val="0"/>
      <w:numFmt w:val="bullet"/>
      <w:lvlText w:val="•"/>
      <w:lvlJc w:val="left"/>
      <w:pPr>
        <w:ind w:left="7548" w:hanging="237"/>
      </w:pPr>
      <w:rPr>
        <w:rFonts w:hint="default"/>
      </w:rPr>
    </w:lvl>
  </w:abstractNum>
  <w:abstractNum w:abstractNumId="22">
    <w:multiLevelType w:val="hybridMultilevel"/>
    <w:lvl w:ilvl="0">
      <w:start w:val="1"/>
      <w:numFmt w:val="decimal"/>
      <w:lvlText w:val="%1."/>
      <w:lvlJc w:val="left"/>
      <w:pPr>
        <w:ind w:left="774"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8"/>
      </w:pPr>
      <w:rPr>
        <w:rFonts w:hint="default"/>
      </w:rPr>
    </w:lvl>
    <w:lvl w:ilvl="2">
      <w:start w:val="0"/>
      <w:numFmt w:val="bullet"/>
      <w:lvlText w:val="•"/>
      <w:lvlJc w:val="left"/>
      <w:pPr>
        <w:ind w:left="2505" w:hanging="218"/>
      </w:pPr>
      <w:rPr>
        <w:rFonts w:hint="default"/>
      </w:rPr>
    </w:lvl>
    <w:lvl w:ilvl="3">
      <w:start w:val="0"/>
      <w:numFmt w:val="bullet"/>
      <w:lvlText w:val="•"/>
      <w:lvlJc w:val="left"/>
      <w:pPr>
        <w:ind w:left="3367" w:hanging="218"/>
      </w:pPr>
      <w:rPr>
        <w:rFonts w:hint="default"/>
      </w:rPr>
    </w:lvl>
    <w:lvl w:ilvl="4">
      <w:start w:val="0"/>
      <w:numFmt w:val="bullet"/>
      <w:lvlText w:val="•"/>
      <w:lvlJc w:val="left"/>
      <w:pPr>
        <w:ind w:left="4230" w:hanging="218"/>
      </w:pPr>
      <w:rPr>
        <w:rFonts w:hint="default"/>
      </w:rPr>
    </w:lvl>
    <w:lvl w:ilvl="5">
      <w:start w:val="0"/>
      <w:numFmt w:val="bullet"/>
      <w:lvlText w:val="•"/>
      <w:lvlJc w:val="left"/>
      <w:pPr>
        <w:ind w:left="5092" w:hanging="218"/>
      </w:pPr>
      <w:rPr>
        <w:rFonts w:hint="default"/>
      </w:rPr>
    </w:lvl>
    <w:lvl w:ilvl="6">
      <w:start w:val="0"/>
      <w:numFmt w:val="bullet"/>
      <w:lvlText w:val="•"/>
      <w:lvlJc w:val="left"/>
      <w:pPr>
        <w:ind w:left="5955" w:hanging="218"/>
      </w:pPr>
      <w:rPr>
        <w:rFonts w:hint="default"/>
      </w:rPr>
    </w:lvl>
    <w:lvl w:ilvl="7">
      <w:start w:val="0"/>
      <w:numFmt w:val="bullet"/>
      <w:lvlText w:val="•"/>
      <w:lvlJc w:val="left"/>
      <w:pPr>
        <w:ind w:left="6817" w:hanging="218"/>
      </w:pPr>
      <w:rPr>
        <w:rFonts w:hint="default"/>
      </w:rPr>
    </w:lvl>
    <w:lvl w:ilvl="8">
      <w:start w:val="0"/>
      <w:numFmt w:val="bullet"/>
      <w:lvlText w:val="•"/>
      <w:lvlJc w:val="left"/>
      <w:pPr>
        <w:ind w:left="7680" w:hanging="218"/>
      </w:pPr>
      <w:rPr>
        <w:rFonts w:hint="default"/>
      </w:rPr>
    </w:lvl>
  </w:abstractNum>
  <w:abstractNum w:abstractNumId="21">
    <w:multiLevelType w:val="hybridMultilevel"/>
    <w:lvl w:ilvl="0">
      <w:start w:val="1"/>
      <w:numFmt w:val="decimal"/>
      <w:lvlText w:val="%1."/>
      <w:lvlJc w:val="left"/>
      <w:pPr>
        <w:ind w:left="774"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8"/>
      </w:pPr>
      <w:rPr>
        <w:rFonts w:hint="default"/>
      </w:rPr>
    </w:lvl>
    <w:lvl w:ilvl="2">
      <w:start w:val="0"/>
      <w:numFmt w:val="bullet"/>
      <w:lvlText w:val="•"/>
      <w:lvlJc w:val="left"/>
      <w:pPr>
        <w:ind w:left="2505" w:hanging="218"/>
      </w:pPr>
      <w:rPr>
        <w:rFonts w:hint="default"/>
      </w:rPr>
    </w:lvl>
    <w:lvl w:ilvl="3">
      <w:start w:val="0"/>
      <w:numFmt w:val="bullet"/>
      <w:lvlText w:val="•"/>
      <w:lvlJc w:val="left"/>
      <w:pPr>
        <w:ind w:left="3367" w:hanging="218"/>
      </w:pPr>
      <w:rPr>
        <w:rFonts w:hint="default"/>
      </w:rPr>
    </w:lvl>
    <w:lvl w:ilvl="4">
      <w:start w:val="0"/>
      <w:numFmt w:val="bullet"/>
      <w:lvlText w:val="•"/>
      <w:lvlJc w:val="left"/>
      <w:pPr>
        <w:ind w:left="4230" w:hanging="218"/>
      </w:pPr>
      <w:rPr>
        <w:rFonts w:hint="default"/>
      </w:rPr>
    </w:lvl>
    <w:lvl w:ilvl="5">
      <w:start w:val="0"/>
      <w:numFmt w:val="bullet"/>
      <w:lvlText w:val="•"/>
      <w:lvlJc w:val="left"/>
      <w:pPr>
        <w:ind w:left="5092" w:hanging="218"/>
      </w:pPr>
      <w:rPr>
        <w:rFonts w:hint="default"/>
      </w:rPr>
    </w:lvl>
    <w:lvl w:ilvl="6">
      <w:start w:val="0"/>
      <w:numFmt w:val="bullet"/>
      <w:lvlText w:val="•"/>
      <w:lvlJc w:val="left"/>
      <w:pPr>
        <w:ind w:left="5955" w:hanging="218"/>
      </w:pPr>
      <w:rPr>
        <w:rFonts w:hint="default"/>
      </w:rPr>
    </w:lvl>
    <w:lvl w:ilvl="7">
      <w:start w:val="0"/>
      <w:numFmt w:val="bullet"/>
      <w:lvlText w:val="•"/>
      <w:lvlJc w:val="left"/>
      <w:pPr>
        <w:ind w:left="6817" w:hanging="218"/>
      </w:pPr>
      <w:rPr>
        <w:rFonts w:hint="default"/>
      </w:rPr>
    </w:lvl>
    <w:lvl w:ilvl="8">
      <w:start w:val="0"/>
      <w:numFmt w:val="bullet"/>
      <w:lvlText w:val="•"/>
      <w:lvlJc w:val="left"/>
      <w:pPr>
        <w:ind w:left="7680" w:hanging="218"/>
      </w:pPr>
      <w:rPr>
        <w:rFonts w:hint="default"/>
      </w:rPr>
    </w:lvl>
  </w:abstractNum>
  <w:abstractNum w:abstractNumId="20">
    <w:multiLevelType w:val="hybridMultilevel"/>
    <w:lvl w:ilvl="0">
      <w:start w:val="20"/>
      <w:numFmt w:val="decimal"/>
      <w:lvlText w:val="%1"/>
      <w:lvlJc w:val="left"/>
      <w:pPr>
        <w:ind w:left="832" w:hanging="436"/>
        <w:jc w:val="left"/>
      </w:pPr>
      <w:rPr>
        <w:rFonts w:hint="default"/>
      </w:rPr>
    </w:lvl>
    <w:lvl w:ilvl="1">
      <w:start w:val="1"/>
      <w:numFmt w:val="decimal"/>
      <w:lvlText w:val="%1.%2"/>
      <w:lvlJc w:val="left"/>
      <w:pPr>
        <w:ind w:left="177"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738" w:hanging="436"/>
      </w:pPr>
      <w:rPr>
        <w:rFonts w:hint="default"/>
      </w:rPr>
    </w:lvl>
    <w:lvl w:ilvl="3">
      <w:start w:val="0"/>
      <w:numFmt w:val="bullet"/>
      <w:lvlText w:val="•"/>
      <w:lvlJc w:val="left"/>
      <w:pPr>
        <w:ind w:left="2636" w:hanging="436"/>
      </w:pPr>
      <w:rPr>
        <w:rFonts w:hint="default"/>
      </w:rPr>
    </w:lvl>
    <w:lvl w:ilvl="4">
      <w:start w:val="0"/>
      <w:numFmt w:val="bullet"/>
      <w:lvlText w:val="•"/>
      <w:lvlJc w:val="left"/>
      <w:pPr>
        <w:ind w:left="3535" w:hanging="436"/>
      </w:pPr>
      <w:rPr>
        <w:rFonts w:hint="default"/>
      </w:rPr>
    </w:lvl>
    <w:lvl w:ilvl="5">
      <w:start w:val="0"/>
      <w:numFmt w:val="bullet"/>
      <w:lvlText w:val="•"/>
      <w:lvlJc w:val="left"/>
      <w:pPr>
        <w:ind w:left="4433" w:hanging="436"/>
      </w:pPr>
      <w:rPr>
        <w:rFonts w:hint="default"/>
      </w:rPr>
    </w:lvl>
    <w:lvl w:ilvl="6">
      <w:start w:val="0"/>
      <w:numFmt w:val="bullet"/>
      <w:lvlText w:val="•"/>
      <w:lvlJc w:val="left"/>
      <w:pPr>
        <w:ind w:left="5331" w:hanging="436"/>
      </w:pPr>
      <w:rPr>
        <w:rFonts w:hint="default"/>
      </w:rPr>
    </w:lvl>
    <w:lvl w:ilvl="7">
      <w:start w:val="0"/>
      <w:numFmt w:val="bullet"/>
      <w:lvlText w:val="•"/>
      <w:lvlJc w:val="left"/>
      <w:pPr>
        <w:ind w:left="6230" w:hanging="436"/>
      </w:pPr>
      <w:rPr>
        <w:rFonts w:hint="default"/>
      </w:rPr>
    </w:lvl>
    <w:lvl w:ilvl="8">
      <w:start w:val="0"/>
      <w:numFmt w:val="bullet"/>
      <w:lvlText w:val="•"/>
      <w:lvlJc w:val="left"/>
      <w:pPr>
        <w:ind w:left="7128" w:hanging="436"/>
      </w:pPr>
      <w:rPr>
        <w:rFonts w:hint="default"/>
      </w:rPr>
    </w:lvl>
  </w:abstractNum>
  <w:abstractNum w:abstractNumId="19">
    <w:multiLevelType w:val="hybridMultilevel"/>
    <w:lvl w:ilvl="0">
      <w:start w:val="19"/>
      <w:numFmt w:val="decimal"/>
      <w:lvlText w:val="%1"/>
      <w:lvlJc w:val="left"/>
      <w:pPr>
        <w:ind w:left="832" w:hanging="436"/>
        <w:jc w:val="left"/>
      </w:pPr>
      <w:rPr>
        <w:rFonts w:hint="default"/>
      </w:rPr>
    </w:lvl>
    <w:lvl w:ilvl="1">
      <w:start w:val="1"/>
      <w:numFmt w:val="decimal"/>
      <w:lvlText w:val="%1.%2"/>
      <w:lvlJc w:val="left"/>
      <w:pPr>
        <w:ind w:left="177"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738" w:hanging="436"/>
      </w:pPr>
      <w:rPr>
        <w:rFonts w:hint="default"/>
      </w:rPr>
    </w:lvl>
    <w:lvl w:ilvl="3">
      <w:start w:val="0"/>
      <w:numFmt w:val="bullet"/>
      <w:lvlText w:val="•"/>
      <w:lvlJc w:val="left"/>
      <w:pPr>
        <w:ind w:left="2636" w:hanging="436"/>
      </w:pPr>
      <w:rPr>
        <w:rFonts w:hint="default"/>
      </w:rPr>
    </w:lvl>
    <w:lvl w:ilvl="4">
      <w:start w:val="0"/>
      <w:numFmt w:val="bullet"/>
      <w:lvlText w:val="•"/>
      <w:lvlJc w:val="left"/>
      <w:pPr>
        <w:ind w:left="3535" w:hanging="436"/>
      </w:pPr>
      <w:rPr>
        <w:rFonts w:hint="default"/>
      </w:rPr>
    </w:lvl>
    <w:lvl w:ilvl="5">
      <w:start w:val="0"/>
      <w:numFmt w:val="bullet"/>
      <w:lvlText w:val="•"/>
      <w:lvlJc w:val="left"/>
      <w:pPr>
        <w:ind w:left="4433" w:hanging="436"/>
      </w:pPr>
      <w:rPr>
        <w:rFonts w:hint="default"/>
      </w:rPr>
    </w:lvl>
    <w:lvl w:ilvl="6">
      <w:start w:val="0"/>
      <w:numFmt w:val="bullet"/>
      <w:lvlText w:val="•"/>
      <w:lvlJc w:val="left"/>
      <w:pPr>
        <w:ind w:left="5331" w:hanging="436"/>
      </w:pPr>
      <w:rPr>
        <w:rFonts w:hint="default"/>
      </w:rPr>
    </w:lvl>
    <w:lvl w:ilvl="7">
      <w:start w:val="0"/>
      <w:numFmt w:val="bullet"/>
      <w:lvlText w:val="•"/>
      <w:lvlJc w:val="left"/>
      <w:pPr>
        <w:ind w:left="6230" w:hanging="436"/>
      </w:pPr>
      <w:rPr>
        <w:rFonts w:hint="default"/>
      </w:rPr>
    </w:lvl>
    <w:lvl w:ilvl="8">
      <w:start w:val="0"/>
      <w:numFmt w:val="bullet"/>
      <w:lvlText w:val="•"/>
      <w:lvlJc w:val="left"/>
      <w:pPr>
        <w:ind w:left="7128" w:hanging="436"/>
      </w:pPr>
      <w:rPr>
        <w:rFonts w:hint="default"/>
      </w:rPr>
    </w:lvl>
  </w:abstractNum>
  <w:abstractNum w:abstractNumId="18">
    <w:multiLevelType w:val="hybridMultilevel"/>
    <w:lvl w:ilvl="0">
      <w:start w:val="18"/>
      <w:numFmt w:val="decimal"/>
      <w:lvlText w:val="%1"/>
      <w:lvlJc w:val="left"/>
      <w:pPr>
        <w:ind w:left="1212" w:hanging="436"/>
        <w:jc w:val="left"/>
      </w:pPr>
      <w:rPr>
        <w:rFonts w:hint="default"/>
      </w:rPr>
    </w:lvl>
    <w:lvl w:ilvl="1">
      <w:start w:val="1"/>
      <w:numFmt w:val="decimal"/>
      <w:lvlText w:val="%1.%2"/>
      <w:lvlJc w:val="left"/>
      <w:pPr>
        <w:ind w:left="177" w:hanging="436"/>
        <w:jc w:val="righ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76" w:hanging="436"/>
      </w:pPr>
      <w:rPr>
        <w:rFonts w:hint="default"/>
      </w:rPr>
    </w:lvl>
    <w:lvl w:ilvl="3">
      <w:start w:val="0"/>
      <w:numFmt w:val="bullet"/>
      <w:lvlText w:val="•"/>
      <w:lvlJc w:val="left"/>
      <w:pPr>
        <w:ind w:left="2932" w:hanging="436"/>
      </w:pPr>
      <w:rPr>
        <w:rFonts w:hint="default"/>
      </w:rPr>
    </w:lvl>
    <w:lvl w:ilvl="4">
      <w:start w:val="0"/>
      <w:numFmt w:val="bullet"/>
      <w:lvlText w:val="•"/>
      <w:lvlJc w:val="left"/>
      <w:pPr>
        <w:ind w:left="3788" w:hanging="436"/>
      </w:pPr>
      <w:rPr>
        <w:rFonts w:hint="default"/>
      </w:rPr>
    </w:lvl>
    <w:lvl w:ilvl="5">
      <w:start w:val="0"/>
      <w:numFmt w:val="bullet"/>
      <w:lvlText w:val="•"/>
      <w:lvlJc w:val="left"/>
      <w:pPr>
        <w:ind w:left="4644" w:hanging="436"/>
      </w:pPr>
      <w:rPr>
        <w:rFonts w:hint="default"/>
      </w:rPr>
    </w:lvl>
    <w:lvl w:ilvl="6">
      <w:start w:val="0"/>
      <w:numFmt w:val="bullet"/>
      <w:lvlText w:val="•"/>
      <w:lvlJc w:val="left"/>
      <w:pPr>
        <w:ind w:left="5500" w:hanging="436"/>
      </w:pPr>
      <w:rPr>
        <w:rFonts w:hint="default"/>
      </w:rPr>
    </w:lvl>
    <w:lvl w:ilvl="7">
      <w:start w:val="0"/>
      <w:numFmt w:val="bullet"/>
      <w:lvlText w:val="•"/>
      <w:lvlJc w:val="left"/>
      <w:pPr>
        <w:ind w:left="6357" w:hanging="436"/>
      </w:pPr>
      <w:rPr>
        <w:rFonts w:hint="default"/>
      </w:rPr>
    </w:lvl>
    <w:lvl w:ilvl="8">
      <w:start w:val="0"/>
      <w:numFmt w:val="bullet"/>
      <w:lvlText w:val="•"/>
      <w:lvlJc w:val="left"/>
      <w:pPr>
        <w:ind w:left="7213" w:hanging="436"/>
      </w:pPr>
      <w:rPr>
        <w:rFonts w:hint="default"/>
      </w:rPr>
    </w:lvl>
  </w:abstractNum>
  <w:abstractNum w:abstractNumId="17">
    <w:multiLevelType w:val="hybridMultilevel"/>
    <w:lvl w:ilvl="0">
      <w:start w:val="17"/>
      <w:numFmt w:val="decimal"/>
      <w:lvlText w:val="%1"/>
      <w:lvlJc w:val="left"/>
      <w:pPr>
        <w:ind w:left="1212" w:hanging="436"/>
        <w:jc w:val="left"/>
      </w:pPr>
      <w:rPr>
        <w:rFonts w:hint="default"/>
      </w:rPr>
    </w:lvl>
    <w:lvl w:ilvl="1">
      <w:start w:val="1"/>
      <w:numFmt w:val="decimal"/>
      <w:lvlText w:val="%1.%2"/>
      <w:lvlJc w:val="left"/>
      <w:pPr>
        <w:ind w:left="557"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76" w:hanging="436"/>
      </w:pPr>
      <w:rPr>
        <w:rFonts w:hint="default"/>
      </w:rPr>
    </w:lvl>
    <w:lvl w:ilvl="3">
      <w:start w:val="0"/>
      <w:numFmt w:val="bullet"/>
      <w:lvlText w:val="•"/>
      <w:lvlJc w:val="left"/>
      <w:pPr>
        <w:ind w:left="2932" w:hanging="436"/>
      </w:pPr>
      <w:rPr>
        <w:rFonts w:hint="default"/>
      </w:rPr>
    </w:lvl>
    <w:lvl w:ilvl="4">
      <w:start w:val="0"/>
      <w:numFmt w:val="bullet"/>
      <w:lvlText w:val="•"/>
      <w:lvlJc w:val="left"/>
      <w:pPr>
        <w:ind w:left="3788" w:hanging="436"/>
      </w:pPr>
      <w:rPr>
        <w:rFonts w:hint="default"/>
      </w:rPr>
    </w:lvl>
    <w:lvl w:ilvl="5">
      <w:start w:val="0"/>
      <w:numFmt w:val="bullet"/>
      <w:lvlText w:val="•"/>
      <w:lvlJc w:val="left"/>
      <w:pPr>
        <w:ind w:left="4644" w:hanging="436"/>
      </w:pPr>
      <w:rPr>
        <w:rFonts w:hint="default"/>
      </w:rPr>
    </w:lvl>
    <w:lvl w:ilvl="6">
      <w:start w:val="0"/>
      <w:numFmt w:val="bullet"/>
      <w:lvlText w:val="•"/>
      <w:lvlJc w:val="left"/>
      <w:pPr>
        <w:ind w:left="5500" w:hanging="436"/>
      </w:pPr>
      <w:rPr>
        <w:rFonts w:hint="default"/>
      </w:rPr>
    </w:lvl>
    <w:lvl w:ilvl="7">
      <w:start w:val="0"/>
      <w:numFmt w:val="bullet"/>
      <w:lvlText w:val="•"/>
      <w:lvlJc w:val="left"/>
      <w:pPr>
        <w:ind w:left="6357" w:hanging="436"/>
      </w:pPr>
      <w:rPr>
        <w:rFonts w:hint="default"/>
      </w:rPr>
    </w:lvl>
    <w:lvl w:ilvl="8">
      <w:start w:val="0"/>
      <w:numFmt w:val="bullet"/>
      <w:lvlText w:val="•"/>
      <w:lvlJc w:val="left"/>
      <w:pPr>
        <w:ind w:left="7213" w:hanging="436"/>
      </w:pPr>
      <w:rPr>
        <w:rFonts w:hint="default"/>
      </w:rPr>
    </w:lvl>
  </w:abstractNum>
  <w:abstractNum w:abstractNumId="16">
    <w:multiLevelType w:val="hybridMultilevel"/>
    <w:lvl w:ilvl="0">
      <w:start w:val="16"/>
      <w:numFmt w:val="decimal"/>
      <w:lvlText w:val="%1"/>
      <w:lvlJc w:val="left"/>
      <w:pPr>
        <w:ind w:left="1212" w:hanging="436"/>
        <w:jc w:val="left"/>
      </w:pPr>
      <w:rPr>
        <w:rFonts w:hint="default"/>
      </w:rPr>
    </w:lvl>
    <w:lvl w:ilvl="1">
      <w:start w:val="1"/>
      <w:numFmt w:val="decimal"/>
      <w:lvlText w:val="%1.%2"/>
      <w:lvlJc w:val="left"/>
      <w:pPr>
        <w:ind w:left="557"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76" w:hanging="436"/>
      </w:pPr>
      <w:rPr>
        <w:rFonts w:hint="default"/>
      </w:rPr>
    </w:lvl>
    <w:lvl w:ilvl="3">
      <w:start w:val="0"/>
      <w:numFmt w:val="bullet"/>
      <w:lvlText w:val="•"/>
      <w:lvlJc w:val="left"/>
      <w:pPr>
        <w:ind w:left="2932" w:hanging="436"/>
      </w:pPr>
      <w:rPr>
        <w:rFonts w:hint="default"/>
      </w:rPr>
    </w:lvl>
    <w:lvl w:ilvl="4">
      <w:start w:val="0"/>
      <w:numFmt w:val="bullet"/>
      <w:lvlText w:val="•"/>
      <w:lvlJc w:val="left"/>
      <w:pPr>
        <w:ind w:left="3788" w:hanging="436"/>
      </w:pPr>
      <w:rPr>
        <w:rFonts w:hint="default"/>
      </w:rPr>
    </w:lvl>
    <w:lvl w:ilvl="5">
      <w:start w:val="0"/>
      <w:numFmt w:val="bullet"/>
      <w:lvlText w:val="•"/>
      <w:lvlJc w:val="left"/>
      <w:pPr>
        <w:ind w:left="4644" w:hanging="436"/>
      </w:pPr>
      <w:rPr>
        <w:rFonts w:hint="default"/>
      </w:rPr>
    </w:lvl>
    <w:lvl w:ilvl="6">
      <w:start w:val="0"/>
      <w:numFmt w:val="bullet"/>
      <w:lvlText w:val="•"/>
      <w:lvlJc w:val="left"/>
      <w:pPr>
        <w:ind w:left="5500" w:hanging="436"/>
      </w:pPr>
      <w:rPr>
        <w:rFonts w:hint="default"/>
      </w:rPr>
    </w:lvl>
    <w:lvl w:ilvl="7">
      <w:start w:val="0"/>
      <w:numFmt w:val="bullet"/>
      <w:lvlText w:val="•"/>
      <w:lvlJc w:val="left"/>
      <w:pPr>
        <w:ind w:left="6357" w:hanging="436"/>
      </w:pPr>
      <w:rPr>
        <w:rFonts w:hint="default"/>
      </w:rPr>
    </w:lvl>
    <w:lvl w:ilvl="8">
      <w:start w:val="0"/>
      <w:numFmt w:val="bullet"/>
      <w:lvlText w:val="•"/>
      <w:lvlJc w:val="left"/>
      <w:pPr>
        <w:ind w:left="7213" w:hanging="436"/>
      </w:pPr>
      <w:rPr>
        <w:rFonts w:hint="default"/>
      </w:rPr>
    </w:lvl>
  </w:abstractNum>
  <w:abstractNum w:abstractNumId="15">
    <w:multiLevelType w:val="hybridMultilevel"/>
    <w:lvl w:ilvl="0">
      <w:start w:val="15"/>
      <w:numFmt w:val="decimal"/>
      <w:lvlText w:val="%1"/>
      <w:lvlJc w:val="left"/>
      <w:pPr>
        <w:ind w:left="1212" w:hanging="436"/>
        <w:jc w:val="left"/>
      </w:pPr>
      <w:rPr>
        <w:rFonts w:hint="default"/>
      </w:rPr>
    </w:lvl>
    <w:lvl w:ilvl="1">
      <w:start w:val="1"/>
      <w:numFmt w:val="decimal"/>
      <w:lvlText w:val="%1.%2"/>
      <w:lvlJc w:val="left"/>
      <w:pPr>
        <w:ind w:left="557"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76" w:hanging="436"/>
      </w:pPr>
      <w:rPr>
        <w:rFonts w:hint="default"/>
      </w:rPr>
    </w:lvl>
    <w:lvl w:ilvl="3">
      <w:start w:val="0"/>
      <w:numFmt w:val="bullet"/>
      <w:lvlText w:val="•"/>
      <w:lvlJc w:val="left"/>
      <w:pPr>
        <w:ind w:left="2932" w:hanging="436"/>
      </w:pPr>
      <w:rPr>
        <w:rFonts w:hint="default"/>
      </w:rPr>
    </w:lvl>
    <w:lvl w:ilvl="4">
      <w:start w:val="0"/>
      <w:numFmt w:val="bullet"/>
      <w:lvlText w:val="•"/>
      <w:lvlJc w:val="left"/>
      <w:pPr>
        <w:ind w:left="3788" w:hanging="436"/>
      </w:pPr>
      <w:rPr>
        <w:rFonts w:hint="default"/>
      </w:rPr>
    </w:lvl>
    <w:lvl w:ilvl="5">
      <w:start w:val="0"/>
      <w:numFmt w:val="bullet"/>
      <w:lvlText w:val="•"/>
      <w:lvlJc w:val="left"/>
      <w:pPr>
        <w:ind w:left="4644" w:hanging="436"/>
      </w:pPr>
      <w:rPr>
        <w:rFonts w:hint="default"/>
      </w:rPr>
    </w:lvl>
    <w:lvl w:ilvl="6">
      <w:start w:val="0"/>
      <w:numFmt w:val="bullet"/>
      <w:lvlText w:val="•"/>
      <w:lvlJc w:val="left"/>
      <w:pPr>
        <w:ind w:left="5500" w:hanging="436"/>
      </w:pPr>
      <w:rPr>
        <w:rFonts w:hint="default"/>
      </w:rPr>
    </w:lvl>
    <w:lvl w:ilvl="7">
      <w:start w:val="0"/>
      <w:numFmt w:val="bullet"/>
      <w:lvlText w:val="•"/>
      <w:lvlJc w:val="left"/>
      <w:pPr>
        <w:ind w:left="6357" w:hanging="436"/>
      </w:pPr>
      <w:rPr>
        <w:rFonts w:hint="default"/>
      </w:rPr>
    </w:lvl>
    <w:lvl w:ilvl="8">
      <w:start w:val="0"/>
      <w:numFmt w:val="bullet"/>
      <w:lvlText w:val="•"/>
      <w:lvlJc w:val="left"/>
      <w:pPr>
        <w:ind w:left="7213" w:hanging="436"/>
      </w:pPr>
      <w:rPr>
        <w:rFonts w:hint="default"/>
      </w:rPr>
    </w:lvl>
  </w:abstractNum>
  <w:abstractNum w:abstractNumId="14">
    <w:multiLevelType w:val="hybridMultilevel"/>
    <w:lvl w:ilvl="0">
      <w:start w:val="14"/>
      <w:numFmt w:val="decimal"/>
      <w:lvlText w:val="%1"/>
      <w:lvlJc w:val="left"/>
      <w:pPr>
        <w:ind w:left="1212" w:hanging="436"/>
        <w:jc w:val="left"/>
      </w:pPr>
      <w:rPr>
        <w:rFonts w:hint="default"/>
      </w:rPr>
    </w:lvl>
    <w:lvl w:ilvl="1">
      <w:start w:val="1"/>
      <w:numFmt w:val="decimal"/>
      <w:lvlText w:val="%1.%2"/>
      <w:lvlJc w:val="left"/>
      <w:pPr>
        <w:ind w:left="557"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76" w:hanging="436"/>
      </w:pPr>
      <w:rPr>
        <w:rFonts w:hint="default"/>
      </w:rPr>
    </w:lvl>
    <w:lvl w:ilvl="3">
      <w:start w:val="0"/>
      <w:numFmt w:val="bullet"/>
      <w:lvlText w:val="•"/>
      <w:lvlJc w:val="left"/>
      <w:pPr>
        <w:ind w:left="2932" w:hanging="436"/>
      </w:pPr>
      <w:rPr>
        <w:rFonts w:hint="default"/>
      </w:rPr>
    </w:lvl>
    <w:lvl w:ilvl="4">
      <w:start w:val="0"/>
      <w:numFmt w:val="bullet"/>
      <w:lvlText w:val="•"/>
      <w:lvlJc w:val="left"/>
      <w:pPr>
        <w:ind w:left="3788" w:hanging="436"/>
      </w:pPr>
      <w:rPr>
        <w:rFonts w:hint="default"/>
      </w:rPr>
    </w:lvl>
    <w:lvl w:ilvl="5">
      <w:start w:val="0"/>
      <w:numFmt w:val="bullet"/>
      <w:lvlText w:val="•"/>
      <w:lvlJc w:val="left"/>
      <w:pPr>
        <w:ind w:left="4644" w:hanging="436"/>
      </w:pPr>
      <w:rPr>
        <w:rFonts w:hint="default"/>
      </w:rPr>
    </w:lvl>
    <w:lvl w:ilvl="6">
      <w:start w:val="0"/>
      <w:numFmt w:val="bullet"/>
      <w:lvlText w:val="•"/>
      <w:lvlJc w:val="left"/>
      <w:pPr>
        <w:ind w:left="5500" w:hanging="436"/>
      </w:pPr>
      <w:rPr>
        <w:rFonts w:hint="default"/>
      </w:rPr>
    </w:lvl>
    <w:lvl w:ilvl="7">
      <w:start w:val="0"/>
      <w:numFmt w:val="bullet"/>
      <w:lvlText w:val="•"/>
      <w:lvlJc w:val="left"/>
      <w:pPr>
        <w:ind w:left="6357" w:hanging="436"/>
      </w:pPr>
      <w:rPr>
        <w:rFonts w:hint="default"/>
      </w:rPr>
    </w:lvl>
    <w:lvl w:ilvl="8">
      <w:start w:val="0"/>
      <w:numFmt w:val="bullet"/>
      <w:lvlText w:val="•"/>
      <w:lvlJc w:val="left"/>
      <w:pPr>
        <w:ind w:left="7213" w:hanging="436"/>
      </w:pPr>
      <w:rPr>
        <w:rFonts w:hint="default"/>
      </w:rPr>
    </w:lvl>
  </w:abstractNum>
  <w:abstractNum w:abstractNumId="13">
    <w:multiLevelType w:val="hybridMultilevel"/>
    <w:lvl w:ilvl="0">
      <w:start w:val="13"/>
      <w:numFmt w:val="decimal"/>
      <w:lvlText w:val="%1"/>
      <w:lvlJc w:val="left"/>
      <w:pPr>
        <w:ind w:left="832" w:hanging="436"/>
        <w:jc w:val="left"/>
      </w:pPr>
      <w:rPr>
        <w:rFonts w:hint="default"/>
      </w:rPr>
    </w:lvl>
    <w:lvl w:ilvl="1">
      <w:start w:val="1"/>
      <w:numFmt w:val="decimal"/>
      <w:lvlText w:val="%1.%2"/>
      <w:lvlJc w:val="left"/>
      <w:pPr>
        <w:ind w:left="557" w:hanging="436"/>
        <w:jc w:val="righ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738" w:hanging="436"/>
      </w:pPr>
      <w:rPr>
        <w:rFonts w:hint="default"/>
      </w:rPr>
    </w:lvl>
    <w:lvl w:ilvl="3">
      <w:start w:val="0"/>
      <w:numFmt w:val="bullet"/>
      <w:lvlText w:val="•"/>
      <w:lvlJc w:val="left"/>
      <w:pPr>
        <w:ind w:left="2636" w:hanging="436"/>
      </w:pPr>
      <w:rPr>
        <w:rFonts w:hint="default"/>
      </w:rPr>
    </w:lvl>
    <w:lvl w:ilvl="4">
      <w:start w:val="0"/>
      <w:numFmt w:val="bullet"/>
      <w:lvlText w:val="•"/>
      <w:lvlJc w:val="left"/>
      <w:pPr>
        <w:ind w:left="3535" w:hanging="436"/>
      </w:pPr>
      <w:rPr>
        <w:rFonts w:hint="default"/>
      </w:rPr>
    </w:lvl>
    <w:lvl w:ilvl="5">
      <w:start w:val="0"/>
      <w:numFmt w:val="bullet"/>
      <w:lvlText w:val="•"/>
      <w:lvlJc w:val="left"/>
      <w:pPr>
        <w:ind w:left="4433" w:hanging="436"/>
      </w:pPr>
      <w:rPr>
        <w:rFonts w:hint="default"/>
      </w:rPr>
    </w:lvl>
    <w:lvl w:ilvl="6">
      <w:start w:val="0"/>
      <w:numFmt w:val="bullet"/>
      <w:lvlText w:val="•"/>
      <w:lvlJc w:val="left"/>
      <w:pPr>
        <w:ind w:left="5331" w:hanging="436"/>
      </w:pPr>
      <w:rPr>
        <w:rFonts w:hint="default"/>
      </w:rPr>
    </w:lvl>
    <w:lvl w:ilvl="7">
      <w:start w:val="0"/>
      <w:numFmt w:val="bullet"/>
      <w:lvlText w:val="•"/>
      <w:lvlJc w:val="left"/>
      <w:pPr>
        <w:ind w:left="6230" w:hanging="436"/>
      </w:pPr>
      <w:rPr>
        <w:rFonts w:hint="default"/>
      </w:rPr>
    </w:lvl>
    <w:lvl w:ilvl="8">
      <w:start w:val="0"/>
      <w:numFmt w:val="bullet"/>
      <w:lvlText w:val="•"/>
      <w:lvlJc w:val="left"/>
      <w:pPr>
        <w:ind w:left="7128" w:hanging="436"/>
      </w:pPr>
      <w:rPr>
        <w:rFonts w:hint="default"/>
      </w:rPr>
    </w:lvl>
  </w:abstractNum>
  <w:abstractNum w:abstractNumId="12">
    <w:multiLevelType w:val="hybridMultilevel"/>
    <w:lvl w:ilvl="0">
      <w:start w:val="12"/>
      <w:numFmt w:val="decimal"/>
      <w:lvlText w:val="%1"/>
      <w:lvlJc w:val="left"/>
      <w:pPr>
        <w:ind w:left="832" w:hanging="436"/>
        <w:jc w:val="left"/>
      </w:pPr>
      <w:rPr>
        <w:rFonts w:hint="default"/>
      </w:rPr>
    </w:lvl>
    <w:lvl w:ilvl="1">
      <w:start w:val="1"/>
      <w:numFmt w:val="decimal"/>
      <w:lvlText w:val="%1.%2"/>
      <w:lvlJc w:val="left"/>
      <w:pPr>
        <w:ind w:left="177"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738" w:hanging="436"/>
      </w:pPr>
      <w:rPr>
        <w:rFonts w:hint="default"/>
      </w:rPr>
    </w:lvl>
    <w:lvl w:ilvl="3">
      <w:start w:val="0"/>
      <w:numFmt w:val="bullet"/>
      <w:lvlText w:val="•"/>
      <w:lvlJc w:val="left"/>
      <w:pPr>
        <w:ind w:left="2636" w:hanging="436"/>
      </w:pPr>
      <w:rPr>
        <w:rFonts w:hint="default"/>
      </w:rPr>
    </w:lvl>
    <w:lvl w:ilvl="4">
      <w:start w:val="0"/>
      <w:numFmt w:val="bullet"/>
      <w:lvlText w:val="•"/>
      <w:lvlJc w:val="left"/>
      <w:pPr>
        <w:ind w:left="3535" w:hanging="436"/>
      </w:pPr>
      <w:rPr>
        <w:rFonts w:hint="default"/>
      </w:rPr>
    </w:lvl>
    <w:lvl w:ilvl="5">
      <w:start w:val="0"/>
      <w:numFmt w:val="bullet"/>
      <w:lvlText w:val="•"/>
      <w:lvlJc w:val="left"/>
      <w:pPr>
        <w:ind w:left="4433" w:hanging="436"/>
      </w:pPr>
      <w:rPr>
        <w:rFonts w:hint="default"/>
      </w:rPr>
    </w:lvl>
    <w:lvl w:ilvl="6">
      <w:start w:val="0"/>
      <w:numFmt w:val="bullet"/>
      <w:lvlText w:val="•"/>
      <w:lvlJc w:val="left"/>
      <w:pPr>
        <w:ind w:left="5331" w:hanging="436"/>
      </w:pPr>
      <w:rPr>
        <w:rFonts w:hint="default"/>
      </w:rPr>
    </w:lvl>
    <w:lvl w:ilvl="7">
      <w:start w:val="0"/>
      <w:numFmt w:val="bullet"/>
      <w:lvlText w:val="•"/>
      <w:lvlJc w:val="left"/>
      <w:pPr>
        <w:ind w:left="6230" w:hanging="436"/>
      </w:pPr>
      <w:rPr>
        <w:rFonts w:hint="default"/>
      </w:rPr>
    </w:lvl>
    <w:lvl w:ilvl="8">
      <w:start w:val="0"/>
      <w:numFmt w:val="bullet"/>
      <w:lvlText w:val="•"/>
      <w:lvlJc w:val="left"/>
      <w:pPr>
        <w:ind w:left="7128" w:hanging="436"/>
      </w:pPr>
      <w:rPr>
        <w:rFonts w:hint="default"/>
      </w:rPr>
    </w:lvl>
  </w:abstractNum>
  <w:abstractNum w:abstractNumId="11">
    <w:multiLevelType w:val="hybridMultilevel"/>
    <w:lvl w:ilvl="0">
      <w:start w:val="11"/>
      <w:numFmt w:val="decimal"/>
      <w:lvlText w:val="%1"/>
      <w:lvlJc w:val="left"/>
      <w:pPr>
        <w:ind w:left="832" w:hanging="436"/>
        <w:jc w:val="left"/>
      </w:pPr>
      <w:rPr>
        <w:rFonts w:hint="default"/>
      </w:rPr>
    </w:lvl>
    <w:lvl w:ilvl="1">
      <w:start w:val="1"/>
      <w:numFmt w:val="decimal"/>
      <w:lvlText w:val="%1.%2"/>
      <w:lvlJc w:val="left"/>
      <w:pPr>
        <w:ind w:left="832"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457" w:hanging="436"/>
      </w:pPr>
      <w:rPr>
        <w:rFonts w:hint="default"/>
      </w:rPr>
    </w:lvl>
    <w:lvl w:ilvl="3">
      <w:start w:val="0"/>
      <w:numFmt w:val="bullet"/>
      <w:lvlText w:val="•"/>
      <w:lvlJc w:val="left"/>
      <w:pPr>
        <w:ind w:left="3265" w:hanging="436"/>
      </w:pPr>
      <w:rPr>
        <w:rFonts w:hint="default"/>
      </w:rPr>
    </w:lvl>
    <w:lvl w:ilvl="4">
      <w:start w:val="0"/>
      <w:numFmt w:val="bullet"/>
      <w:lvlText w:val="•"/>
      <w:lvlJc w:val="left"/>
      <w:pPr>
        <w:ind w:left="4074" w:hanging="436"/>
      </w:pPr>
      <w:rPr>
        <w:rFonts w:hint="default"/>
      </w:rPr>
    </w:lvl>
    <w:lvl w:ilvl="5">
      <w:start w:val="0"/>
      <w:numFmt w:val="bullet"/>
      <w:lvlText w:val="•"/>
      <w:lvlJc w:val="left"/>
      <w:pPr>
        <w:ind w:left="4882" w:hanging="436"/>
      </w:pPr>
      <w:rPr>
        <w:rFonts w:hint="default"/>
      </w:rPr>
    </w:lvl>
    <w:lvl w:ilvl="6">
      <w:start w:val="0"/>
      <w:numFmt w:val="bullet"/>
      <w:lvlText w:val="•"/>
      <w:lvlJc w:val="left"/>
      <w:pPr>
        <w:ind w:left="5691" w:hanging="436"/>
      </w:pPr>
      <w:rPr>
        <w:rFonts w:hint="default"/>
      </w:rPr>
    </w:lvl>
    <w:lvl w:ilvl="7">
      <w:start w:val="0"/>
      <w:numFmt w:val="bullet"/>
      <w:lvlText w:val="•"/>
      <w:lvlJc w:val="left"/>
      <w:pPr>
        <w:ind w:left="6499" w:hanging="436"/>
      </w:pPr>
      <w:rPr>
        <w:rFonts w:hint="default"/>
      </w:rPr>
    </w:lvl>
    <w:lvl w:ilvl="8">
      <w:start w:val="0"/>
      <w:numFmt w:val="bullet"/>
      <w:lvlText w:val="•"/>
      <w:lvlJc w:val="left"/>
      <w:pPr>
        <w:ind w:left="7308" w:hanging="436"/>
      </w:pPr>
      <w:rPr>
        <w:rFonts w:hint="default"/>
      </w:rPr>
    </w:lvl>
  </w:abstractNum>
  <w:abstractNum w:abstractNumId="10">
    <w:multiLevelType w:val="hybridMultilevel"/>
    <w:lvl w:ilvl="0">
      <w:start w:val="10"/>
      <w:numFmt w:val="decimal"/>
      <w:lvlText w:val="%1"/>
      <w:lvlJc w:val="left"/>
      <w:pPr>
        <w:ind w:left="832" w:hanging="436"/>
        <w:jc w:val="left"/>
      </w:pPr>
      <w:rPr>
        <w:rFonts w:hint="default"/>
      </w:rPr>
    </w:lvl>
    <w:lvl w:ilvl="1">
      <w:start w:val="1"/>
      <w:numFmt w:val="decimal"/>
      <w:lvlText w:val="%1.%2"/>
      <w:lvlJc w:val="left"/>
      <w:pPr>
        <w:ind w:left="832"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457" w:hanging="436"/>
      </w:pPr>
      <w:rPr>
        <w:rFonts w:hint="default"/>
      </w:rPr>
    </w:lvl>
    <w:lvl w:ilvl="3">
      <w:start w:val="0"/>
      <w:numFmt w:val="bullet"/>
      <w:lvlText w:val="•"/>
      <w:lvlJc w:val="left"/>
      <w:pPr>
        <w:ind w:left="3265" w:hanging="436"/>
      </w:pPr>
      <w:rPr>
        <w:rFonts w:hint="default"/>
      </w:rPr>
    </w:lvl>
    <w:lvl w:ilvl="4">
      <w:start w:val="0"/>
      <w:numFmt w:val="bullet"/>
      <w:lvlText w:val="•"/>
      <w:lvlJc w:val="left"/>
      <w:pPr>
        <w:ind w:left="4074" w:hanging="436"/>
      </w:pPr>
      <w:rPr>
        <w:rFonts w:hint="default"/>
      </w:rPr>
    </w:lvl>
    <w:lvl w:ilvl="5">
      <w:start w:val="0"/>
      <w:numFmt w:val="bullet"/>
      <w:lvlText w:val="•"/>
      <w:lvlJc w:val="left"/>
      <w:pPr>
        <w:ind w:left="4882" w:hanging="436"/>
      </w:pPr>
      <w:rPr>
        <w:rFonts w:hint="default"/>
      </w:rPr>
    </w:lvl>
    <w:lvl w:ilvl="6">
      <w:start w:val="0"/>
      <w:numFmt w:val="bullet"/>
      <w:lvlText w:val="•"/>
      <w:lvlJc w:val="left"/>
      <w:pPr>
        <w:ind w:left="5691" w:hanging="436"/>
      </w:pPr>
      <w:rPr>
        <w:rFonts w:hint="default"/>
      </w:rPr>
    </w:lvl>
    <w:lvl w:ilvl="7">
      <w:start w:val="0"/>
      <w:numFmt w:val="bullet"/>
      <w:lvlText w:val="•"/>
      <w:lvlJc w:val="left"/>
      <w:pPr>
        <w:ind w:left="6499" w:hanging="436"/>
      </w:pPr>
      <w:rPr>
        <w:rFonts w:hint="default"/>
      </w:rPr>
    </w:lvl>
    <w:lvl w:ilvl="8">
      <w:start w:val="0"/>
      <w:numFmt w:val="bullet"/>
      <w:lvlText w:val="•"/>
      <w:lvlJc w:val="left"/>
      <w:pPr>
        <w:ind w:left="7308" w:hanging="436"/>
      </w:pPr>
      <w:rPr>
        <w:rFonts w:hint="default"/>
      </w:rPr>
    </w:lvl>
  </w:abstractNum>
  <w:abstractNum w:abstractNumId="9">
    <w:multiLevelType w:val="hybridMultilevel"/>
    <w:lvl w:ilvl="0">
      <w:start w:val="9"/>
      <w:numFmt w:val="decimal"/>
      <w:lvlText w:val="%1"/>
      <w:lvlJc w:val="left"/>
      <w:pPr>
        <w:ind w:left="723" w:hanging="327"/>
        <w:jc w:val="left"/>
      </w:pPr>
      <w:rPr>
        <w:rFonts w:hint="default"/>
      </w:rPr>
    </w:lvl>
    <w:lvl w:ilvl="1">
      <w:start w:val="1"/>
      <w:numFmt w:val="decimal"/>
      <w:lvlText w:val="%1.%2"/>
      <w:lvlJc w:val="left"/>
      <w:pPr>
        <w:ind w:left="177"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631" w:hanging="327"/>
      </w:pPr>
      <w:rPr>
        <w:rFonts w:hint="default"/>
      </w:rPr>
    </w:lvl>
    <w:lvl w:ilvl="3">
      <w:start w:val="0"/>
      <w:numFmt w:val="bullet"/>
      <w:lvlText w:val="•"/>
      <w:lvlJc w:val="left"/>
      <w:pPr>
        <w:ind w:left="2543" w:hanging="327"/>
      </w:pPr>
      <w:rPr>
        <w:rFonts w:hint="default"/>
      </w:rPr>
    </w:lvl>
    <w:lvl w:ilvl="4">
      <w:start w:val="0"/>
      <w:numFmt w:val="bullet"/>
      <w:lvlText w:val="•"/>
      <w:lvlJc w:val="left"/>
      <w:pPr>
        <w:ind w:left="3455" w:hanging="327"/>
      </w:pPr>
      <w:rPr>
        <w:rFonts w:hint="default"/>
      </w:rPr>
    </w:lvl>
    <w:lvl w:ilvl="5">
      <w:start w:val="0"/>
      <w:numFmt w:val="bullet"/>
      <w:lvlText w:val="•"/>
      <w:lvlJc w:val="left"/>
      <w:pPr>
        <w:ind w:left="4366" w:hanging="327"/>
      </w:pPr>
      <w:rPr>
        <w:rFonts w:hint="default"/>
      </w:rPr>
    </w:lvl>
    <w:lvl w:ilvl="6">
      <w:start w:val="0"/>
      <w:numFmt w:val="bullet"/>
      <w:lvlText w:val="•"/>
      <w:lvlJc w:val="left"/>
      <w:pPr>
        <w:ind w:left="5278" w:hanging="327"/>
      </w:pPr>
      <w:rPr>
        <w:rFonts w:hint="default"/>
      </w:rPr>
    </w:lvl>
    <w:lvl w:ilvl="7">
      <w:start w:val="0"/>
      <w:numFmt w:val="bullet"/>
      <w:lvlText w:val="•"/>
      <w:lvlJc w:val="left"/>
      <w:pPr>
        <w:ind w:left="6190" w:hanging="327"/>
      </w:pPr>
      <w:rPr>
        <w:rFonts w:hint="default"/>
      </w:rPr>
    </w:lvl>
    <w:lvl w:ilvl="8">
      <w:start w:val="0"/>
      <w:numFmt w:val="bullet"/>
      <w:lvlText w:val="•"/>
      <w:lvlJc w:val="left"/>
      <w:pPr>
        <w:ind w:left="7102" w:hanging="327"/>
      </w:pPr>
      <w:rPr>
        <w:rFonts w:hint="default"/>
      </w:rPr>
    </w:lvl>
  </w:abstractNum>
  <w:abstractNum w:abstractNumId="8">
    <w:multiLevelType w:val="hybridMultilevel"/>
    <w:lvl w:ilvl="0">
      <w:start w:val="8"/>
      <w:numFmt w:val="decimal"/>
      <w:lvlText w:val="%1"/>
      <w:lvlJc w:val="left"/>
      <w:pPr>
        <w:ind w:left="1103" w:hanging="327"/>
        <w:jc w:val="left"/>
      </w:pPr>
      <w:rPr>
        <w:rFonts w:hint="default"/>
      </w:rPr>
    </w:lvl>
    <w:lvl w:ilvl="1">
      <w:start w:val="1"/>
      <w:numFmt w:val="decimal"/>
      <w:lvlText w:val="%1.%2"/>
      <w:lvlJc w:val="left"/>
      <w:pPr>
        <w:ind w:left="1103" w:hanging="327"/>
        <w:jc w:val="righ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65" w:hanging="327"/>
      </w:pPr>
      <w:rPr>
        <w:rFonts w:hint="default"/>
      </w:rPr>
    </w:lvl>
    <w:lvl w:ilvl="3">
      <w:start w:val="0"/>
      <w:numFmt w:val="bullet"/>
      <w:lvlText w:val="•"/>
      <w:lvlJc w:val="left"/>
      <w:pPr>
        <w:ind w:left="3447" w:hanging="327"/>
      </w:pPr>
      <w:rPr>
        <w:rFonts w:hint="default"/>
      </w:rPr>
    </w:lvl>
    <w:lvl w:ilvl="4">
      <w:start w:val="0"/>
      <w:numFmt w:val="bullet"/>
      <w:lvlText w:val="•"/>
      <w:lvlJc w:val="left"/>
      <w:pPr>
        <w:ind w:left="4230" w:hanging="327"/>
      </w:pPr>
      <w:rPr>
        <w:rFonts w:hint="default"/>
      </w:rPr>
    </w:lvl>
    <w:lvl w:ilvl="5">
      <w:start w:val="0"/>
      <w:numFmt w:val="bullet"/>
      <w:lvlText w:val="•"/>
      <w:lvlJc w:val="left"/>
      <w:pPr>
        <w:ind w:left="5012" w:hanging="327"/>
      </w:pPr>
      <w:rPr>
        <w:rFonts w:hint="default"/>
      </w:rPr>
    </w:lvl>
    <w:lvl w:ilvl="6">
      <w:start w:val="0"/>
      <w:numFmt w:val="bullet"/>
      <w:lvlText w:val="•"/>
      <w:lvlJc w:val="left"/>
      <w:pPr>
        <w:ind w:left="5795" w:hanging="327"/>
      </w:pPr>
      <w:rPr>
        <w:rFonts w:hint="default"/>
      </w:rPr>
    </w:lvl>
    <w:lvl w:ilvl="7">
      <w:start w:val="0"/>
      <w:numFmt w:val="bullet"/>
      <w:lvlText w:val="•"/>
      <w:lvlJc w:val="left"/>
      <w:pPr>
        <w:ind w:left="6577" w:hanging="327"/>
      </w:pPr>
      <w:rPr>
        <w:rFonts w:hint="default"/>
      </w:rPr>
    </w:lvl>
    <w:lvl w:ilvl="8">
      <w:start w:val="0"/>
      <w:numFmt w:val="bullet"/>
      <w:lvlText w:val="•"/>
      <w:lvlJc w:val="left"/>
      <w:pPr>
        <w:ind w:left="7360" w:hanging="327"/>
      </w:pPr>
      <w:rPr>
        <w:rFonts w:hint="default"/>
      </w:rPr>
    </w:lvl>
  </w:abstractNum>
  <w:abstractNum w:abstractNumId="7">
    <w:multiLevelType w:val="hybridMultilevel"/>
    <w:lvl w:ilvl="0">
      <w:start w:val="7"/>
      <w:numFmt w:val="decimal"/>
      <w:lvlText w:val="%1"/>
      <w:lvlJc w:val="left"/>
      <w:pPr>
        <w:ind w:left="1103" w:hanging="327"/>
        <w:jc w:val="left"/>
      </w:pPr>
      <w:rPr>
        <w:rFonts w:hint="default"/>
      </w:rPr>
    </w:lvl>
    <w:lvl w:ilvl="1">
      <w:start w:val="1"/>
      <w:numFmt w:val="decimal"/>
      <w:lvlText w:val="%1.%2"/>
      <w:lvlJc w:val="left"/>
      <w:pPr>
        <w:ind w:left="110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65" w:hanging="327"/>
      </w:pPr>
      <w:rPr>
        <w:rFonts w:hint="default"/>
      </w:rPr>
    </w:lvl>
    <w:lvl w:ilvl="3">
      <w:start w:val="0"/>
      <w:numFmt w:val="bullet"/>
      <w:lvlText w:val="•"/>
      <w:lvlJc w:val="left"/>
      <w:pPr>
        <w:ind w:left="3447" w:hanging="327"/>
      </w:pPr>
      <w:rPr>
        <w:rFonts w:hint="default"/>
      </w:rPr>
    </w:lvl>
    <w:lvl w:ilvl="4">
      <w:start w:val="0"/>
      <w:numFmt w:val="bullet"/>
      <w:lvlText w:val="•"/>
      <w:lvlJc w:val="left"/>
      <w:pPr>
        <w:ind w:left="4230" w:hanging="327"/>
      </w:pPr>
      <w:rPr>
        <w:rFonts w:hint="default"/>
      </w:rPr>
    </w:lvl>
    <w:lvl w:ilvl="5">
      <w:start w:val="0"/>
      <w:numFmt w:val="bullet"/>
      <w:lvlText w:val="•"/>
      <w:lvlJc w:val="left"/>
      <w:pPr>
        <w:ind w:left="5012" w:hanging="327"/>
      </w:pPr>
      <w:rPr>
        <w:rFonts w:hint="default"/>
      </w:rPr>
    </w:lvl>
    <w:lvl w:ilvl="6">
      <w:start w:val="0"/>
      <w:numFmt w:val="bullet"/>
      <w:lvlText w:val="•"/>
      <w:lvlJc w:val="left"/>
      <w:pPr>
        <w:ind w:left="5795" w:hanging="327"/>
      </w:pPr>
      <w:rPr>
        <w:rFonts w:hint="default"/>
      </w:rPr>
    </w:lvl>
    <w:lvl w:ilvl="7">
      <w:start w:val="0"/>
      <w:numFmt w:val="bullet"/>
      <w:lvlText w:val="•"/>
      <w:lvlJc w:val="left"/>
      <w:pPr>
        <w:ind w:left="6577" w:hanging="327"/>
      </w:pPr>
      <w:rPr>
        <w:rFonts w:hint="default"/>
      </w:rPr>
    </w:lvl>
    <w:lvl w:ilvl="8">
      <w:start w:val="0"/>
      <w:numFmt w:val="bullet"/>
      <w:lvlText w:val="•"/>
      <w:lvlJc w:val="left"/>
      <w:pPr>
        <w:ind w:left="7360" w:hanging="327"/>
      </w:pPr>
      <w:rPr>
        <w:rFonts w:hint="default"/>
      </w:rPr>
    </w:lvl>
  </w:abstractNum>
  <w:abstractNum w:abstractNumId="6">
    <w:multiLevelType w:val="hybridMultilevel"/>
    <w:lvl w:ilvl="0">
      <w:start w:val="6"/>
      <w:numFmt w:val="decimal"/>
      <w:lvlText w:val="%1"/>
      <w:lvlJc w:val="left"/>
      <w:pPr>
        <w:ind w:left="1103" w:hanging="327"/>
        <w:jc w:val="left"/>
      </w:pPr>
      <w:rPr>
        <w:rFonts w:hint="default"/>
      </w:rPr>
    </w:lvl>
    <w:lvl w:ilvl="1">
      <w:start w:val="1"/>
      <w:numFmt w:val="decimal"/>
      <w:lvlText w:val="%1.%2"/>
      <w:lvlJc w:val="left"/>
      <w:pPr>
        <w:ind w:left="557"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69" w:hanging="327"/>
      </w:pPr>
      <w:rPr>
        <w:rFonts w:hint="default"/>
      </w:rPr>
    </w:lvl>
    <w:lvl w:ilvl="3">
      <w:start w:val="0"/>
      <w:numFmt w:val="bullet"/>
      <w:lvlText w:val="•"/>
      <w:lvlJc w:val="left"/>
      <w:pPr>
        <w:ind w:left="2839" w:hanging="327"/>
      </w:pPr>
      <w:rPr>
        <w:rFonts w:hint="default"/>
      </w:rPr>
    </w:lvl>
    <w:lvl w:ilvl="4">
      <w:start w:val="0"/>
      <w:numFmt w:val="bullet"/>
      <w:lvlText w:val="•"/>
      <w:lvlJc w:val="left"/>
      <w:pPr>
        <w:ind w:left="3708" w:hanging="327"/>
      </w:pPr>
      <w:rPr>
        <w:rFonts w:hint="default"/>
      </w:rPr>
    </w:lvl>
    <w:lvl w:ilvl="5">
      <w:start w:val="0"/>
      <w:numFmt w:val="bullet"/>
      <w:lvlText w:val="•"/>
      <w:lvlJc w:val="left"/>
      <w:pPr>
        <w:ind w:left="4578" w:hanging="327"/>
      </w:pPr>
      <w:rPr>
        <w:rFonts w:hint="default"/>
      </w:rPr>
    </w:lvl>
    <w:lvl w:ilvl="6">
      <w:start w:val="0"/>
      <w:numFmt w:val="bullet"/>
      <w:lvlText w:val="•"/>
      <w:lvlJc w:val="left"/>
      <w:pPr>
        <w:ind w:left="5447" w:hanging="327"/>
      </w:pPr>
      <w:rPr>
        <w:rFonts w:hint="default"/>
      </w:rPr>
    </w:lvl>
    <w:lvl w:ilvl="7">
      <w:start w:val="0"/>
      <w:numFmt w:val="bullet"/>
      <w:lvlText w:val="•"/>
      <w:lvlJc w:val="left"/>
      <w:pPr>
        <w:ind w:left="6317" w:hanging="327"/>
      </w:pPr>
      <w:rPr>
        <w:rFonts w:hint="default"/>
      </w:rPr>
    </w:lvl>
    <w:lvl w:ilvl="8">
      <w:start w:val="0"/>
      <w:numFmt w:val="bullet"/>
      <w:lvlText w:val="•"/>
      <w:lvlJc w:val="left"/>
      <w:pPr>
        <w:ind w:left="7186" w:hanging="327"/>
      </w:pPr>
      <w:rPr>
        <w:rFonts w:hint="default"/>
      </w:rPr>
    </w:lvl>
  </w:abstractNum>
  <w:abstractNum w:abstractNumId="5">
    <w:multiLevelType w:val="hybridMultilevel"/>
    <w:lvl w:ilvl="0">
      <w:start w:val="5"/>
      <w:numFmt w:val="decimal"/>
      <w:lvlText w:val="%1"/>
      <w:lvlJc w:val="left"/>
      <w:pPr>
        <w:ind w:left="723" w:hanging="327"/>
        <w:jc w:val="left"/>
      </w:pPr>
      <w:rPr>
        <w:rFonts w:hint="default"/>
      </w:rPr>
    </w:lvl>
    <w:lvl w:ilvl="1">
      <w:start w:val="1"/>
      <w:numFmt w:val="decimal"/>
      <w:lvlText w:val="%1.%2"/>
      <w:lvlJc w:val="left"/>
      <w:pPr>
        <w:ind w:left="723" w:hanging="327"/>
        <w:jc w:val="righ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361" w:hanging="327"/>
      </w:pPr>
      <w:rPr>
        <w:rFonts w:hint="default"/>
      </w:rPr>
    </w:lvl>
    <w:lvl w:ilvl="3">
      <w:start w:val="0"/>
      <w:numFmt w:val="bullet"/>
      <w:lvlText w:val="•"/>
      <w:lvlJc w:val="left"/>
      <w:pPr>
        <w:ind w:left="3181" w:hanging="327"/>
      </w:pPr>
      <w:rPr>
        <w:rFonts w:hint="default"/>
      </w:rPr>
    </w:lvl>
    <w:lvl w:ilvl="4">
      <w:start w:val="0"/>
      <w:numFmt w:val="bullet"/>
      <w:lvlText w:val="•"/>
      <w:lvlJc w:val="left"/>
      <w:pPr>
        <w:ind w:left="4002" w:hanging="327"/>
      </w:pPr>
      <w:rPr>
        <w:rFonts w:hint="default"/>
      </w:rPr>
    </w:lvl>
    <w:lvl w:ilvl="5">
      <w:start w:val="0"/>
      <w:numFmt w:val="bullet"/>
      <w:lvlText w:val="•"/>
      <w:lvlJc w:val="left"/>
      <w:pPr>
        <w:ind w:left="4822" w:hanging="327"/>
      </w:pPr>
      <w:rPr>
        <w:rFonts w:hint="default"/>
      </w:rPr>
    </w:lvl>
    <w:lvl w:ilvl="6">
      <w:start w:val="0"/>
      <w:numFmt w:val="bullet"/>
      <w:lvlText w:val="•"/>
      <w:lvlJc w:val="left"/>
      <w:pPr>
        <w:ind w:left="5643" w:hanging="327"/>
      </w:pPr>
      <w:rPr>
        <w:rFonts w:hint="default"/>
      </w:rPr>
    </w:lvl>
    <w:lvl w:ilvl="7">
      <w:start w:val="0"/>
      <w:numFmt w:val="bullet"/>
      <w:lvlText w:val="•"/>
      <w:lvlJc w:val="left"/>
      <w:pPr>
        <w:ind w:left="6463" w:hanging="327"/>
      </w:pPr>
      <w:rPr>
        <w:rFonts w:hint="default"/>
      </w:rPr>
    </w:lvl>
    <w:lvl w:ilvl="8">
      <w:start w:val="0"/>
      <w:numFmt w:val="bullet"/>
      <w:lvlText w:val="•"/>
      <w:lvlJc w:val="left"/>
      <w:pPr>
        <w:ind w:left="7284" w:hanging="327"/>
      </w:pPr>
      <w:rPr>
        <w:rFonts w:hint="default"/>
      </w:rPr>
    </w:lvl>
  </w:abstractNum>
  <w:abstractNum w:abstractNumId="4">
    <w:multiLevelType w:val="hybridMultilevel"/>
    <w:lvl w:ilvl="0">
      <w:start w:val="4"/>
      <w:numFmt w:val="decimal"/>
      <w:lvlText w:val="%1"/>
      <w:lvlJc w:val="left"/>
      <w:pPr>
        <w:ind w:left="723" w:hanging="327"/>
        <w:jc w:val="left"/>
      </w:pPr>
      <w:rPr>
        <w:rFonts w:hint="default"/>
      </w:rPr>
    </w:lvl>
    <w:lvl w:ilvl="1">
      <w:start w:val="1"/>
      <w:numFmt w:val="decimal"/>
      <w:lvlText w:val="%1.%2"/>
      <w:lvlJc w:val="left"/>
      <w:pPr>
        <w:ind w:left="177"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631" w:hanging="327"/>
      </w:pPr>
      <w:rPr>
        <w:rFonts w:hint="default"/>
      </w:rPr>
    </w:lvl>
    <w:lvl w:ilvl="3">
      <w:start w:val="0"/>
      <w:numFmt w:val="bullet"/>
      <w:lvlText w:val="•"/>
      <w:lvlJc w:val="left"/>
      <w:pPr>
        <w:ind w:left="2543" w:hanging="327"/>
      </w:pPr>
      <w:rPr>
        <w:rFonts w:hint="default"/>
      </w:rPr>
    </w:lvl>
    <w:lvl w:ilvl="4">
      <w:start w:val="0"/>
      <w:numFmt w:val="bullet"/>
      <w:lvlText w:val="•"/>
      <w:lvlJc w:val="left"/>
      <w:pPr>
        <w:ind w:left="3455" w:hanging="327"/>
      </w:pPr>
      <w:rPr>
        <w:rFonts w:hint="default"/>
      </w:rPr>
    </w:lvl>
    <w:lvl w:ilvl="5">
      <w:start w:val="0"/>
      <w:numFmt w:val="bullet"/>
      <w:lvlText w:val="•"/>
      <w:lvlJc w:val="left"/>
      <w:pPr>
        <w:ind w:left="4366" w:hanging="327"/>
      </w:pPr>
      <w:rPr>
        <w:rFonts w:hint="default"/>
      </w:rPr>
    </w:lvl>
    <w:lvl w:ilvl="6">
      <w:start w:val="0"/>
      <w:numFmt w:val="bullet"/>
      <w:lvlText w:val="•"/>
      <w:lvlJc w:val="left"/>
      <w:pPr>
        <w:ind w:left="5278" w:hanging="327"/>
      </w:pPr>
      <w:rPr>
        <w:rFonts w:hint="default"/>
      </w:rPr>
    </w:lvl>
    <w:lvl w:ilvl="7">
      <w:start w:val="0"/>
      <w:numFmt w:val="bullet"/>
      <w:lvlText w:val="•"/>
      <w:lvlJc w:val="left"/>
      <w:pPr>
        <w:ind w:left="6190" w:hanging="327"/>
      </w:pPr>
      <w:rPr>
        <w:rFonts w:hint="default"/>
      </w:rPr>
    </w:lvl>
    <w:lvl w:ilvl="8">
      <w:start w:val="0"/>
      <w:numFmt w:val="bullet"/>
      <w:lvlText w:val="•"/>
      <w:lvlJc w:val="left"/>
      <w:pPr>
        <w:ind w:left="7102" w:hanging="327"/>
      </w:pPr>
      <w:rPr>
        <w:rFonts w:hint="default"/>
      </w:rPr>
    </w:lvl>
  </w:abstractNum>
  <w:abstractNum w:abstractNumId="3">
    <w:multiLevelType w:val="hybridMultilevel"/>
    <w:lvl w:ilvl="0">
      <w:start w:val="3"/>
      <w:numFmt w:val="decimal"/>
      <w:lvlText w:val="%1"/>
      <w:lvlJc w:val="left"/>
      <w:pPr>
        <w:ind w:left="723" w:hanging="327"/>
        <w:jc w:val="left"/>
      </w:pPr>
      <w:rPr>
        <w:rFonts w:hint="default"/>
      </w:rPr>
    </w:lvl>
    <w:lvl w:ilvl="1">
      <w:start w:val="1"/>
      <w:numFmt w:val="decimal"/>
      <w:lvlText w:val="%1.%2"/>
      <w:lvlJc w:val="left"/>
      <w:pPr>
        <w:ind w:left="72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361" w:hanging="327"/>
      </w:pPr>
      <w:rPr>
        <w:rFonts w:hint="default"/>
      </w:rPr>
    </w:lvl>
    <w:lvl w:ilvl="3">
      <w:start w:val="0"/>
      <w:numFmt w:val="bullet"/>
      <w:lvlText w:val="•"/>
      <w:lvlJc w:val="left"/>
      <w:pPr>
        <w:ind w:left="3181" w:hanging="327"/>
      </w:pPr>
      <w:rPr>
        <w:rFonts w:hint="default"/>
      </w:rPr>
    </w:lvl>
    <w:lvl w:ilvl="4">
      <w:start w:val="0"/>
      <w:numFmt w:val="bullet"/>
      <w:lvlText w:val="•"/>
      <w:lvlJc w:val="left"/>
      <w:pPr>
        <w:ind w:left="4002" w:hanging="327"/>
      </w:pPr>
      <w:rPr>
        <w:rFonts w:hint="default"/>
      </w:rPr>
    </w:lvl>
    <w:lvl w:ilvl="5">
      <w:start w:val="0"/>
      <w:numFmt w:val="bullet"/>
      <w:lvlText w:val="•"/>
      <w:lvlJc w:val="left"/>
      <w:pPr>
        <w:ind w:left="4822" w:hanging="327"/>
      </w:pPr>
      <w:rPr>
        <w:rFonts w:hint="default"/>
      </w:rPr>
    </w:lvl>
    <w:lvl w:ilvl="6">
      <w:start w:val="0"/>
      <w:numFmt w:val="bullet"/>
      <w:lvlText w:val="•"/>
      <w:lvlJc w:val="left"/>
      <w:pPr>
        <w:ind w:left="5643" w:hanging="327"/>
      </w:pPr>
      <w:rPr>
        <w:rFonts w:hint="default"/>
      </w:rPr>
    </w:lvl>
    <w:lvl w:ilvl="7">
      <w:start w:val="0"/>
      <w:numFmt w:val="bullet"/>
      <w:lvlText w:val="•"/>
      <w:lvlJc w:val="left"/>
      <w:pPr>
        <w:ind w:left="6463" w:hanging="327"/>
      </w:pPr>
      <w:rPr>
        <w:rFonts w:hint="default"/>
      </w:rPr>
    </w:lvl>
    <w:lvl w:ilvl="8">
      <w:start w:val="0"/>
      <w:numFmt w:val="bullet"/>
      <w:lvlText w:val="•"/>
      <w:lvlJc w:val="left"/>
      <w:pPr>
        <w:ind w:left="7284" w:hanging="327"/>
      </w:pPr>
      <w:rPr>
        <w:rFonts w:hint="default"/>
      </w:rPr>
    </w:lvl>
  </w:abstractNum>
  <w:abstractNum w:abstractNumId="2">
    <w:multiLevelType w:val="hybridMultilevel"/>
    <w:lvl w:ilvl="0">
      <w:start w:val="2"/>
      <w:numFmt w:val="decimal"/>
      <w:lvlText w:val="%1"/>
      <w:lvlJc w:val="left"/>
      <w:pPr>
        <w:ind w:left="723" w:hanging="327"/>
        <w:jc w:val="left"/>
      </w:pPr>
      <w:rPr>
        <w:rFonts w:hint="default"/>
      </w:rPr>
    </w:lvl>
    <w:lvl w:ilvl="1">
      <w:start w:val="1"/>
      <w:numFmt w:val="decimal"/>
      <w:lvlText w:val="%1.%2"/>
      <w:lvlJc w:val="left"/>
      <w:pPr>
        <w:ind w:left="72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361" w:hanging="327"/>
      </w:pPr>
      <w:rPr>
        <w:rFonts w:hint="default"/>
      </w:rPr>
    </w:lvl>
    <w:lvl w:ilvl="3">
      <w:start w:val="0"/>
      <w:numFmt w:val="bullet"/>
      <w:lvlText w:val="•"/>
      <w:lvlJc w:val="left"/>
      <w:pPr>
        <w:ind w:left="3181" w:hanging="327"/>
      </w:pPr>
      <w:rPr>
        <w:rFonts w:hint="default"/>
      </w:rPr>
    </w:lvl>
    <w:lvl w:ilvl="4">
      <w:start w:val="0"/>
      <w:numFmt w:val="bullet"/>
      <w:lvlText w:val="•"/>
      <w:lvlJc w:val="left"/>
      <w:pPr>
        <w:ind w:left="4002" w:hanging="327"/>
      </w:pPr>
      <w:rPr>
        <w:rFonts w:hint="default"/>
      </w:rPr>
    </w:lvl>
    <w:lvl w:ilvl="5">
      <w:start w:val="0"/>
      <w:numFmt w:val="bullet"/>
      <w:lvlText w:val="•"/>
      <w:lvlJc w:val="left"/>
      <w:pPr>
        <w:ind w:left="4822" w:hanging="327"/>
      </w:pPr>
      <w:rPr>
        <w:rFonts w:hint="default"/>
      </w:rPr>
    </w:lvl>
    <w:lvl w:ilvl="6">
      <w:start w:val="0"/>
      <w:numFmt w:val="bullet"/>
      <w:lvlText w:val="•"/>
      <w:lvlJc w:val="left"/>
      <w:pPr>
        <w:ind w:left="5643" w:hanging="327"/>
      </w:pPr>
      <w:rPr>
        <w:rFonts w:hint="default"/>
      </w:rPr>
    </w:lvl>
    <w:lvl w:ilvl="7">
      <w:start w:val="0"/>
      <w:numFmt w:val="bullet"/>
      <w:lvlText w:val="•"/>
      <w:lvlJc w:val="left"/>
      <w:pPr>
        <w:ind w:left="6463" w:hanging="327"/>
      </w:pPr>
      <w:rPr>
        <w:rFonts w:hint="default"/>
      </w:rPr>
    </w:lvl>
    <w:lvl w:ilvl="8">
      <w:start w:val="0"/>
      <w:numFmt w:val="bullet"/>
      <w:lvlText w:val="•"/>
      <w:lvlJc w:val="left"/>
      <w:pPr>
        <w:ind w:left="7284" w:hanging="327"/>
      </w:pPr>
      <w:rPr>
        <w:rFonts w:hint="default"/>
      </w:rPr>
    </w:lvl>
  </w:abstractNum>
  <w:abstractNum w:abstractNumId="1">
    <w:multiLevelType w:val="hybridMultilevel"/>
    <w:lvl w:ilvl="0">
      <w:start w:val="1"/>
      <w:numFmt w:val="decimal"/>
      <w:lvlText w:val="%1"/>
      <w:lvlJc w:val="left"/>
      <w:pPr>
        <w:ind w:left="1103" w:hanging="327"/>
        <w:jc w:val="left"/>
      </w:pPr>
      <w:rPr>
        <w:rFonts w:hint="default"/>
      </w:rPr>
    </w:lvl>
    <w:lvl w:ilvl="1">
      <w:start w:val="1"/>
      <w:numFmt w:val="decimal"/>
      <w:lvlText w:val="%1.%2"/>
      <w:lvlJc w:val="left"/>
      <w:pPr>
        <w:ind w:left="110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65" w:hanging="327"/>
      </w:pPr>
      <w:rPr>
        <w:rFonts w:hint="default"/>
      </w:rPr>
    </w:lvl>
    <w:lvl w:ilvl="3">
      <w:start w:val="0"/>
      <w:numFmt w:val="bullet"/>
      <w:lvlText w:val="•"/>
      <w:lvlJc w:val="left"/>
      <w:pPr>
        <w:ind w:left="3447" w:hanging="327"/>
      </w:pPr>
      <w:rPr>
        <w:rFonts w:hint="default"/>
      </w:rPr>
    </w:lvl>
    <w:lvl w:ilvl="4">
      <w:start w:val="0"/>
      <w:numFmt w:val="bullet"/>
      <w:lvlText w:val="•"/>
      <w:lvlJc w:val="left"/>
      <w:pPr>
        <w:ind w:left="4230" w:hanging="327"/>
      </w:pPr>
      <w:rPr>
        <w:rFonts w:hint="default"/>
      </w:rPr>
    </w:lvl>
    <w:lvl w:ilvl="5">
      <w:start w:val="0"/>
      <w:numFmt w:val="bullet"/>
      <w:lvlText w:val="•"/>
      <w:lvlJc w:val="left"/>
      <w:pPr>
        <w:ind w:left="5012" w:hanging="327"/>
      </w:pPr>
      <w:rPr>
        <w:rFonts w:hint="default"/>
      </w:rPr>
    </w:lvl>
    <w:lvl w:ilvl="6">
      <w:start w:val="0"/>
      <w:numFmt w:val="bullet"/>
      <w:lvlText w:val="•"/>
      <w:lvlJc w:val="left"/>
      <w:pPr>
        <w:ind w:left="5795" w:hanging="327"/>
      </w:pPr>
      <w:rPr>
        <w:rFonts w:hint="default"/>
      </w:rPr>
    </w:lvl>
    <w:lvl w:ilvl="7">
      <w:start w:val="0"/>
      <w:numFmt w:val="bullet"/>
      <w:lvlText w:val="•"/>
      <w:lvlJc w:val="left"/>
      <w:pPr>
        <w:ind w:left="6577" w:hanging="327"/>
      </w:pPr>
      <w:rPr>
        <w:rFonts w:hint="default"/>
      </w:rPr>
    </w:lvl>
    <w:lvl w:ilvl="8">
      <w:start w:val="0"/>
      <w:numFmt w:val="bullet"/>
      <w:lvlText w:val="•"/>
      <w:lvlJc w:val="left"/>
      <w:pPr>
        <w:ind w:left="7360" w:hanging="327"/>
      </w:pPr>
      <w:rPr>
        <w:rFonts w:hint="default"/>
      </w:rPr>
    </w:lvl>
  </w:abstractNum>
  <w:abstractNum w:abstractNumId="0">
    <w:multiLevelType w:val="hybridMultilevel"/>
    <w:lvl w:ilvl="0">
      <w:start w:val="1"/>
      <w:numFmt w:val="decimal"/>
      <w:lvlText w:val="%1."/>
      <w:lvlJc w:val="left"/>
      <w:pPr>
        <w:ind w:left="217" w:hanging="219"/>
        <w:jc w:val="righ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150" w:hanging="219"/>
      </w:pPr>
      <w:rPr>
        <w:rFonts w:hint="default"/>
      </w:rPr>
    </w:lvl>
    <w:lvl w:ilvl="2">
      <w:start w:val="0"/>
      <w:numFmt w:val="bullet"/>
      <w:lvlText w:val="•"/>
      <w:lvlJc w:val="left"/>
      <w:pPr>
        <w:ind w:left="2081" w:hanging="219"/>
      </w:pPr>
      <w:rPr>
        <w:rFonts w:hint="default"/>
      </w:rPr>
    </w:lvl>
    <w:lvl w:ilvl="3">
      <w:start w:val="0"/>
      <w:numFmt w:val="bullet"/>
      <w:lvlText w:val="•"/>
      <w:lvlJc w:val="left"/>
      <w:pPr>
        <w:ind w:left="3011" w:hanging="219"/>
      </w:pPr>
      <w:rPr>
        <w:rFonts w:hint="default"/>
      </w:rPr>
    </w:lvl>
    <w:lvl w:ilvl="4">
      <w:start w:val="0"/>
      <w:numFmt w:val="bullet"/>
      <w:lvlText w:val="•"/>
      <w:lvlJc w:val="left"/>
      <w:pPr>
        <w:ind w:left="3942" w:hanging="219"/>
      </w:pPr>
      <w:rPr>
        <w:rFonts w:hint="default"/>
      </w:rPr>
    </w:lvl>
    <w:lvl w:ilvl="5">
      <w:start w:val="0"/>
      <w:numFmt w:val="bullet"/>
      <w:lvlText w:val="•"/>
      <w:lvlJc w:val="left"/>
      <w:pPr>
        <w:ind w:left="4872" w:hanging="219"/>
      </w:pPr>
      <w:rPr>
        <w:rFonts w:hint="default"/>
      </w:rPr>
    </w:lvl>
    <w:lvl w:ilvl="6">
      <w:start w:val="0"/>
      <w:numFmt w:val="bullet"/>
      <w:lvlText w:val="•"/>
      <w:lvlJc w:val="left"/>
      <w:pPr>
        <w:ind w:left="5803" w:hanging="219"/>
      </w:pPr>
      <w:rPr>
        <w:rFonts w:hint="default"/>
      </w:rPr>
    </w:lvl>
    <w:lvl w:ilvl="7">
      <w:start w:val="0"/>
      <w:numFmt w:val="bullet"/>
      <w:lvlText w:val="•"/>
      <w:lvlJc w:val="left"/>
      <w:pPr>
        <w:ind w:left="6733" w:hanging="219"/>
      </w:pPr>
      <w:rPr>
        <w:rFonts w:hint="default"/>
      </w:rPr>
    </w:lvl>
    <w:lvl w:ilvl="8">
      <w:start w:val="0"/>
      <w:numFmt w:val="bullet"/>
      <w:lvlText w:val="•"/>
      <w:lvlJc w:val="left"/>
      <w:pPr>
        <w:ind w:left="7664" w:hanging="219"/>
      </w:pPr>
      <w:rPr>
        <w:rFonts w:hint="default"/>
      </w:rPr>
    </w:lvl>
  </w:abstract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109"/>
      <w:ind w:left="117"/>
    </w:pPr>
    <w:rPr>
      <w:rFonts w:ascii="方正书宋_GBK" w:hAnsi="方正书宋_GBK" w:eastAsia="方正书宋_GBK" w:cs="方正书宋_GBK"/>
      <w:sz w:val="22"/>
      <w:szCs w:val="22"/>
    </w:rPr>
  </w:style>
  <w:style w:styleId="Heading1" w:type="paragraph">
    <w:name w:val="Heading 1"/>
    <w:basedOn w:val="Normal"/>
    <w:uiPriority w:val="1"/>
    <w:qFormat/>
    <w:pPr>
      <w:spacing w:before="174"/>
      <w:jc w:val="center"/>
      <w:outlineLvl w:val="1"/>
    </w:pPr>
    <w:rPr>
      <w:rFonts w:ascii="方正黑体_GBK" w:hAnsi="方正黑体_GBK" w:eastAsia="方正黑体_GBK" w:cs="方正黑体_GBK"/>
      <w:sz w:val="28"/>
      <w:szCs w:val="28"/>
    </w:rPr>
  </w:style>
  <w:style w:styleId="Heading2" w:type="paragraph">
    <w:name w:val="Heading 2"/>
    <w:basedOn w:val="Normal"/>
    <w:uiPriority w:val="1"/>
    <w:qFormat/>
    <w:pPr>
      <w:spacing w:before="1"/>
      <w:ind w:left="557"/>
      <w:outlineLvl w:val="2"/>
    </w:pPr>
    <w:rPr>
      <w:rFonts w:ascii="方正黑体_GBK" w:hAnsi="方正黑体_GBK" w:eastAsia="方正黑体_GBK" w:cs="方正黑体_GBK"/>
      <w:sz w:val="26"/>
      <w:szCs w:val="26"/>
    </w:rPr>
  </w:style>
  <w:style w:styleId="ListParagraph" w:type="paragraph">
    <w:name w:val="List Paragraph"/>
    <w:basedOn w:val="Normal"/>
    <w:uiPriority w:val="1"/>
    <w:qFormat/>
    <w:pPr>
      <w:spacing w:before="109"/>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footer" Target="footer14.xml"/><Relationship Id="rId19" Type="http://schemas.openxmlformats.org/officeDocument/2006/relationships/footer" Target="footer15.xml"/><Relationship Id="rId20" Type="http://schemas.openxmlformats.org/officeDocument/2006/relationships/footer" Target="footer16.xml"/><Relationship Id="rId21" Type="http://schemas.openxmlformats.org/officeDocument/2006/relationships/footer" Target="footer17.xml"/><Relationship Id="rId22" Type="http://schemas.openxmlformats.org/officeDocument/2006/relationships/footer" Target="footer18.xml"/><Relationship Id="rId23" Type="http://schemas.openxmlformats.org/officeDocument/2006/relationships/footer" Target="footer19.xml"/><Relationship Id="rId24" Type="http://schemas.openxmlformats.org/officeDocument/2006/relationships/footer" Target="footer20.xml"/><Relationship Id="rId25" Type="http://schemas.openxmlformats.org/officeDocument/2006/relationships/footer" Target="footer21.xml"/><Relationship Id="rId26" Type="http://schemas.openxmlformats.org/officeDocument/2006/relationships/footer" Target="footer22.xml"/><Relationship Id="rId27" Type="http://schemas.openxmlformats.org/officeDocument/2006/relationships/footer" Target="footer23.xml"/><Relationship Id="rId28" Type="http://schemas.openxmlformats.org/officeDocument/2006/relationships/footer" Target="footer24.xml"/><Relationship Id="rId29" Type="http://schemas.openxmlformats.org/officeDocument/2006/relationships/footer" Target="footer25.xml"/><Relationship Id="rId30" Type="http://schemas.openxmlformats.org/officeDocument/2006/relationships/footer" Target="footer26.xml"/><Relationship Id="rId31" Type="http://schemas.openxmlformats.org/officeDocument/2006/relationships/image" Target="media/image1.png"/><Relationship Id="rId32" Type="http://schemas.openxmlformats.org/officeDocument/2006/relationships/footer" Target="footer27.xml"/><Relationship Id="rId33" Type="http://schemas.openxmlformats.org/officeDocument/2006/relationships/footer" Target="footer28.xml"/><Relationship Id="rId34" Type="http://schemas.openxmlformats.org/officeDocument/2006/relationships/footer" Target="footer29.xml"/><Relationship Id="rId35" Type="http://schemas.openxmlformats.org/officeDocument/2006/relationships/footer" Target="footer30.xml"/><Relationship Id="rId36" Type="http://schemas.openxmlformats.org/officeDocument/2006/relationships/footer" Target="footer31.xml"/><Relationship Id="rId37" Type="http://schemas.openxmlformats.org/officeDocument/2006/relationships/footer" Target="footer32.xml"/><Relationship Id="rId38" Type="http://schemas.openxmlformats.org/officeDocument/2006/relationships/footer" Target="footer33.xml"/><Relationship Id="rId39" Type="http://schemas.openxmlformats.org/officeDocument/2006/relationships/footer" Target="footer34.xml"/><Relationship Id="rId40" Type="http://schemas.openxmlformats.org/officeDocument/2006/relationships/footer" Target="footer35.xml"/><Relationship Id="rId41" Type="http://schemas.openxmlformats.org/officeDocument/2006/relationships/footer" Target="footer36.xml"/><Relationship Id="rId42" Type="http://schemas.openxmlformats.org/officeDocument/2006/relationships/footer" Target="footer37.xml"/><Relationship Id="rId43" Type="http://schemas.openxmlformats.org/officeDocument/2006/relationships/footer" Target="footer38.xml"/><Relationship Id="rId44" Type="http://schemas.openxmlformats.org/officeDocument/2006/relationships/footer" Target="footer39.xml"/><Relationship Id="rId45" Type="http://schemas.openxmlformats.org/officeDocument/2006/relationships/footer" Target="footer40.xml"/><Relationship Id="rId46" Type="http://schemas.openxmlformats.org/officeDocument/2006/relationships/footer" Target="footer41.xml"/><Relationship Id="rId47" Type="http://schemas.openxmlformats.org/officeDocument/2006/relationships/footer" Target="footer42.xml"/><Relationship Id="rId4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2021-12-01T23:29:30Z</dcterms:created>
  <dcterms:modified xsi:type="dcterms:W3CDTF">2021-12-01T23:29:30Z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