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rFonts w:ascii="Times New Roman"/>
          <w:sz w:val="16"/>
        </w:rPr>
      </w:pPr>
    </w:p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top="1100" w:bottom="280" w:left="1300" w:right="1580"/>
        </w:sectPr>
      </w:pPr>
    </w:p>
    <w:p>
      <w:pPr>
        <w:spacing w:before="88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pacing w:val="-4"/>
          <w:w w:val="95"/>
          <w:sz w:val="28"/>
        </w:rPr>
        <w:t>GF—91—0404</w:t>
      </w:r>
    </w:p>
    <w:p>
      <w:pPr>
        <w:pStyle w:val="BodyText"/>
        <w:spacing w:before="9"/>
        <w:rPr>
          <w:rFonts w:ascii="Times New Roman"/>
          <w:b/>
          <w:sz w:val="42"/>
        </w:rPr>
      </w:pPr>
      <w:r>
        <w:rPr/>
        <w:br w:type="column"/>
      </w:r>
      <w:r>
        <w:rPr>
          <w:rFonts w:ascii="Times New Roman"/>
          <w:b/>
          <w:sz w:val="42"/>
        </w:rPr>
      </w:r>
    </w:p>
    <w:p>
      <w:pPr>
        <w:spacing w:before="0"/>
        <w:ind w:left="100" w:right="5361" w:firstLine="0"/>
        <w:jc w:val="center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水路货物运输合同</w:t>
      </w:r>
    </w:p>
    <w:p>
      <w:pPr>
        <w:spacing w:before="152"/>
        <w:ind w:left="100" w:right="5361" w:firstLine="0"/>
        <w:jc w:val="center"/>
        <w:rPr>
          <w:rFonts w:ascii="方正楷体_GBK" w:eastAsia="方正楷体_GBK" w:hint="eastAsia"/>
          <w:sz w:val="28"/>
        </w:rPr>
      </w:pPr>
      <w:r>
        <w:rPr>
          <w:rFonts w:ascii="方正楷体_GBK" w:eastAsia="方正楷体_GBK" w:hint="eastAsia"/>
          <w:color w:val="231F20"/>
          <w:sz w:val="28"/>
        </w:rPr>
        <w:t>（示范文本）</w:t>
      </w:r>
    </w:p>
    <w:p>
      <w:pPr>
        <w:spacing w:after="0"/>
        <w:jc w:val="center"/>
        <w:rPr>
          <w:rFonts w:ascii="方正楷体_GBK" w:eastAsia="方正楷体_GBK" w:hint="eastAsia"/>
          <w:sz w:val="28"/>
        </w:rPr>
        <w:sectPr>
          <w:type w:val="continuous"/>
          <w:pgSz w:w="16840" w:h="11910" w:orient="landscape"/>
          <w:pgMar w:top="1100" w:bottom="280" w:left="1300" w:right="1580"/>
          <w:cols w:num="2" w:equalWidth="0">
            <w:col w:w="1801" w:space="3458"/>
            <w:col w:w="8701"/>
          </w:cols>
        </w:sectPr>
      </w:pPr>
    </w:p>
    <w:p>
      <w:pPr>
        <w:pStyle w:val="BodyText"/>
        <w:rPr>
          <w:rFonts w:ascii="方正楷体_GBK"/>
          <w:sz w:val="1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9.550014pt;margin-top:518.409424pt;width:13.1pt;height:7pt;mso-position-horizontal-relative:page;mso-position-vertical-relative:page;z-index:1048" type="#_x0000_t202" filled="false" stroked="false">
            <v:textbox inset="0,0,0,0" style="layout-flow:vertical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1F20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</w:p>
    <w:p>
      <w:pPr>
        <w:tabs>
          <w:tab w:pos="777" w:val="left" w:leader="none"/>
          <w:tab w:pos="1677" w:val="left" w:leader="none"/>
        </w:tabs>
        <w:spacing w:before="12"/>
        <w:ind w:left="117" w:right="0" w:firstLine="0"/>
        <w:jc w:val="left"/>
        <w:rPr>
          <w:rFonts w:ascii="宋体" w:eastAsia="宋体" w:hint="eastAsia"/>
          <w:sz w:val="24"/>
        </w:rPr>
      </w:pPr>
      <w:r>
        <w:rPr/>
        <w:pict>
          <v:shape style="position:absolute;margin-left:469.480988pt;margin-top:-8.577446pt;width:287.25pt;height:40.950pt;mso-position-horizontal-relative:page;mso-position-vertical-relative:paragraph;z-index:0" type="#_x0000_t202" filled="false" stroked="true" strokeweight=".25pt" strokecolor="#231f20">
            <v:textbox inset="0,0,0,0">
              <w:txbxContent>
                <w:p>
                  <w:pPr>
                    <w:pStyle w:val="BodyText"/>
                    <w:spacing w:line="230" w:lineRule="auto" w:before="3"/>
                    <w:ind w:left="56"/>
                  </w:pPr>
                  <w:r>
                    <w:rPr>
                      <w:color w:val="231F20"/>
                    </w:rPr>
                    <w:t>本合同经托运人与承运人签章后即行生效，有关系运人与托运人、收货</w:t>
                  </w:r>
                  <w:r>
                    <w:rPr>
                      <w:color w:val="231F20"/>
                      <w:spacing w:val="-5"/>
                    </w:rPr>
                    <w:t>人之间的权利、义务和责任界限，适用于《水路货物运输规则》及运价、规费的有关规定。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 w:eastAsia="Times New Roman"/>
          <w:color w:val="231F20"/>
          <w:sz w:val="24"/>
          <w:u w:val="single" w:color="231F20"/>
        </w:rPr>
        <w:t> </w:t>
        <w:tab/>
      </w:r>
      <w:r>
        <w:rPr>
          <w:rFonts w:ascii="Times New Roman" w:eastAsia="Times New Roman"/>
          <w:color w:val="231F20"/>
          <w:sz w:val="24"/>
        </w:rPr>
        <w:t> </w:t>
      </w:r>
      <w:r>
        <w:rPr>
          <w:rFonts w:ascii="方正小标宋_GBK" w:eastAsia="方正小标宋_GBK" w:hint="eastAsia"/>
          <w:color w:val="231F20"/>
          <w:sz w:val="24"/>
        </w:rPr>
        <w:t>年</w:t>
      </w:r>
      <w:r>
        <w:rPr>
          <w:rFonts w:ascii="方正小标宋_GBK" w:eastAsia="方正小标宋_GBK" w:hint="eastAsia"/>
          <w:color w:val="231F20"/>
          <w:sz w:val="24"/>
          <w:u w:val="single" w:color="231F20"/>
        </w:rPr>
        <w:t> </w:t>
        <w:tab/>
      </w:r>
      <w:r>
        <w:rPr>
          <w:rFonts w:ascii="方正小标宋_GBK" w:eastAsia="方正小标宋_GBK" w:hint="eastAsia"/>
          <w:color w:val="231F20"/>
          <w:sz w:val="24"/>
        </w:rPr>
        <w:t>月度水路货物运输合同</w:t>
      </w:r>
      <w:r>
        <w:rPr>
          <w:rFonts w:ascii="宋体" w:eastAsia="宋体" w:hint="eastAsia"/>
          <w:color w:val="231F20"/>
          <w:sz w:val="24"/>
        </w:rPr>
        <w:t> </w:t>
      </w:r>
    </w:p>
    <w:p>
      <w:pPr>
        <w:pStyle w:val="BodyText"/>
        <w:rPr>
          <w:rFonts w:ascii="宋体"/>
          <w:sz w:val="24"/>
        </w:rPr>
      </w:pPr>
    </w:p>
    <w:p>
      <w:pPr>
        <w:pStyle w:val="BodyText"/>
        <w:spacing w:before="37"/>
        <w:ind w:left="12163"/>
      </w:pPr>
      <w:r>
        <w:rPr>
          <w:color w:val="231F20"/>
        </w:rPr>
        <w:t>编号：</w:t>
      </w:r>
    </w:p>
    <w:p>
      <w:pPr>
        <w:pStyle w:val="BodyText"/>
        <w:spacing w:before="5"/>
        <w:rPr>
          <w:sz w:val="5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5"/>
        <w:gridCol w:w="1762"/>
        <w:gridCol w:w="1246"/>
        <w:gridCol w:w="1246"/>
        <w:gridCol w:w="1246"/>
        <w:gridCol w:w="983"/>
        <w:gridCol w:w="1096"/>
        <w:gridCol w:w="1682"/>
        <w:gridCol w:w="1203"/>
        <w:gridCol w:w="1893"/>
      </w:tblGrid>
      <w:tr>
        <w:trPr>
          <w:trHeight w:val="340" w:hRule="atLeast"/>
        </w:trPr>
        <w:tc>
          <w:tcPr>
            <w:tcW w:w="1355" w:type="dxa"/>
            <w:vMerge w:val="restart"/>
          </w:tcPr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ind w:left="406"/>
              <w:rPr>
                <w:sz w:val="18"/>
              </w:rPr>
            </w:pPr>
            <w:r>
              <w:rPr>
                <w:color w:val="231F20"/>
                <w:sz w:val="18"/>
              </w:rPr>
              <w:t>托运人</w:t>
            </w:r>
          </w:p>
        </w:tc>
        <w:tc>
          <w:tcPr>
            <w:tcW w:w="1762" w:type="dxa"/>
          </w:tcPr>
          <w:p>
            <w:pPr>
              <w:pStyle w:val="TableParagraph"/>
              <w:tabs>
                <w:tab w:pos="548" w:val="left" w:leader="none"/>
              </w:tabs>
              <w:spacing w:before="22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全</w:t>
              <w:tab/>
              <w:t>称</w:t>
            </w:r>
          </w:p>
        </w:tc>
        <w:tc>
          <w:tcPr>
            <w:tcW w:w="3738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Merge w:val="restart"/>
          </w:tcPr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ind w:left="221"/>
              <w:rPr>
                <w:sz w:val="18"/>
              </w:rPr>
            </w:pPr>
            <w:r>
              <w:rPr>
                <w:color w:val="231F20"/>
                <w:sz w:val="18"/>
              </w:rPr>
              <w:t>承运人</w:t>
            </w:r>
          </w:p>
        </w:tc>
        <w:tc>
          <w:tcPr>
            <w:tcW w:w="2778" w:type="dxa"/>
            <w:gridSpan w:val="2"/>
          </w:tcPr>
          <w:p>
            <w:pPr>
              <w:pStyle w:val="TableParagraph"/>
              <w:tabs>
                <w:tab w:pos="548" w:val="left" w:leader="none"/>
              </w:tabs>
              <w:spacing w:before="22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全</w:t>
              <w:tab/>
              <w:t>称</w:t>
            </w:r>
          </w:p>
        </w:tc>
        <w:tc>
          <w:tcPr>
            <w:tcW w:w="309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0" w:hRule="atLeast"/>
        </w:trPr>
        <w:tc>
          <w:tcPr>
            <w:tcW w:w="13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2" w:type="dxa"/>
          </w:tcPr>
          <w:p>
            <w:pPr>
              <w:pStyle w:val="TableParagraph"/>
              <w:spacing w:line="213" w:lineRule="exact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地址、电话</w:t>
            </w:r>
          </w:p>
        </w:tc>
        <w:tc>
          <w:tcPr>
            <w:tcW w:w="3738" w:type="dxa"/>
            <w:gridSpan w:val="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8" w:type="dxa"/>
            <w:gridSpan w:val="2"/>
          </w:tcPr>
          <w:p>
            <w:pPr>
              <w:pStyle w:val="TableParagraph"/>
              <w:spacing w:line="213" w:lineRule="exact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地址、电话</w:t>
            </w:r>
          </w:p>
        </w:tc>
        <w:tc>
          <w:tcPr>
            <w:tcW w:w="3096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0" w:hRule="atLeast"/>
        </w:trPr>
        <w:tc>
          <w:tcPr>
            <w:tcW w:w="13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2" w:type="dxa"/>
          </w:tcPr>
          <w:p>
            <w:pPr>
              <w:pStyle w:val="TableParagraph"/>
              <w:spacing w:before="32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银行、账号</w:t>
            </w:r>
          </w:p>
        </w:tc>
        <w:tc>
          <w:tcPr>
            <w:tcW w:w="3738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8" w:type="dxa"/>
            <w:gridSpan w:val="2"/>
          </w:tcPr>
          <w:p>
            <w:pPr>
              <w:pStyle w:val="TableParagraph"/>
              <w:spacing w:before="32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银行、账号</w:t>
            </w:r>
          </w:p>
        </w:tc>
        <w:tc>
          <w:tcPr>
            <w:tcW w:w="309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3117" w:type="dxa"/>
            <w:gridSpan w:val="2"/>
          </w:tcPr>
          <w:p>
            <w:pPr>
              <w:pStyle w:val="TableParagraph"/>
              <w:spacing w:line="259" w:lineRule="exact"/>
              <w:ind w:left="1017"/>
              <w:rPr>
                <w:sz w:val="18"/>
              </w:rPr>
            </w:pPr>
            <w:r>
              <w:rPr>
                <w:color w:val="231F20"/>
                <w:sz w:val="18"/>
              </w:rPr>
              <w:t>核定计划号码</w:t>
            </w:r>
          </w:p>
        </w:tc>
        <w:tc>
          <w:tcPr>
            <w:tcW w:w="3738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61" w:type="dxa"/>
            <w:gridSpan w:val="3"/>
          </w:tcPr>
          <w:p>
            <w:pPr>
              <w:pStyle w:val="TableParagraph"/>
              <w:spacing w:line="259" w:lineRule="exact"/>
              <w:ind w:left="1320" w:right="131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费用结算方式</w:t>
            </w:r>
          </w:p>
        </w:tc>
        <w:tc>
          <w:tcPr>
            <w:tcW w:w="309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1355" w:type="dxa"/>
            <w:vMerge w:val="restart"/>
          </w:tcPr>
          <w:p>
            <w:pPr>
              <w:pStyle w:val="TableParagraph"/>
              <w:spacing w:before="7"/>
              <w:rPr>
                <w:sz w:val="13"/>
              </w:rPr>
            </w:pPr>
          </w:p>
          <w:p>
            <w:pPr>
              <w:pStyle w:val="TableParagraph"/>
              <w:tabs>
                <w:tab w:pos="856" w:val="left" w:leader="none"/>
              </w:tabs>
              <w:spacing w:before="1"/>
              <w:ind w:left="316"/>
              <w:rPr>
                <w:sz w:val="18"/>
              </w:rPr>
            </w:pPr>
            <w:r>
              <w:rPr>
                <w:color w:val="231F20"/>
                <w:sz w:val="18"/>
              </w:rPr>
              <w:t>货</w:t>
              <w:tab/>
              <w:t>名</w:t>
            </w:r>
          </w:p>
        </w:tc>
        <w:tc>
          <w:tcPr>
            <w:tcW w:w="1762" w:type="dxa"/>
            <w:vMerge w:val="restart"/>
          </w:tcPr>
          <w:p>
            <w:pPr>
              <w:pStyle w:val="TableParagraph"/>
              <w:spacing w:before="7"/>
              <w:rPr>
                <w:sz w:val="13"/>
              </w:rPr>
            </w:pPr>
          </w:p>
          <w:p>
            <w:pPr>
              <w:pStyle w:val="TableParagraph"/>
              <w:tabs>
                <w:tab w:pos="1060" w:val="left" w:leader="none"/>
              </w:tabs>
              <w:spacing w:before="1"/>
              <w:ind w:left="520"/>
              <w:rPr>
                <w:sz w:val="18"/>
              </w:rPr>
            </w:pPr>
            <w:r>
              <w:rPr>
                <w:color w:val="231F20"/>
                <w:sz w:val="18"/>
              </w:rPr>
              <w:t>包</w:t>
              <w:tab/>
              <w:t>装</w:t>
            </w:r>
          </w:p>
        </w:tc>
        <w:tc>
          <w:tcPr>
            <w:tcW w:w="1246" w:type="dxa"/>
            <w:vMerge w:val="restart"/>
          </w:tcPr>
          <w:p>
            <w:pPr>
              <w:pStyle w:val="TableParagraph"/>
              <w:spacing w:before="7"/>
              <w:rPr>
                <w:sz w:val="13"/>
              </w:rPr>
            </w:pPr>
          </w:p>
          <w:p>
            <w:pPr>
              <w:pStyle w:val="TableParagraph"/>
              <w:spacing w:before="1"/>
              <w:ind w:left="172"/>
              <w:rPr>
                <w:sz w:val="18"/>
              </w:rPr>
            </w:pPr>
            <w:r>
              <w:rPr>
                <w:color w:val="231F20"/>
                <w:sz w:val="18"/>
              </w:rPr>
              <w:t>重量（吨）</w:t>
            </w:r>
          </w:p>
        </w:tc>
        <w:tc>
          <w:tcPr>
            <w:tcW w:w="1246" w:type="dxa"/>
            <w:vMerge w:val="restart"/>
          </w:tcPr>
          <w:p>
            <w:pPr>
              <w:pStyle w:val="TableParagraph"/>
              <w:spacing w:before="7"/>
              <w:rPr>
                <w:sz w:val="13"/>
              </w:rPr>
            </w:pPr>
          </w:p>
          <w:p>
            <w:pPr>
              <w:pStyle w:val="TableParagraph"/>
              <w:spacing w:before="1"/>
              <w:ind w:left="172"/>
              <w:rPr>
                <w:sz w:val="18"/>
              </w:rPr>
            </w:pPr>
            <w:r>
              <w:rPr>
                <w:color w:val="231F20"/>
                <w:sz w:val="18"/>
              </w:rPr>
              <w:t>体积（m</w:t>
            </w:r>
            <w:r>
              <w:rPr>
                <w:color w:val="231F20"/>
                <w:position w:val="9"/>
                <w:sz w:val="10"/>
              </w:rPr>
              <w:t>3</w:t>
            </w:r>
            <w:r>
              <w:rPr>
                <w:color w:val="231F20"/>
                <w:sz w:val="18"/>
              </w:rPr>
              <w:t>）</w:t>
            </w:r>
          </w:p>
        </w:tc>
        <w:tc>
          <w:tcPr>
            <w:tcW w:w="1246" w:type="dxa"/>
            <w:vMerge w:val="restart"/>
          </w:tcPr>
          <w:p>
            <w:pPr>
              <w:pStyle w:val="TableParagraph"/>
              <w:spacing w:before="7"/>
              <w:rPr>
                <w:sz w:val="13"/>
              </w:rPr>
            </w:pPr>
          </w:p>
          <w:p>
            <w:pPr>
              <w:pStyle w:val="TableParagraph"/>
              <w:spacing w:before="1"/>
              <w:ind w:left="352"/>
              <w:rPr>
                <w:sz w:val="18"/>
              </w:rPr>
            </w:pPr>
            <w:r>
              <w:rPr>
                <w:color w:val="231F20"/>
                <w:sz w:val="18"/>
              </w:rPr>
              <w:t>起运港</w:t>
            </w:r>
          </w:p>
        </w:tc>
        <w:tc>
          <w:tcPr>
            <w:tcW w:w="983" w:type="dxa"/>
            <w:vMerge w:val="restart"/>
          </w:tcPr>
          <w:p>
            <w:pPr>
              <w:pStyle w:val="TableParagraph"/>
              <w:spacing w:before="7"/>
              <w:rPr>
                <w:sz w:val="13"/>
              </w:rPr>
            </w:pPr>
          </w:p>
          <w:p>
            <w:pPr>
              <w:pStyle w:val="TableParagraph"/>
              <w:spacing w:before="1"/>
              <w:ind w:left="221"/>
              <w:rPr>
                <w:sz w:val="18"/>
              </w:rPr>
            </w:pPr>
            <w:r>
              <w:rPr>
                <w:color w:val="231F20"/>
                <w:sz w:val="18"/>
              </w:rPr>
              <w:t>到达港</w:t>
            </w:r>
          </w:p>
        </w:tc>
        <w:tc>
          <w:tcPr>
            <w:tcW w:w="1096" w:type="dxa"/>
            <w:vMerge w:val="restart"/>
          </w:tcPr>
          <w:p>
            <w:pPr>
              <w:pStyle w:val="TableParagraph"/>
              <w:spacing w:before="7"/>
              <w:rPr>
                <w:sz w:val="13"/>
              </w:rPr>
            </w:pPr>
          </w:p>
          <w:p>
            <w:pPr>
              <w:pStyle w:val="TableParagraph"/>
              <w:spacing w:before="1"/>
              <w:ind w:left="277"/>
              <w:rPr>
                <w:sz w:val="18"/>
              </w:rPr>
            </w:pPr>
            <w:r>
              <w:rPr>
                <w:color w:val="231F20"/>
                <w:sz w:val="18"/>
              </w:rPr>
              <w:t>换装港</w:t>
            </w:r>
          </w:p>
        </w:tc>
        <w:tc>
          <w:tcPr>
            <w:tcW w:w="1682" w:type="dxa"/>
            <w:vMerge w:val="restart"/>
          </w:tcPr>
          <w:p>
            <w:pPr>
              <w:pStyle w:val="TableParagraph"/>
              <w:spacing w:before="7"/>
              <w:rPr>
                <w:sz w:val="13"/>
              </w:rPr>
            </w:pPr>
          </w:p>
          <w:p>
            <w:pPr>
              <w:pStyle w:val="TableParagraph"/>
              <w:spacing w:before="1"/>
              <w:ind w:left="140"/>
              <w:rPr>
                <w:sz w:val="18"/>
              </w:rPr>
            </w:pPr>
            <w:r>
              <w:rPr>
                <w:color w:val="231F20"/>
                <w:sz w:val="18"/>
              </w:rPr>
              <w:t>运价率（元 / 吨）</w:t>
            </w:r>
          </w:p>
        </w:tc>
        <w:tc>
          <w:tcPr>
            <w:tcW w:w="3096" w:type="dxa"/>
            <w:gridSpan w:val="2"/>
          </w:tcPr>
          <w:p>
            <w:pPr>
              <w:pStyle w:val="TableParagraph"/>
              <w:spacing w:before="22"/>
              <w:ind w:left="1079" w:right="107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收    货    人</w:t>
            </w:r>
          </w:p>
        </w:tc>
      </w:tr>
      <w:tr>
        <w:trPr>
          <w:trHeight w:val="340" w:hRule="atLeast"/>
        </w:trPr>
        <w:tc>
          <w:tcPr>
            <w:tcW w:w="13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</w:tcPr>
          <w:p>
            <w:pPr>
              <w:pStyle w:val="TableParagraph"/>
              <w:tabs>
                <w:tab w:pos="780" w:val="left" w:leader="none"/>
              </w:tabs>
              <w:spacing w:before="22"/>
              <w:ind w:left="240"/>
              <w:rPr>
                <w:sz w:val="18"/>
              </w:rPr>
            </w:pPr>
            <w:r>
              <w:rPr>
                <w:color w:val="231F20"/>
                <w:sz w:val="18"/>
              </w:rPr>
              <w:t>全</w:t>
              <w:tab/>
              <w:t>称</w:t>
            </w:r>
          </w:p>
        </w:tc>
        <w:tc>
          <w:tcPr>
            <w:tcW w:w="1893" w:type="dxa"/>
          </w:tcPr>
          <w:p>
            <w:pPr>
              <w:pStyle w:val="TableParagraph"/>
              <w:tabs>
                <w:tab w:pos="1125" w:val="left" w:leader="none"/>
              </w:tabs>
              <w:spacing w:before="22"/>
              <w:ind w:left="585"/>
              <w:rPr>
                <w:sz w:val="18"/>
              </w:rPr>
            </w:pPr>
            <w:r>
              <w:rPr>
                <w:color w:val="231F20"/>
                <w:sz w:val="18"/>
              </w:rPr>
              <w:t>电</w:t>
              <w:tab/>
              <w:t>话</w:t>
            </w:r>
          </w:p>
        </w:tc>
      </w:tr>
      <w:tr>
        <w:trPr>
          <w:trHeight w:val="340" w:hRule="atLeast"/>
        </w:trPr>
        <w:tc>
          <w:tcPr>
            <w:tcW w:w="13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13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13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13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80" w:hRule="atLeast"/>
        </w:trPr>
        <w:tc>
          <w:tcPr>
            <w:tcW w:w="1355" w:type="dxa"/>
          </w:tcPr>
          <w:p>
            <w:pPr>
              <w:pStyle w:val="TableParagraph"/>
              <w:spacing w:line="230" w:lineRule="auto" w:before="25"/>
              <w:ind w:left="226" w:right="199" w:firstLine="90"/>
              <w:rPr>
                <w:sz w:val="18"/>
              </w:rPr>
            </w:pPr>
            <w:r>
              <w:rPr>
                <w:color w:val="231F20"/>
                <w:sz w:val="18"/>
              </w:rPr>
              <w:t>特约事项和违约责任</w:t>
            </w:r>
          </w:p>
        </w:tc>
        <w:tc>
          <w:tcPr>
            <w:tcW w:w="12357" w:type="dxa"/>
            <w:gridSpan w:val="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20" w:hRule="atLeast"/>
        </w:trPr>
        <w:tc>
          <w:tcPr>
            <w:tcW w:w="7838" w:type="dxa"/>
            <w:gridSpan w:val="6"/>
          </w:tcPr>
          <w:p>
            <w:pPr>
              <w:pStyle w:val="TableParagraph"/>
              <w:spacing w:line="263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托运人签章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tabs>
                <w:tab w:pos="539" w:val="left" w:leader="none"/>
                <w:tab w:pos="1079" w:val="left" w:leader="none"/>
              </w:tabs>
              <w:spacing w:before="168"/>
              <w:ind w:right="16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  <w:tab/>
              <w:t>月</w:t>
              <w:tab/>
              <w:t>日</w:t>
            </w:r>
          </w:p>
        </w:tc>
        <w:tc>
          <w:tcPr>
            <w:tcW w:w="5874" w:type="dxa"/>
            <w:gridSpan w:val="4"/>
          </w:tcPr>
          <w:p>
            <w:pPr>
              <w:pStyle w:val="TableParagraph"/>
              <w:spacing w:line="249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承运人签章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tabs>
                <w:tab w:pos="539" w:val="left" w:leader="none"/>
                <w:tab w:pos="1079" w:val="left" w:leader="none"/>
              </w:tabs>
              <w:spacing w:line="267" w:lineRule="exact" w:before="1"/>
              <w:ind w:right="17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  <w:tab/>
              <w:t>月</w:t>
              <w:tab/>
              <w:t>日</w:t>
            </w:r>
          </w:p>
        </w:tc>
      </w:tr>
    </w:tbl>
    <w:p>
      <w:pPr>
        <w:pStyle w:val="BodyText"/>
        <w:spacing w:line="265" w:lineRule="exact" w:before="106"/>
        <w:ind w:left="117"/>
      </w:pPr>
      <w:r>
        <w:rPr>
          <w:color w:val="231F20"/>
        </w:rPr>
        <w:t>说明：l. 本合同正本一式两份，承托双方各执 l 份，副本若干份。</w:t>
      </w:r>
    </w:p>
    <w:p>
      <w:pPr>
        <w:pStyle w:val="BodyText"/>
        <w:spacing w:line="265" w:lineRule="exact" w:before="0"/>
        <w:ind w:left="657"/>
      </w:pPr>
      <w:r>
        <w:rPr>
          <w:color w:val="231F20"/>
        </w:rPr>
        <w:t>2. 规格：长 21 厘米，宽 30 厘米。</w:t>
      </w:r>
    </w:p>
    <w:sectPr>
      <w:type w:val="continuous"/>
      <w:pgSz w:w="16840" w:h="11910" w:orient="landscape"/>
      <w:pgMar w:top="1100" w:bottom="280" w:left="13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书宋_GBK">
    <w:altName w:val="方正书宋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方正书宋_GBK" w:hAnsi="方正书宋_GBK" w:eastAsia="方正书宋_GBK" w:cs="方正书宋_GBK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2021-12-01T23:29:50Z</dcterms:created>
  <dcterms:modified xsi:type="dcterms:W3CDTF">2021-12-01T23:29:50Z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