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w w:val="95"/>
          <w:sz w:val="28"/>
        </w:rPr>
        <w:t>GF—2012 —0115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577" w:lineRule="exact" w:before="0"/>
        <w:ind w:left="26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烟花爆竹安全买卖合同</w:t>
      </w:r>
    </w:p>
    <w:p>
      <w:pPr>
        <w:pStyle w:val="Heading1"/>
        <w:spacing w:before="152"/>
        <w:ind w:firstLine="1427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rPr>
          <w:rFonts w:ascii="方正楷体_GBK"/>
          <w:sz w:val="30"/>
        </w:rPr>
      </w:pPr>
    </w:p>
    <w:p>
      <w:pPr>
        <w:pStyle w:val="Heading2"/>
        <w:spacing w:before="254"/>
      </w:pPr>
      <w:r>
        <w:rPr>
          <w:color w:val="231F20"/>
        </w:rPr>
        <w:t>国家安全生产监督管理总局</w:t>
      </w:r>
    </w:p>
    <w:p>
      <w:pPr>
        <w:tabs>
          <w:tab w:pos="3814" w:val="left" w:leader="none"/>
          <w:tab w:pos="5244" w:val="left" w:leader="none"/>
          <w:tab w:pos="5764" w:val="left" w:leader="none"/>
        </w:tabs>
        <w:spacing w:line="285" w:lineRule="auto" w:before="69"/>
        <w:ind w:left="2385" w:right="3018" w:firstLine="0"/>
        <w:jc w:val="left"/>
        <w:rPr>
          <w:rFonts w:ascii="方正楷体_GBK" w:eastAsia="方正楷体_GBK" w:hint="eastAsia"/>
          <w:sz w:val="26"/>
        </w:rPr>
      </w:pPr>
      <w:r>
        <w:rPr>
          <w:rFonts w:ascii="方正楷体_GBK" w:eastAsia="方正楷体_GBK" w:hint="eastAsia"/>
          <w:color w:val="231F20"/>
          <w:spacing w:val="55"/>
          <w:sz w:val="26"/>
        </w:rPr>
        <w:t>国家工商行政管理总</w:t>
      </w:r>
      <w:r>
        <w:rPr>
          <w:rFonts w:ascii="方正楷体_GBK" w:eastAsia="方正楷体_GBK" w:hint="eastAsia"/>
          <w:color w:val="231F20"/>
          <w:sz w:val="26"/>
        </w:rPr>
        <w:t>局</w:t>
        <w:tab/>
        <w:t>制定公</w:t>
        <w:tab/>
        <w:t>安</w:t>
        <w:tab/>
        <w:t>部</w:t>
      </w:r>
    </w:p>
    <w:p>
      <w:pPr>
        <w:spacing w:before="16"/>
        <w:ind w:left="3275" w:right="4174" w:firstLine="0"/>
        <w:jc w:val="center"/>
        <w:rPr>
          <w:rFonts w:ascii="方正楷体_GBK" w:hAnsi="方正楷体_GBK" w:eastAsia="方正楷体_GBK" w:hint="eastAsia"/>
          <w:sz w:val="26"/>
        </w:rPr>
      </w:pPr>
      <w:r>
        <w:rPr>
          <w:rFonts w:ascii="方正楷体_GBK" w:hAnsi="方正楷体_GBK" w:eastAsia="方正楷体_GBK" w:hint="eastAsia"/>
          <w:color w:val="231F20"/>
          <w:sz w:val="26"/>
        </w:rPr>
        <w:t>二○一二年七月</w:t>
      </w: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rPr>
          <w:rFonts w:ascii="方正楷体_GBK"/>
          <w:sz w:val="20"/>
        </w:rPr>
      </w:pPr>
    </w:p>
    <w:p>
      <w:pPr>
        <w:pStyle w:val="BodyText"/>
        <w:spacing w:before="10"/>
        <w:rPr>
          <w:rFonts w:ascii="方正楷体_GBK"/>
          <w:sz w:val="15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69.866096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ind w:left="5578" w:right="5542"/>
        <w:jc w:val="center"/>
      </w:pPr>
      <w:r>
        <w:rPr>
          <w:color w:val="231F20"/>
        </w:rPr>
        <w:t>烟花爆竹安全买卖合同</w:t>
      </w:r>
    </w:p>
    <w:p>
      <w:pPr>
        <w:pStyle w:val="BodyText"/>
        <w:spacing w:before="7"/>
        <w:rPr>
          <w:rFonts w:ascii="方正黑体_GBK"/>
          <w:sz w:val="25"/>
        </w:rPr>
      </w:pPr>
    </w:p>
    <w:p>
      <w:pPr>
        <w:pStyle w:val="BodyText"/>
        <w:tabs>
          <w:tab w:pos="3958" w:val="left" w:leader="none"/>
          <w:tab w:pos="7672" w:val="left" w:leader="none"/>
          <w:tab w:pos="10631" w:val="left" w:leader="none"/>
          <w:tab w:pos="10902" w:val="left" w:leader="none"/>
          <w:tab w:pos="13143" w:val="left" w:leader="none"/>
          <w:tab w:pos="13636" w:val="left" w:leader="none"/>
        </w:tabs>
        <w:spacing w:line="638" w:lineRule="auto" w:before="22"/>
        <w:ind w:left="137" w:right="98" w:firstLine="11466"/>
      </w:pPr>
      <w:r>
        <w:rPr>
          <w:color w:val="231F20"/>
        </w:rPr>
        <w:t>合同编号</w:t>
      </w:r>
      <w:r>
        <w:rPr>
          <w:color w:val="231F20"/>
          <w:spacing w:val="-15"/>
        </w:rPr>
        <w:t>：[20</w:t>
        <w:tab/>
      </w:r>
      <w:r>
        <w:rPr>
          <w:color w:val="231F20"/>
        </w:rPr>
        <w:t>]</w:t>
        <w:tab/>
        <w:t>号供货单位（章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购货单位（章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签订地点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  <w:tab/>
      </w:r>
      <w:r>
        <w:rPr>
          <w:color w:val="231F20"/>
          <w:w w:val="11"/>
          <w:u w:val="single" w:color="231F20"/>
        </w:rPr>
        <w:t> </w:t>
      </w:r>
    </w:p>
    <w:p>
      <w:pPr>
        <w:pStyle w:val="Heading2"/>
        <w:spacing w:before="108"/>
        <w:ind w:left="5577" w:right="5542"/>
        <w:jc w:val="center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订  货  清 单</w:t>
      </w:r>
    </w:p>
    <w:p>
      <w:pPr>
        <w:pStyle w:val="BodyText"/>
        <w:spacing w:before="12"/>
        <w:rPr>
          <w:rFonts w:ascii="方正黑体_GBK"/>
          <w:sz w:val="13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3049"/>
        <w:gridCol w:w="1158"/>
        <w:gridCol w:w="1158"/>
        <w:gridCol w:w="1158"/>
        <w:gridCol w:w="720"/>
        <w:gridCol w:w="1158"/>
        <w:gridCol w:w="1158"/>
        <w:gridCol w:w="1030"/>
        <w:gridCol w:w="1457"/>
      </w:tblGrid>
      <w:tr>
        <w:trPr>
          <w:trHeight w:val="900" w:hRule="atLeast"/>
        </w:trPr>
        <w:tc>
          <w:tcPr>
            <w:tcW w:w="1652" w:type="dxa"/>
          </w:tcPr>
          <w:p>
            <w:pPr>
              <w:pStyle w:val="TableParagraph"/>
              <w:spacing w:line="265" w:lineRule="exact" w:before="44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产品代码</w:t>
            </w:r>
          </w:p>
          <w:p>
            <w:pPr>
              <w:pStyle w:val="TableParagraph"/>
              <w:spacing w:line="230" w:lineRule="auto" w:before="5"/>
              <w:ind w:left="195" w:right="1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（同流向登记的产品代码）</w:t>
            </w:r>
          </w:p>
        </w:tc>
        <w:tc>
          <w:tcPr>
            <w:tcW w:w="3049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1143" w:right="11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产品类别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产品级别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color w:val="231F20"/>
                <w:sz w:val="18"/>
              </w:rPr>
              <w:t>规格 / 型号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方正黑体_GBK"/>
                <w:sz w:val="12"/>
              </w:rPr>
            </w:pPr>
          </w:p>
          <w:p>
            <w:pPr>
              <w:pStyle w:val="TableParagraph"/>
              <w:spacing w:line="230" w:lineRule="auto"/>
              <w:ind w:left="179" w:right="151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158" w:type="dxa"/>
          </w:tcPr>
          <w:p>
            <w:pPr>
              <w:pStyle w:val="TableParagraph"/>
              <w:spacing w:line="265" w:lineRule="exact" w:before="174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箱含药量</w:t>
            </w:r>
          </w:p>
          <w:p>
            <w:pPr>
              <w:pStyle w:val="TableParagraph"/>
              <w:spacing w:line="265" w:lineRule="exact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（千克）</w:t>
            </w:r>
          </w:p>
        </w:tc>
        <w:tc>
          <w:tcPr>
            <w:tcW w:w="1158" w:type="dxa"/>
          </w:tcPr>
          <w:p>
            <w:pPr>
              <w:pStyle w:val="TableParagraph"/>
              <w:spacing w:before="9"/>
              <w:rPr>
                <w:rFonts w:ascii="方正黑体_GBK"/>
                <w:sz w:val="20"/>
              </w:rPr>
            </w:pPr>
          </w:p>
          <w:p>
            <w:pPr>
              <w:pStyle w:val="TableParagraph"/>
              <w:ind w:left="218"/>
              <w:rPr>
                <w:sz w:val="18"/>
              </w:rPr>
            </w:pPr>
            <w:r>
              <w:rPr>
                <w:color w:val="231F20"/>
                <w:sz w:val="18"/>
              </w:rPr>
              <w:t>订货数量</w:t>
            </w:r>
          </w:p>
        </w:tc>
        <w:tc>
          <w:tcPr>
            <w:tcW w:w="1030" w:type="dxa"/>
          </w:tcPr>
          <w:p>
            <w:pPr>
              <w:pStyle w:val="TableParagraph"/>
              <w:spacing w:line="265" w:lineRule="exact" w:before="174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  <w:p>
            <w:pPr>
              <w:pStyle w:val="TableParagraph"/>
              <w:spacing w:line="265" w:lineRule="exact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1457" w:type="dxa"/>
          </w:tcPr>
          <w:p>
            <w:pPr>
              <w:pStyle w:val="TableParagraph"/>
              <w:spacing w:line="265" w:lineRule="exact" w:before="174"/>
              <w:ind w:left="438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  <w:p>
            <w:pPr>
              <w:pStyle w:val="TableParagraph"/>
              <w:spacing w:line="265" w:lineRule="exact"/>
              <w:ind w:left="438" w:right="4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13698" w:type="dxa"/>
            <w:gridSpan w:val="10"/>
          </w:tcPr>
          <w:p>
            <w:pPr>
              <w:pStyle w:val="TableParagraph"/>
              <w:spacing w:before="44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合计人民币（大写）：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top="1100" w:bottom="280" w:left="1280" w:right="1600"/>
        </w:sectPr>
      </w:pPr>
    </w:p>
    <w:p>
      <w:pPr>
        <w:pStyle w:val="BodyText"/>
        <w:spacing w:before="4"/>
        <w:rPr>
          <w:rFonts w:ascii="方正黑体_GBK"/>
          <w:sz w:val="14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12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319" w:lineRule="auto" w:before="23"/>
        <w:ind w:left="117" w:right="52"/>
      </w:pPr>
      <w:r>
        <w:rPr>
          <w:color w:val="231F20"/>
          <w:spacing w:val="-6"/>
        </w:rPr>
        <w:t>一、本合同按照《中华人民共和国合同法》等有关规定执行。买卖双方应严格遵守《中华人民共和国安全生产法》、《烟花爆竹安全管理条例》等有关法律法规的规定，依法经营，保障安全。</w:t>
      </w:r>
    </w:p>
    <w:p>
      <w:pPr>
        <w:pStyle w:val="BodyText"/>
        <w:tabs>
          <w:tab w:pos="13836" w:val="left" w:leader="none"/>
        </w:tabs>
        <w:spacing w:line="319" w:lineRule="auto" w:before="26"/>
        <w:ind w:left="117" w:right="218"/>
        <w:jc w:val="both"/>
      </w:pPr>
      <w:r>
        <w:rPr>
          <w:color w:val="231F20"/>
        </w:rPr>
        <w:t>二、产品质量标准及要求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三、禁（限）用药物要求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四、产品包装标准及要求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五、提（交）货时间和地点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六、运输方式及费用负担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七、验收标准与方法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八、提出异议期限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九、结算方式与期限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十、产品安全与质量责任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十一、运输安全责任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十二、违约责任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8"/>
        <w:rPr>
          <w:sz w:val="20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203pt,17.522694pt" to="756.850203pt,17.52269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4169" w:val="left" w:leader="none"/>
          <w:tab w:pos="11167" w:val="left" w:leader="none"/>
        </w:tabs>
        <w:spacing w:line="319" w:lineRule="auto" w:before="83"/>
        <w:ind w:left="557" w:right="303" w:hanging="440"/>
      </w:pPr>
      <w:r>
        <w:rPr>
          <w:color w:val="231F20"/>
        </w:rPr>
        <w:t>十三、合同争议的解决方式</w:t>
      </w:r>
      <w:r>
        <w:rPr>
          <w:color w:val="231F20"/>
          <w:spacing w:val="-55"/>
        </w:rPr>
        <w:t>：</w:t>
      </w:r>
      <w:r>
        <w:rPr>
          <w:color w:val="231F20"/>
        </w:rPr>
        <w:t>本合同在履行过程中发生争议，由双方协商解决，协商不成的，按下列第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种方式解决（选择一种</w:t>
      </w:r>
      <w:r>
        <w:rPr>
          <w:color w:val="231F20"/>
          <w:spacing w:val="-28"/>
        </w:rPr>
        <w:t>）：</w:t>
      </w:r>
      <w:r>
        <w:rPr>
          <w:color w:val="231F20"/>
        </w:rPr>
        <w:t> 1、双方同意将争议提交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25"/>
        <w:ind w:left="557"/>
      </w:pPr>
      <w:r>
        <w:rPr>
          <w:color w:val="231F20"/>
        </w:rPr>
        <w:t>2、依法向人民法院提起诉讼。</w:t>
      </w:r>
    </w:p>
    <w:p>
      <w:pPr>
        <w:pStyle w:val="BodyText"/>
        <w:tabs>
          <w:tab w:pos="13836" w:val="left" w:leader="none"/>
        </w:tabs>
        <w:spacing w:before="109"/>
        <w:ind w:left="117"/>
        <w:jc w:val="both"/>
      </w:pPr>
      <w:r>
        <w:rPr>
          <w:color w:val="231F20"/>
        </w:rPr>
        <w:t>十四、其他约定事项（可另附页</w:t>
      </w:r>
      <w:r>
        <w:rPr>
          <w:color w:val="231F20"/>
          <w:spacing w:val="-28"/>
        </w:rPr>
        <w:t>）：</w:t>
        <w:tab/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203pt,21.699642pt" to="756.850203pt,21.699642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203pt,43.699642pt" to="756.850203pt,43.699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1100" w:bottom="280" w:left="1300" w:right="1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9.550014pt;margin-top:69.866096pt;width:13.1pt;height:7pt;mso-position-horizontal-relative:page;mso-position-vertical-relative:page;z-index:1144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2205"/>
        <w:gridCol w:w="1224"/>
        <w:gridCol w:w="1715"/>
        <w:gridCol w:w="1715"/>
        <w:gridCol w:w="2256"/>
        <w:gridCol w:w="1173"/>
        <w:gridCol w:w="1715"/>
      </w:tblGrid>
      <w:tr>
        <w:trPr>
          <w:trHeight w:val="600" w:hRule="atLeast"/>
        </w:trPr>
        <w:tc>
          <w:tcPr>
            <w:tcW w:w="13717" w:type="dxa"/>
            <w:gridSpan w:val="8"/>
          </w:tcPr>
          <w:p>
            <w:pPr>
              <w:pStyle w:val="TableParagraph"/>
              <w:spacing w:before="133"/>
              <w:ind w:left="5986" w:right="598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购  货  单  位（章）</w:t>
            </w: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单位名称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许可证编号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单位地址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0" w:hRule="atLeast"/>
        </w:trPr>
        <w:tc>
          <w:tcPr>
            <w:tcW w:w="1714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65" w:lineRule="exact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</w:t>
            </w:r>
          </w:p>
          <w:p>
            <w:pPr>
              <w:pStyle w:val="TableParagraph"/>
              <w:spacing w:line="265" w:lineRule="exact"/>
              <w:ind w:left="496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229" w:right="2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65" w:lineRule="exact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  <w:p>
            <w:pPr>
              <w:pStyle w:val="TableParagraph"/>
              <w:spacing w:line="265" w:lineRule="exact"/>
              <w:ind w:left="493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201" w:righ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   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13717" w:type="dxa"/>
            <w:gridSpan w:val="8"/>
          </w:tcPr>
          <w:p>
            <w:pPr>
              <w:pStyle w:val="TableParagraph"/>
              <w:spacing w:before="133"/>
              <w:ind w:left="5986" w:right="598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供  货  单 位（章）</w:t>
            </w: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单位名称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许可证编号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单位地址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0" w:hRule="atLeast"/>
        </w:trPr>
        <w:tc>
          <w:tcPr>
            <w:tcW w:w="1714" w:type="dxa"/>
          </w:tcPr>
          <w:p>
            <w:pPr>
              <w:pStyle w:val="TableParagraph"/>
              <w:spacing w:before="14"/>
              <w:rPr>
                <w:sz w:val="12"/>
              </w:rPr>
            </w:pPr>
          </w:p>
          <w:p>
            <w:pPr>
              <w:pStyle w:val="TableParagraph"/>
              <w:spacing w:line="265" w:lineRule="exact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</w:t>
            </w:r>
          </w:p>
          <w:p>
            <w:pPr>
              <w:pStyle w:val="TableParagraph"/>
              <w:spacing w:line="265" w:lineRule="exact"/>
              <w:ind w:left="496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29" w:right="2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4"/>
              <w:rPr>
                <w:sz w:val="12"/>
              </w:rPr>
            </w:pPr>
          </w:p>
          <w:p>
            <w:pPr>
              <w:pStyle w:val="TableParagraph"/>
              <w:spacing w:line="265" w:lineRule="exact"/>
              <w:ind w:left="403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  <w:p>
            <w:pPr>
              <w:pStyle w:val="TableParagraph"/>
              <w:spacing w:line="265" w:lineRule="exact"/>
              <w:ind w:left="493"/>
              <w:rPr>
                <w:sz w:val="18"/>
              </w:rPr>
            </w:pPr>
            <w:r>
              <w:rPr>
                <w:color w:val="231F20"/>
                <w:sz w:val="18"/>
              </w:rPr>
              <w:t>（签字）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01" w:righ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联系电话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136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136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电子邮箱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714" w:type="dxa"/>
          </w:tcPr>
          <w:p>
            <w:pPr>
              <w:pStyle w:val="TableParagraph"/>
              <w:spacing w:before="44"/>
              <w:ind w:left="476" w:right="4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before="44"/>
              <w:ind w:left="383" w:right="3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   户</w:t>
            </w:r>
          </w:p>
        </w:tc>
        <w:tc>
          <w:tcPr>
            <w:tcW w:w="514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9596" w:val="left" w:leader="none"/>
          <w:tab w:pos="10249" w:val="left" w:leader="none"/>
          <w:tab w:pos="10902" w:val="left" w:leader="none"/>
          <w:tab w:pos="12330" w:val="left" w:leader="none"/>
          <w:tab w:pos="12983" w:val="left" w:leader="none"/>
          <w:tab w:pos="13636" w:val="left" w:leader="none"/>
        </w:tabs>
        <w:spacing w:before="91"/>
        <w:ind w:left="7836"/>
      </w:pPr>
      <w:r>
        <w:rPr>
          <w:color w:val="231F20"/>
        </w:rPr>
        <w:t>有效期自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  <w:r>
        <w:rPr>
          <w:color w:val="231F20"/>
          <w:spacing w:val="52"/>
        </w:rPr>
        <w:t>至</w:t>
      </w:r>
      <w:r>
        <w:rPr>
          <w:color w:val="231F20"/>
          <w:spacing w:val="52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sectPr>
      <w:pgSz w:w="16840" w:h="11910" w:orient="landscape"/>
      <w:pgMar w:top="110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/>
      <w:ind w:left="2385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6"/>
      <w:ind w:left="2385"/>
      <w:outlineLvl w:val="2"/>
    </w:pPr>
    <w:rPr>
      <w:rFonts w:ascii="方正楷体_GBK" w:hAnsi="方正楷体_GBK" w:eastAsia="方正楷体_GBK" w:cs="方正楷体_GBK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