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spacing w:line="580" w:lineRule="exact"/>
        <w:rPr>
          <w:rFonts w:ascii="黑体" w:eastAsia="黑体"/>
          <w:sz w:val="32"/>
        </w:rPr>
      </w:pPr>
    </w:p>
    <w:p w:rsidR="00000000" w:rsidRDefault="00000000">
      <w:pPr>
        <w:pStyle w:val="af2"/>
        <w:spacing w:line="560" w:lineRule="exact"/>
        <w:ind w:firstLineChars="200" w:firstLine="560"/>
        <w:rPr>
          <w:rFonts w:ascii="Times New Roman" w:eastAsia="方正仿宋_GBK" w:hAnsi="Times New Roman"/>
          <w:color w:val="auto"/>
          <w:sz w:val="28"/>
          <w:szCs w:val="22"/>
        </w:rPr>
      </w:pPr>
      <w:r>
        <w:rPr>
          <w:rFonts w:ascii="Times New Roman" w:eastAsia="方正仿宋_GBK" w:hAnsi="Times New Roman"/>
          <w:color w:val="auto"/>
          <w:sz w:val="28"/>
          <w:szCs w:val="22"/>
        </w:rPr>
        <w:t>GF-2021-0514</w:t>
      </w: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482" w:lineRule="exact"/>
        <w:rPr>
          <w:rFonts w:hAnsi="宋体" w:cs="宋体"/>
        </w:rPr>
      </w:pPr>
    </w:p>
    <w:p w:rsidR="00000000" w:rsidRDefault="00000000">
      <w:pPr>
        <w:pStyle w:val="aa"/>
        <w:adjustRightInd w:val="0"/>
        <w:snapToGrid w:val="0"/>
        <w:spacing w:line="682" w:lineRule="exact"/>
        <w:jc w:val="center"/>
        <w:outlineLvl w:val="0"/>
        <w:rPr>
          <w:rFonts w:ascii="方正小标宋简体" w:eastAsia="方正小标宋简体" w:hAnsi="宋体" w:cs="宋体" w:hint="eastAsia"/>
          <w:sz w:val="48"/>
          <w:szCs w:val="48"/>
        </w:rPr>
      </w:pPr>
      <w:r>
        <w:rPr>
          <w:rFonts w:ascii="方正小标宋简体" w:eastAsia="方正小标宋简体" w:hAnsi="宋体" w:cs="宋体" w:hint="eastAsia"/>
          <w:sz w:val="48"/>
          <w:szCs w:val="48"/>
        </w:rPr>
        <w:t>电化学储能电站并网调度协议示范文本</w:t>
      </w:r>
    </w:p>
    <w:p w:rsidR="00000000" w:rsidRDefault="00000000">
      <w:pPr>
        <w:pStyle w:val="aa"/>
        <w:adjustRightInd w:val="0"/>
        <w:snapToGrid w:val="0"/>
        <w:spacing w:line="682" w:lineRule="exact"/>
        <w:jc w:val="center"/>
        <w:outlineLvl w:val="0"/>
        <w:rPr>
          <w:rFonts w:ascii="方正小标宋简体" w:eastAsia="方正小标宋简体" w:hAnsi="宋体" w:cs="宋体" w:hint="eastAsia"/>
          <w:sz w:val="48"/>
          <w:szCs w:val="48"/>
        </w:rPr>
      </w:pPr>
      <w:r>
        <w:rPr>
          <w:rFonts w:ascii="方正小标宋简体" w:eastAsia="方正小标宋简体" w:hAnsi="宋体" w:cs="宋体" w:hint="eastAsia"/>
          <w:sz w:val="48"/>
          <w:szCs w:val="48"/>
        </w:rPr>
        <w:t>（试行）</w:t>
      </w:r>
    </w:p>
    <w:p w:rsidR="00000000" w:rsidRDefault="00000000">
      <w:pPr>
        <w:pStyle w:val="aa"/>
        <w:adjustRightInd w:val="0"/>
        <w:snapToGrid w:val="0"/>
        <w:spacing w:line="682" w:lineRule="exact"/>
        <w:jc w:val="center"/>
        <w:outlineLvl w:val="0"/>
        <w:rPr>
          <w:rFonts w:ascii="楷体_GB2312" w:eastAsia="楷体_GB2312" w:hAnsi="楷体_GB2312" w:cs="楷体_GB2312" w:hint="eastAsia"/>
          <w:sz w:val="48"/>
          <w:szCs w:val="48"/>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000000">
      <w:pPr>
        <w:pStyle w:val="aa"/>
        <w:adjustRightInd w:val="0"/>
        <w:snapToGrid w:val="0"/>
        <w:spacing w:line="482" w:lineRule="exact"/>
        <w:jc w:val="center"/>
        <w:rPr>
          <w:rFonts w:ascii="楷体_GB2312" w:eastAsia="楷体_GB2312" w:hAnsi="宋体" w:cs="宋体"/>
          <w:sz w:val="32"/>
          <w:szCs w:val="32"/>
        </w:rPr>
      </w:pPr>
    </w:p>
    <w:p w:rsidR="00000000" w:rsidRDefault="009123C5">
      <w:pPr>
        <w:pStyle w:val="aa"/>
        <w:adjustRightInd w:val="0"/>
        <w:snapToGrid w:val="0"/>
        <w:spacing w:line="482" w:lineRule="exact"/>
        <w:jc w:val="center"/>
        <w:rPr>
          <w:rFonts w:ascii="楷体_GB2312" w:eastAsia="楷体_GB2312" w:hAnsi="宋体" w:cs="宋体"/>
          <w:sz w:val="32"/>
          <w:szCs w:val="32"/>
        </w:rPr>
      </w:pPr>
      <w:r>
        <w:rPr>
          <w:noProof/>
        </w:rPr>
        <w:pict w14:anchorId="7D18221A">
          <v:shapetype id="_x0000_t202" coordsize="21600,21600" o:spt="202" path="m,l,21600r21600,l21600,xe">
            <v:stroke joinstyle="miter"/>
            <v:path gradientshapeok="t" o:connecttype="rect"/>
          </v:shapetype>
          <v:shape id="文本框 2" o:spid="_x0000_s1026" type="#_x0000_t202" style="position:absolute;left:0;text-align:left;margin-left:330.75pt;margin-top:9.3pt;width:57.75pt;height:31.2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" stroked="f">
            <v:textbox>
              <w:txbxContent>
                <w:p w:rsidR="00000000" w:rsidRDefault="00000000">
                  <w:pPr>
                    <w:rPr>
                      <w:rFonts w:ascii="楷体_GB2312" w:eastAsia="楷体_GB2312"/>
                      <w:sz w:val="32"/>
                      <w:szCs w:val="32"/>
                    </w:rPr>
                  </w:pPr>
                  <w:r>
                    <w:rPr>
                      <w:rFonts w:ascii="楷体_GB2312" w:eastAsia="楷体_GB2312" w:hint="eastAsia"/>
                      <w:sz w:val="32"/>
                      <w:szCs w:val="32"/>
                    </w:rPr>
                    <w:t>制定</w:t>
                  </w:r>
                </w:p>
              </w:txbxContent>
            </v:textbox>
          </v:shape>
        </w:pict>
      </w:r>
      <w:r w:rsidR="00000000">
        <w:rPr>
          <w:rFonts w:ascii="楷体_GB2312" w:eastAsia="楷体_GB2312" w:hAnsi="宋体" w:cs="宋体" w:hint="eastAsia"/>
          <w:spacing w:val="18"/>
          <w:sz w:val="32"/>
          <w:szCs w:val="32"/>
        </w:rPr>
        <w:t>国家能源局</w:t>
      </w:r>
    </w:p>
    <w:p w:rsidR="00000000" w:rsidRDefault="00000000">
      <w:pPr>
        <w:pStyle w:val="aa"/>
        <w:adjustRightInd w:val="0"/>
        <w:snapToGrid w:val="0"/>
        <w:spacing w:line="482" w:lineRule="exact"/>
        <w:jc w:val="center"/>
        <w:outlineLvl w:val="1"/>
        <w:rPr>
          <w:rFonts w:ascii="楷体_GB2312" w:eastAsia="楷体_GB2312" w:hAnsi="宋体" w:cs="宋体"/>
          <w:sz w:val="32"/>
          <w:szCs w:val="32"/>
        </w:rPr>
      </w:pPr>
      <w:r>
        <w:rPr>
          <w:rFonts w:ascii="楷体_GB2312" w:eastAsia="楷体_GB2312" w:hAnsi="宋体" w:cs="宋体" w:hint="eastAsia"/>
          <w:sz w:val="32"/>
          <w:szCs w:val="32"/>
        </w:rPr>
        <w:t>国家市场监督管理总局</w:t>
      </w:r>
    </w:p>
    <w:p w:rsidR="00000000" w:rsidRDefault="00000000">
      <w:pPr>
        <w:jc w:val="center"/>
        <w:rPr>
          <w:rFonts w:ascii="黑体" w:eastAsia="黑体" w:hint="eastAsia"/>
          <w:kern w:val="28"/>
          <w:position w:val="6"/>
        </w:rPr>
        <w:sectPr w:rsidR="00000000">
          <w:pgSz w:w="11906" w:h="16838"/>
          <w:pgMar w:top="1701" w:right="1134" w:bottom="1247" w:left="1361" w:header="0" w:footer="1418" w:gutter="0"/>
          <w:pgNumType w:start="0"/>
          <w:cols w:space="720"/>
          <w:titlePg/>
          <w:docGrid w:type="lines" w:linePitch="312"/>
        </w:sectPr>
      </w:pPr>
      <w:r>
        <w:rPr>
          <w:rFonts w:ascii="楷体_GB2312" w:eastAsia="楷体_GB2312" w:hAnsi="宋体" w:cs="宋体" w:hint="eastAsia"/>
          <w:sz w:val="32"/>
          <w:szCs w:val="32"/>
        </w:rPr>
        <w:t>二○二一年 月</w:t>
      </w:r>
    </w:p>
    <w:p w:rsidR="00000000" w:rsidRDefault="00000000">
      <w:pPr>
        <w:pStyle w:val="1"/>
        <w:numPr>
          <w:ilvl w:val="0"/>
          <w:numId w:val="0"/>
        </w:numPr>
        <w:adjustRightInd w:val="0"/>
        <w:snapToGrid w:val="0"/>
        <w:spacing w:before="0" w:after="0" w:line="560" w:lineRule="exact"/>
        <w:jc w:val="center"/>
        <w:rPr>
          <w:rFonts w:ascii="方正小标宋_GBK" w:eastAsia="方正小标宋_GBK" w:hint="eastAsia"/>
          <w:b w:val="0"/>
          <w:bCs w:val="0"/>
          <w:sz w:val="40"/>
          <w:szCs w:val="40"/>
        </w:rPr>
      </w:pPr>
      <w:r>
        <w:rPr>
          <w:rFonts w:ascii="方正小标宋_GBK" w:eastAsia="方正小标宋_GBK" w:hint="eastAsia"/>
          <w:b w:val="0"/>
          <w:bCs w:val="0"/>
          <w:sz w:val="40"/>
          <w:szCs w:val="40"/>
        </w:rPr>
        <w:lastRenderedPageBreak/>
        <w:t>《电化学储能电站并网调度协议示范文本（试行）》</w:t>
      </w: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int="eastAsia"/>
          <w:b w:val="0"/>
          <w:bCs w:val="0"/>
          <w:sz w:val="40"/>
          <w:szCs w:val="40"/>
        </w:rPr>
      </w:pP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int="eastAsia"/>
          <w:b w:val="0"/>
          <w:bCs w:val="0"/>
          <w:sz w:val="40"/>
          <w:szCs w:val="40"/>
        </w:rPr>
      </w:pPr>
      <w:r>
        <w:rPr>
          <w:rFonts w:ascii="方正小标宋_GBK" w:eastAsia="方正小标宋_GBK" w:hint="eastAsia"/>
          <w:b w:val="0"/>
          <w:bCs w:val="0"/>
          <w:sz w:val="40"/>
          <w:szCs w:val="40"/>
        </w:rPr>
        <w:t>使用说明</w:t>
      </w:r>
    </w:p>
    <w:p w:rsidR="00000000" w:rsidRDefault="00000000">
      <w:pPr>
        <w:pStyle w:val="1"/>
        <w:keepNext w:val="0"/>
        <w:keepLines w:val="0"/>
        <w:numPr>
          <w:ilvl w:val="0"/>
          <w:numId w:val="0"/>
        </w:numPr>
        <w:adjustRightInd w:val="0"/>
        <w:snapToGrid w:val="0"/>
        <w:spacing w:before="0" w:after="0" w:line="560" w:lineRule="exact"/>
        <w:jc w:val="center"/>
        <w:rPr>
          <w:rFonts w:ascii="方正小标宋_GBK" w:eastAsia="方正小标宋_GBK" w:hint="eastAsia"/>
          <w:b w:val="0"/>
          <w:bCs w:val="0"/>
          <w:sz w:val="40"/>
          <w:szCs w:val="40"/>
        </w:rPr>
      </w:pP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一、《电化学储能电站并网调度协议示范文本（试行）》（以下简称《示范文本》）是对电化学储能电站并入电网时双方调度和运行行为的约定，适用于向公用电网充</w:t>
      </w:r>
      <w:r>
        <w:rPr>
          <w:rFonts w:ascii="Times New Roman" w:eastAsia="仿宋_GB2312" w:hAnsi="Times New Roman"/>
          <w:kern w:val="28"/>
          <w:sz w:val="30"/>
          <w:szCs w:val="30"/>
        </w:rPr>
        <w:t>/</w:t>
      </w:r>
      <w:r>
        <w:rPr>
          <w:rFonts w:ascii="Times New Roman" w:eastAsia="仿宋_GB2312" w:hAnsi="Times New Roman"/>
          <w:kern w:val="28"/>
          <w:sz w:val="30"/>
          <w:szCs w:val="30"/>
        </w:rPr>
        <w:t>放电的电化学储能电站项目与电网之间签订并网调度协议。其他形式的充</w:t>
      </w:r>
      <w:r>
        <w:rPr>
          <w:rFonts w:ascii="Times New Roman" w:eastAsia="仿宋_GB2312" w:hAnsi="Times New Roman"/>
          <w:kern w:val="28"/>
          <w:sz w:val="30"/>
          <w:szCs w:val="30"/>
        </w:rPr>
        <w:t>/</w:t>
      </w:r>
      <w:r>
        <w:rPr>
          <w:rFonts w:ascii="Times New Roman" w:eastAsia="仿宋_GB2312" w:hAnsi="Times New Roman"/>
          <w:kern w:val="28"/>
          <w:sz w:val="30"/>
          <w:szCs w:val="30"/>
        </w:rPr>
        <w:t>放电设施，如压缩空气、飞轮储能、电动汽车充</w:t>
      </w:r>
      <w:r>
        <w:rPr>
          <w:rFonts w:ascii="Times New Roman" w:eastAsia="仿宋_GB2312" w:hAnsi="Times New Roman"/>
          <w:kern w:val="28"/>
          <w:sz w:val="30"/>
          <w:szCs w:val="30"/>
        </w:rPr>
        <w:t>/</w:t>
      </w:r>
      <w:r>
        <w:rPr>
          <w:rFonts w:ascii="Times New Roman" w:eastAsia="仿宋_GB2312" w:hAnsi="Times New Roman"/>
          <w:kern w:val="28"/>
          <w:sz w:val="30"/>
          <w:szCs w:val="30"/>
        </w:rPr>
        <w:t>换电站、智慧能源系统、微电网等，也可以参照或双方协商简化条款使用。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二、《示范文本》主要针对电化学储能电站并入电网调度运行的安全和技术问题，设定了双方应承担的基本义务、必须满足的技术条件和行为规范。对于本文本中所涉及的技术条件，如果国家、行业颁布新的相关技术规范和行业标准，双方应遵从其规定。</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三、</w:t>
      </w:r>
      <w:r>
        <w:rPr>
          <w:rFonts w:ascii="Times New Roman" w:eastAsia="仿宋_GB2312" w:hAnsi="Times New Roman"/>
          <w:spacing w:val="-8"/>
          <w:kern w:val="28"/>
          <w:sz w:val="30"/>
          <w:szCs w:val="30"/>
        </w:rPr>
        <w:t>《示范文本》中有关空格的内容由双方约定或据实填写，空格处没有添加内容的，请填写</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rPr>
        <w:t>无</w:t>
      </w:r>
      <w:r>
        <w:rPr>
          <w:rFonts w:ascii="Times New Roman" w:eastAsia="仿宋_GB2312" w:hAnsi="Times New Roman"/>
          <w:spacing w:val="-8"/>
          <w:kern w:val="28"/>
          <w:sz w:val="30"/>
          <w:szCs w:val="30"/>
        </w:rPr>
        <w:t>”</w:t>
      </w:r>
      <w:r>
        <w:rPr>
          <w:rFonts w:ascii="Times New Roman" w:eastAsia="仿宋_GB2312" w:hAnsi="Times New Roman"/>
          <w:spacing w:val="-8"/>
          <w:kern w:val="28"/>
          <w:sz w:val="30"/>
          <w:szCs w:val="30"/>
        </w:rPr>
        <w:t>。《示范文本》所列数字、百分比、期间均为参考值。协议双方可根据具体情况和电力系统安全运行的需要，在公平、合理和协商一致的基础上对参考值进行适当调整</w:t>
      </w:r>
      <w:r>
        <w:rPr>
          <w:rFonts w:ascii="Times New Roman" w:eastAsia="仿宋_GB2312" w:hAnsi="Times New Roman"/>
          <w:spacing w:val="-8"/>
          <w:kern w:val="28"/>
          <w:sz w:val="30"/>
          <w:szCs w:val="30"/>
          <w:vertAlign w:val="superscript"/>
        </w:rPr>
        <w:footnoteReference w:id="1"/>
      </w:r>
      <w:r>
        <w:rPr>
          <w:rFonts w:ascii="Times New Roman" w:eastAsia="仿宋_GB2312" w:hAnsi="Times New Roman"/>
          <w:spacing w:val="-8"/>
          <w:kern w:val="28"/>
          <w:sz w:val="30"/>
          <w:szCs w:val="30"/>
        </w:rPr>
        <w:t>，</w:t>
      </w:r>
      <w:r>
        <w:rPr>
          <w:rFonts w:ascii="Times New Roman" w:eastAsia="仿宋_GB2312" w:hAnsi="Times New Roman"/>
          <w:spacing w:val="-4"/>
          <w:kern w:val="28"/>
          <w:sz w:val="30"/>
          <w:szCs w:val="30"/>
        </w:rPr>
        <w:t>对有关章节或条款进行补充、细化或完善，增加或减少定义、附件等。法律、法</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spacing w:val="-4"/>
          <w:kern w:val="28"/>
          <w:sz w:val="30"/>
          <w:szCs w:val="30"/>
        </w:rPr>
        <w:t>规或者国家有关部门有规定的，按照规定执行。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四、签订并网调度协议的主要目的是维护电网经营企业和电化学储</w:t>
      </w:r>
      <w:r>
        <w:rPr>
          <w:rFonts w:ascii="Times New Roman" w:eastAsia="仿宋_GB2312" w:hAnsi="Times New Roman"/>
          <w:kern w:val="28"/>
          <w:sz w:val="30"/>
          <w:szCs w:val="30"/>
        </w:rPr>
        <w:lastRenderedPageBreak/>
        <w:t>能电站的合法权益，保证电力交易合同的实施，保障电力系统安全、优质、经济运行。</w:t>
      </w:r>
    </w:p>
    <w:p w:rsidR="00000000" w:rsidRDefault="00000000">
      <w:pPr>
        <w:pStyle w:val="21"/>
        <w:numPr>
          <w:ilvl w:val="0"/>
          <w:numId w:val="0"/>
        </w:numPr>
        <w:topLinePunct/>
        <w:ind w:firstLineChars="200" w:firstLine="600"/>
        <w:outlineLvl w:val="9"/>
        <w:rPr>
          <w:rFonts w:ascii="Times New Roman" w:eastAsia="仿宋_GB2312" w:hAnsi="Times New Roman"/>
          <w:sz w:val="30"/>
          <w:szCs w:val="30"/>
        </w:rPr>
      </w:pPr>
      <w:r>
        <w:rPr>
          <w:rFonts w:ascii="Times New Roman" w:eastAsia="仿宋_GB2312" w:hAnsi="Times New Roman"/>
          <w:kern w:val="28"/>
          <w:sz w:val="30"/>
          <w:szCs w:val="30"/>
        </w:rPr>
        <w:t>五、《示范文本》特别条款及附件中略去的部分，双方可根据实际情况进行补充或约定。</w:t>
      </w:r>
    </w:p>
    <w:p w:rsidR="00000000" w:rsidRDefault="00000000">
      <w:pPr>
        <w:pStyle w:val="d2"/>
        <w:rPr>
          <w:rFonts w:hint="eastAsia"/>
        </w:rPr>
      </w:pPr>
    </w:p>
    <w:p w:rsidR="00000000" w:rsidRDefault="00000000">
      <w:pPr>
        <w:pStyle w:val="d2"/>
        <w:rPr>
          <w:rFonts w:hint="eastAsia"/>
        </w:rPr>
      </w:pPr>
      <w:r>
        <w:br w:type="page"/>
      </w:r>
      <w:r>
        <w:rPr>
          <w:rFonts w:hint="eastAsia"/>
        </w:rPr>
        <w:lastRenderedPageBreak/>
        <w:t>目录</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定义与解释</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2</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双方陈述</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3</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双方义务</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4</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并网条件</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5</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并网申请及受理</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6</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调试期的并网调度</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7</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调度运行</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8</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kern w:val="28"/>
          <w:sz w:val="30"/>
          <w:szCs w:val="30"/>
        </w:rPr>
        <w:t>充</w:t>
      </w:r>
      <w:r>
        <w:rPr>
          <w:rStyle w:val="af8"/>
          <w:rFonts w:eastAsia="仿宋_GB2312" w:hint="eastAsia"/>
          <w:sz w:val="30"/>
          <w:szCs w:val="30"/>
          <w:lang w:val="en-US" w:eastAsia="zh-CN"/>
        </w:rPr>
        <w:t>/</w:t>
      </w:r>
      <w:r>
        <w:rPr>
          <w:rStyle w:val="af8"/>
          <w:rFonts w:eastAsia="仿宋_GB2312"/>
          <w:kern w:val="28"/>
          <w:sz w:val="30"/>
          <w:szCs w:val="30"/>
        </w:rPr>
        <w:t>放</w:t>
      </w:r>
      <w:r>
        <w:rPr>
          <w:rStyle w:val="af8"/>
          <w:rFonts w:eastAsia="仿宋_GB2312" w:hint="eastAsia"/>
          <w:sz w:val="30"/>
          <w:szCs w:val="30"/>
          <w:lang w:val="en-US" w:eastAsia="zh-CN"/>
        </w:rPr>
        <w:t>电</w:t>
      </w:r>
      <w:r>
        <w:rPr>
          <w:rStyle w:val="af8"/>
          <w:rFonts w:eastAsia="仿宋_GB2312"/>
          <w:sz w:val="30"/>
          <w:szCs w:val="30"/>
          <w:lang w:val="en-US" w:eastAsia="zh-CN"/>
        </w:rPr>
        <w:t>计划</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9</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设备检修</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rPr>
        <w:t>第</w:t>
      </w:r>
      <w:r>
        <w:rPr>
          <w:rStyle w:val="af8"/>
          <w:rFonts w:eastAsia="仿宋_GB2312" w:hint="eastAsia"/>
          <w:sz w:val="30"/>
          <w:szCs w:val="30"/>
        </w:rPr>
        <w:t>10</w:t>
      </w:r>
      <w:r>
        <w:rPr>
          <w:rStyle w:val="af8"/>
          <w:rFonts w:eastAsia="仿宋_GB2312"/>
          <w:sz w:val="30"/>
          <w:szCs w:val="30"/>
        </w:rPr>
        <w:t>章</w:t>
      </w:r>
      <w:r>
        <w:rPr>
          <w:rStyle w:val="af8"/>
          <w:rFonts w:eastAsia="仿宋_GB2312"/>
          <w:sz w:val="30"/>
          <w:szCs w:val="30"/>
        </w:rPr>
        <w:t xml:space="preserve">  </w:t>
      </w:r>
      <w:r>
        <w:rPr>
          <w:rStyle w:val="af8"/>
          <w:rFonts w:eastAsia="仿宋_GB2312" w:hint="eastAsia"/>
          <w:sz w:val="30"/>
          <w:szCs w:val="30"/>
        </w:rPr>
        <w:t>涉网性能</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1</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继电保护及安全自动装置</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2</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调度自动化</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3</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调度通信</w:t>
      </w:r>
    </w:p>
    <w:p w:rsidR="00000000" w:rsidRDefault="00000000">
      <w:pPr>
        <w:pStyle w:val="TOC1"/>
        <w:spacing w:line="240" w:lineRule="auto"/>
        <w:rPr>
          <w:rFonts w:ascii="Times New Roman" w:eastAsia="仿宋_GB2312" w:hint="eastAsia"/>
          <w:kern w:val="2"/>
          <w:sz w:val="30"/>
          <w:szCs w:val="30"/>
        </w:rPr>
      </w:pPr>
      <w:r>
        <w:rPr>
          <w:rStyle w:val="af8"/>
          <w:rFonts w:eastAsia="仿宋_GB2312"/>
          <w:sz w:val="30"/>
          <w:szCs w:val="30"/>
        </w:rPr>
        <w:t>第</w:t>
      </w:r>
      <w:r>
        <w:rPr>
          <w:rStyle w:val="af8"/>
          <w:rFonts w:eastAsia="仿宋_GB2312"/>
          <w:sz w:val="30"/>
          <w:szCs w:val="30"/>
        </w:rPr>
        <w:t>1</w:t>
      </w:r>
      <w:r>
        <w:rPr>
          <w:rStyle w:val="af8"/>
          <w:rFonts w:eastAsia="仿宋_GB2312" w:hint="eastAsia"/>
          <w:sz w:val="30"/>
          <w:szCs w:val="30"/>
        </w:rPr>
        <w:t>4</w:t>
      </w:r>
      <w:r>
        <w:rPr>
          <w:rStyle w:val="af8"/>
          <w:rFonts w:eastAsia="仿宋_GB2312"/>
          <w:sz w:val="30"/>
          <w:szCs w:val="30"/>
        </w:rPr>
        <w:t>章</w:t>
      </w:r>
      <w:r>
        <w:rPr>
          <w:rStyle w:val="af8"/>
          <w:rFonts w:eastAsia="仿宋_GB2312"/>
          <w:sz w:val="30"/>
          <w:szCs w:val="30"/>
        </w:rPr>
        <w:t xml:space="preserve">  </w:t>
      </w:r>
      <w:r>
        <w:rPr>
          <w:rStyle w:val="af8"/>
          <w:rFonts w:eastAsia="仿宋_GB2312" w:hint="eastAsia"/>
          <w:sz w:val="30"/>
          <w:szCs w:val="30"/>
        </w:rPr>
        <w:t>电力监控系统安全防护</w:t>
      </w:r>
    </w:p>
    <w:p w:rsidR="00000000" w:rsidRDefault="00000000">
      <w:pPr>
        <w:pStyle w:val="TOC1"/>
        <w:spacing w:line="240" w:lineRule="auto"/>
        <w:rPr>
          <w:rFonts w:ascii="Times New Roman" w:eastAsia="仿宋_GB2312"/>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5</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事故处理与调查</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6</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不可抗力</w:t>
      </w:r>
    </w:p>
    <w:p w:rsidR="00000000" w:rsidRDefault="00000000">
      <w:pPr>
        <w:pStyle w:val="TOC1"/>
        <w:spacing w:line="240" w:lineRule="auto"/>
        <w:rPr>
          <w:rFonts w:ascii="Times New Roman" w:eastAsia="仿宋_GB2312" w:hint="eastAsia"/>
          <w:kern w:val="2"/>
          <w:sz w:val="30"/>
          <w:szCs w:val="30"/>
          <w:lang w:val="en-US" w:eastAsia="zh-CN"/>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7</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违约责任</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8</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协议的生效和期限</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1</w:t>
      </w:r>
      <w:r>
        <w:rPr>
          <w:rStyle w:val="af8"/>
          <w:rFonts w:eastAsia="仿宋_GB2312" w:hint="eastAsia"/>
          <w:sz w:val="30"/>
          <w:szCs w:val="30"/>
        </w:rPr>
        <w:t>9</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协议的变更、转让和</w:t>
      </w:r>
      <w:r>
        <w:rPr>
          <w:rStyle w:val="af8"/>
          <w:rFonts w:eastAsia="仿宋_GB2312" w:hint="eastAsia"/>
          <w:sz w:val="30"/>
          <w:szCs w:val="30"/>
          <w:lang w:val="en-US"/>
        </w:rPr>
        <w:t>解除</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lastRenderedPageBreak/>
        <w:t>第</w:t>
      </w:r>
      <w:r>
        <w:rPr>
          <w:rStyle w:val="af8"/>
          <w:rFonts w:eastAsia="仿宋_GB2312" w:hint="eastAsia"/>
          <w:sz w:val="30"/>
          <w:szCs w:val="30"/>
        </w:rPr>
        <w:t>20</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争议的解决</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hint="eastAsia"/>
          <w:sz w:val="30"/>
          <w:szCs w:val="30"/>
        </w:rPr>
        <w:t>21</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适用法律</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第</w:t>
      </w:r>
      <w:r>
        <w:rPr>
          <w:rStyle w:val="af8"/>
          <w:rFonts w:eastAsia="仿宋_GB2312"/>
          <w:sz w:val="30"/>
          <w:szCs w:val="30"/>
          <w:lang w:val="en-US" w:eastAsia="zh-CN"/>
        </w:rPr>
        <w:t>2</w:t>
      </w:r>
      <w:r>
        <w:rPr>
          <w:rStyle w:val="af8"/>
          <w:rFonts w:eastAsia="仿宋_GB2312" w:hint="eastAsia"/>
          <w:sz w:val="30"/>
          <w:szCs w:val="30"/>
        </w:rPr>
        <w:t>2</w:t>
      </w:r>
      <w:r>
        <w:rPr>
          <w:rStyle w:val="af8"/>
          <w:rFonts w:eastAsia="仿宋_GB2312"/>
          <w:sz w:val="30"/>
          <w:szCs w:val="30"/>
          <w:lang w:val="en-US" w:eastAsia="zh-CN"/>
        </w:rPr>
        <w:t>章</w:t>
      </w:r>
      <w:r>
        <w:rPr>
          <w:rStyle w:val="af8"/>
          <w:rFonts w:eastAsia="仿宋_GB2312"/>
          <w:sz w:val="30"/>
          <w:szCs w:val="30"/>
          <w:lang w:val="en-US" w:eastAsia="zh-CN"/>
        </w:rPr>
        <w:t xml:space="preserve">  </w:t>
      </w:r>
      <w:r>
        <w:rPr>
          <w:rStyle w:val="af8"/>
          <w:rFonts w:eastAsia="仿宋_GB2312"/>
          <w:sz w:val="30"/>
          <w:szCs w:val="30"/>
          <w:lang w:val="en-US" w:eastAsia="zh-CN"/>
        </w:rPr>
        <w:t>其他</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1</w:t>
      </w:r>
      <w:r>
        <w:rPr>
          <w:rStyle w:val="af8"/>
          <w:rFonts w:eastAsia="仿宋_GB2312"/>
          <w:sz w:val="30"/>
          <w:szCs w:val="30"/>
          <w:lang w:val="en-US" w:eastAsia="zh-CN"/>
        </w:rPr>
        <w:t>：并网点图示</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2</w:t>
      </w:r>
      <w:r>
        <w:rPr>
          <w:rStyle w:val="af8"/>
          <w:rFonts w:eastAsia="仿宋_GB2312"/>
          <w:sz w:val="30"/>
          <w:szCs w:val="30"/>
          <w:lang w:val="en-US" w:eastAsia="zh-CN"/>
        </w:rPr>
        <w:t>：</w:t>
      </w:r>
      <w:r>
        <w:rPr>
          <w:rStyle w:val="af8"/>
          <w:rFonts w:eastAsia="仿宋_GB2312" w:hint="eastAsia"/>
          <w:sz w:val="30"/>
          <w:szCs w:val="30"/>
          <w:lang w:val="en-US" w:eastAsia="zh-CN"/>
        </w:rPr>
        <w:t>储能电站</w:t>
      </w:r>
      <w:r>
        <w:rPr>
          <w:rStyle w:val="af8"/>
          <w:rFonts w:eastAsia="仿宋_GB2312"/>
          <w:sz w:val="30"/>
          <w:szCs w:val="30"/>
          <w:lang w:val="en-US" w:eastAsia="zh-CN"/>
        </w:rPr>
        <w:t>技术参数</w:t>
      </w:r>
    </w:p>
    <w:p w:rsidR="00000000" w:rsidRDefault="00000000">
      <w:pPr>
        <w:pStyle w:val="TOC1"/>
        <w:spacing w:line="240" w:lineRule="auto"/>
        <w:rPr>
          <w:rFonts w:ascii="Times New Roman" w:eastAsia="仿宋_GB2312"/>
          <w:kern w:val="2"/>
          <w:sz w:val="30"/>
          <w:szCs w:val="30"/>
        </w:rPr>
      </w:pPr>
      <w:r>
        <w:rPr>
          <w:rStyle w:val="af8"/>
          <w:rFonts w:eastAsia="仿宋_GB2312"/>
          <w:sz w:val="30"/>
          <w:szCs w:val="30"/>
          <w:lang w:val="en-US" w:eastAsia="zh-CN"/>
        </w:rPr>
        <w:t>附件</w:t>
      </w:r>
      <w:r>
        <w:rPr>
          <w:rStyle w:val="af8"/>
          <w:rFonts w:eastAsia="仿宋_GB2312" w:hint="eastAsia"/>
          <w:sz w:val="30"/>
          <w:szCs w:val="30"/>
        </w:rPr>
        <w:t>3</w:t>
      </w:r>
      <w:r>
        <w:rPr>
          <w:rStyle w:val="af8"/>
          <w:rFonts w:eastAsia="仿宋_GB2312"/>
          <w:sz w:val="30"/>
          <w:szCs w:val="30"/>
          <w:lang w:val="en-US" w:eastAsia="zh-CN"/>
        </w:rPr>
        <w:t>：</w:t>
      </w:r>
      <w:r>
        <w:rPr>
          <w:rStyle w:val="af8"/>
          <w:rFonts w:eastAsia="仿宋_GB2312" w:hint="eastAsia"/>
          <w:sz w:val="30"/>
          <w:szCs w:val="30"/>
          <w:lang w:val="en-US" w:eastAsia="zh-CN"/>
        </w:rPr>
        <w:t>储能电站</w:t>
      </w:r>
      <w:r>
        <w:rPr>
          <w:rStyle w:val="af8"/>
          <w:rFonts w:eastAsia="仿宋_GB2312"/>
          <w:sz w:val="30"/>
          <w:szCs w:val="30"/>
          <w:lang w:val="en-US" w:eastAsia="zh-CN"/>
        </w:rPr>
        <w:t>设备调度管辖范围划分（略）</w:t>
      </w:r>
    </w:p>
    <w:p w:rsidR="00000000" w:rsidRDefault="00000000">
      <w:pPr>
        <w:topLinePunct/>
        <w:ind w:firstLineChars="200" w:firstLine="560"/>
        <w:jc w:val="right"/>
        <w:rPr>
          <w:rFonts w:eastAsia="楷体_GB2312"/>
          <w:kern w:val="28"/>
          <w:sz w:val="32"/>
          <w:szCs w:val="32"/>
        </w:rPr>
      </w:pPr>
      <w:r>
        <w:rPr>
          <w:kern w:val="28"/>
        </w:rPr>
        <w:br w:type="page"/>
      </w:r>
      <w:r>
        <w:rPr>
          <w:rFonts w:ascii="仿宋_GB2312" w:hint="eastAsia"/>
          <w:kern w:val="28"/>
          <w:sz w:val="32"/>
          <w:szCs w:val="32"/>
        </w:rPr>
        <w:lastRenderedPageBreak/>
        <w:t>（协议编号：</w:t>
      </w:r>
      <w:r>
        <w:rPr>
          <w:rFonts w:eastAsia="楷体_GB2312" w:hint="eastAsia"/>
          <w:kern w:val="28"/>
          <w:sz w:val="32"/>
          <w:szCs w:val="32"/>
          <w:u w:val="single"/>
        </w:rPr>
        <w:t xml:space="preserve">                </w:t>
      </w:r>
      <w:r>
        <w:rPr>
          <w:rFonts w:ascii="仿宋_GB2312" w:hint="eastAsia"/>
          <w:kern w:val="28"/>
          <w:sz w:val="32"/>
          <w:szCs w:val="32"/>
        </w:rPr>
        <w:t>）</w:t>
      </w:r>
    </w:p>
    <w:p w:rsidR="00000000" w:rsidRDefault="00000000">
      <w:pPr>
        <w:pStyle w:val="d2"/>
        <w:rPr>
          <w:rFonts w:hint="eastAsia"/>
        </w:rPr>
      </w:pPr>
      <w:r>
        <w:rPr>
          <w:rFonts w:hint="eastAsia"/>
        </w:rPr>
        <w:t>并网调度协议</w:t>
      </w:r>
    </w:p>
    <w:p w:rsidR="00000000" w:rsidRDefault="00000000">
      <w:pPr>
        <w:topLinePunct/>
        <w:ind w:firstLineChars="200" w:firstLine="600"/>
        <w:rPr>
          <w:kern w:val="28"/>
          <w:sz w:val="30"/>
          <w:szCs w:val="30"/>
        </w:rPr>
      </w:pPr>
      <w:r>
        <w:rPr>
          <w:kern w:val="28"/>
          <w:sz w:val="30"/>
          <w:szCs w:val="30"/>
        </w:rPr>
        <w:t>本并网调度协议（以下简称本协议）由下列双方签署：</w:t>
      </w:r>
    </w:p>
    <w:p w:rsidR="00000000" w:rsidRDefault="00000000">
      <w:pPr>
        <w:topLinePunct/>
        <w:ind w:firstLineChars="200" w:firstLine="600"/>
        <w:rPr>
          <w:kern w:val="28"/>
          <w:sz w:val="30"/>
          <w:szCs w:val="30"/>
        </w:rPr>
      </w:pPr>
      <w:r>
        <w:rPr>
          <w:kern w:val="28"/>
          <w:sz w:val="30"/>
          <w:szCs w:val="30"/>
        </w:rPr>
        <w:t>甲方：</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，系一家电网经营企业，在</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市场监督管理部门登记注册，已取得电力业务许可证（许可证编号：</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），统一社会信用代码：</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，住所：</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，法定代表人：</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u w:val="single"/>
        </w:rPr>
      </w:pPr>
      <w:r>
        <w:rPr>
          <w:kern w:val="28"/>
          <w:sz w:val="30"/>
          <w:szCs w:val="30"/>
        </w:rPr>
        <w:t>乙方：</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，系一家</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企业，在</w:t>
      </w:r>
      <w:r>
        <w:rPr>
          <w:kern w:val="28"/>
          <w:sz w:val="30"/>
          <w:szCs w:val="30"/>
          <w:u w:val="single"/>
        </w:rPr>
        <w:t xml:space="preserve">                </w:t>
      </w:r>
    </w:p>
    <w:p w:rsidR="00000000" w:rsidRDefault="00000000">
      <w:pPr>
        <w:topLinePunct/>
        <w:rPr>
          <w:kern w:val="28"/>
          <w:sz w:val="30"/>
          <w:szCs w:val="30"/>
        </w:rPr>
      </w:pPr>
      <w:r>
        <w:rPr>
          <w:kern w:val="28"/>
          <w:sz w:val="30"/>
          <w:szCs w:val="30"/>
        </w:rPr>
        <w:t>市场监督管理部门登记注册，统一社会信用代码：</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，住所：</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，法定代表人：</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rPr>
      </w:pPr>
      <w:r>
        <w:rPr>
          <w:kern w:val="28"/>
          <w:sz w:val="30"/>
          <w:szCs w:val="30"/>
        </w:rPr>
        <w:t>鉴于：</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）甲方经营管理适于电化学储能电站（以下简称储能电站）运行的电网，并同意乙方储能电站根据本协议的约定并入电网运行。</w:t>
      </w:r>
    </w:p>
    <w:p w:rsidR="00000000" w:rsidRDefault="00000000">
      <w:pPr>
        <w:topLinePunct/>
        <w:ind w:firstLineChars="200" w:firstLine="600"/>
        <w:jc w:val="distribute"/>
        <w:rPr>
          <w:kern w:val="28"/>
          <w:sz w:val="30"/>
          <w:szCs w:val="30"/>
        </w:rPr>
      </w:pPr>
      <w:r>
        <w:rPr>
          <w:kern w:val="28"/>
          <w:sz w:val="30"/>
          <w:szCs w:val="30"/>
        </w:rPr>
        <w:t>（</w:t>
      </w:r>
      <w:r>
        <w:rPr>
          <w:kern w:val="28"/>
          <w:sz w:val="30"/>
          <w:szCs w:val="30"/>
        </w:rPr>
        <w:t>2</w:t>
      </w:r>
      <w:r>
        <w:rPr>
          <w:kern w:val="28"/>
          <w:sz w:val="30"/>
          <w:szCs w:val="30"/>
        </w:rPr>
        <w:t>）乙方在</w:t>
      </w:r>
      <w:r>
        <w:rPr>
          <w:kern w:val="28"/>
          <w:sz w:val="30"/>
          <w:szCs w:val="30"/>
          <w:u w:val="single"/>
        </w:rPr>
        <w:t xml:space="preserve">      </w:t>
      </w:r>
      <w:r>
        <w:rPr>
          <w:kern w:val="28"/>
          <w:sz w:val="30"/>
          <w:szCs w:val="30"/>
          <w:u w:val="wave"/>
        </w:rPr>
        <w:t>拥有</w:t>
      </w:r>
      <w:r>
        <w:rPr>
          <w:kern w:val="28"/>
          <w:sz w:val="30"/>
          <w:szCs w:val="30"/>
        </w:rPr>
        <w:t>/</w:t>
      </w:r>
      <w:r>
        <w:rPr>
          <w:kern w:val="28"/>
          <w:sz w:val="30"/>
          <w:szCs w:val="30"/>
          <w:u w:val="wave"/>
        </w:rPr>
        <w:t>兴建</w:t>
      </w:r>
      <w:r>
        <w:rPr>
          <w:kern w:val="28"/>
          <w:sz w:val="30"/>
          <w:szCs w:val="30"/>
        </w:rPr>
        <w:t>/</w:t>
      </w:r>
      <w:r>
        <w:rPr>
          <w:kern w:val="28"/>
          <w:sz w:val="30"/>
          <w:szCs w:val="30"/>
          <w:u w:val="wave"/>
        </w:rPr>
        <w:t>扩建</w:t>
      </w:r>
      <w:r>
        <w:rPr>
          <w:rStyle w:val="af9"/>
          <w:rFonts w:eastAsia="仿宋_GB2312"/>
          <w:kern w:val="28"/>
          <w:sz w:val="30"/>
          <w:szCs w:val="30"/>
        </w:rPr>
        <w:footnoteReference w:id="2"/>
      </w:r>
      <w:r>
        <w:rPr>
          <w:kern w:val="28"/>
          <w:sz w:val="30"/>
          <w:szCs w:val="30"/>
        </w:rPr>
        <w:t>经营管理总装机容量为</w:t>
      </w:r>
    </w:p>
    <w:p w:rsidR="00000000" w:rsidRDefault="00000000">
      <w:pPr>
        <w:topLinePunct/>
        <w:rPr>
          <w:kern w:val="28"/>
          <w:sz w:val="30"/>
          <w:szCs w:val="30"/>
        </w:rPr>
      </w:pPr>
      <w:r>
        <w:rPr>
          <w:kern w:val="28"/>
          <w:sz w:val="30"/>
          <w:szCs w:val="30"/>
          <w:u w:val="single"/>
        </w:rPr>
        <w:t xml:space="preserve">      </w:t>
      </w:r>
      <w:r>
        <w:rPr>
          <w:kern w:val="28"/>
          <w:sz w:val="30"/>
          <w:szCs w:val="30"/>
        </w:rPr>
        <w:t xml:space="preserve"> </w:t>
      </w:r>
      <w:r>
        <w:rPr>
          <w:kern w:val="28"/>
          <w:sz w:val="30"/>
          <w:szCs w:val="30"/>
        </w:rPr>
        <w:t>兆瓦（</w:t>
      </w:r>
      <w:r>
        <w:rPr>
          <w:kern w:val="28"/>
          <w:sz w:val="30"/>
          <w:szCs w:val="30"/>
        </w:rPr>
        <w:t>MW</w:t>
      </w:r>
      <w:r>
        <w:rPr>
          <w:kern w:val="28"/>
          <w:sz w:val="30"/>
          <w:szCs w:val="30"/>
        </w:rPr>
        <w:t>）</w:t>
      </w:r>
      <w:r>
        <w:rPr>
          <w:kern w:val="28"/>
          <w:sz w:val="30"/>
          <w:szCs w:val="30"/>
        </w:rPr>
        <w:t>/</w:t>
      </w:r>
      <w:r>
        <w:rPr>
          <w:kern w:val="28"/>
          <w:sz w:val="30"/>
          <w:szCs w:val="30"/>
          <w:u w:val="single"/>
        </w:rPr>
        <w:t xml:space="preserve">      </w:t>
      </w:r>
      <w:r>
        <w:rPr>
          <w:kern w:val="28"/>
          <w:sz w:val="30"/>
          <w:szCs w:val="30"/>
        </w:rPr>
        <w:t>兆瓦时（</w:t>
      </w:r>
      <w:r>
        <w:rPr>
          <w:kern w:val="28"/>
          <w:sz w:val="30"/>
          <w:szCs w:val="30"/>
        </w:rPr>
        <w:t>MWh</w:t>
      </w:r>
      <w:r>
        <w:rPr>
          <w:kern w:val="28"/>
          <w:sz w:val="30"/>
          <w:szCs w:val="30"/>
        </w:rPr>
        <w:t>）的</w:t>
      </w:r>
      <w:r>
        <w:rPr>
          <w:kern w:val="28"/>
          <w:sz w:val="30"/>
          <w:szCs w:val="30"/>
          <w:u w:val="single"/>
        </w:rPr>
        <w:t xml:space="preserve">      </w:t>
      </w:r>
      <w:r>
        <w:rPr>
          <w:kern w:val="28"/>
          <w:sz w:val="30"/>
          <w:szCs w:val="30"/>
        </w:rPr>
        <w:t>储能电站，并同意根据本协议的约定将该储能电站并入甲方电网运行。</w:t>
      </w:r>
    </w:p>
    <w:p w:rsidR="00000000" w:rsidRDefault="00000000">
      <w:pPr>
        <w:topLinePunct/>
        <w:ind w:firstLineChars="200" w:firstLine="600"/>
        <w:rPr>
          <w:kern w:val="28"/>
          <w:sz w:val="30"/>
          <w:szCs w:val="30"/>
        </w:rPr>
      </w:pPr>
      <w:r>
        <w:rPr>
          <w:kern w:val="28"/>
          <w:sz w:val="30"/>
          <w:szCs w:val="30"/>
        </w:rPr>
        <w:t>为维护协议双方的合法权益，规范调度和并网运行行为，保证电力系统安全、优质、经济运行，根据《中华人民共和国电力法》《中华人民</w:t>
      </w:r>
      <w:r>
        <w:rPr>
          <w:kern w:val="28"/>
          <w:sz w:val="30"/>
          <w:szCs w:val="30"/>
        </w:rPr>
        <w:lastRenderedPageBreak/>
        <w:t>共和国民法典》《中华人民共和国可再生能源法》《中华人民共和国节约能源法》《中华人民共和国网络安全法》《中华人民共和国数据安全法》《电网调度管理条例》《电力监管条例》以及国家其他有关法律、法规，本着平等、自愿、诚实信用的原则，双方经协商一致，签订本协议。</w:t>
      </w:r>
    </w:p>
    <w:p w:rsidR="00000000" w:rsidRDefault="00000000">
      <w:pPr>
        <w:topLinePunct/>
        <w:ind w:firstLineChars="200" w:firstLine="600"/>
        <w:rPr>
          <w:rFonts w:hint="eastAsia"/>
          <w:kern w:val="28"/>
          <w:sz w:val="30"/>
          <w:szCs w:val="30"/>
        </w:rPr>
      </w:pPr>
    </w:p>
    <w:p w:rsidR="00000000" w:rsidRDefault="00000000">
      <w:pPr>
        <w:pStyle w:val="d3"/>
        <w:rPr>
          <w:rFonts w:hint="eastAsia"/>
        </w:rPr>
      </w:pPr>
      <w:r>
        <w:br w:type="page"/>
      </w:r>
      <w:bookmarkStart w:id="0" w:name="_Toc350634471"/>
      <w:r>
        <w:rPr>
          <w:rFonts w:hint="eastAsia"/>
        </w:rPr>
        <w:lastRenderedPageBreak/>
        <w:t>第</w:t>
      </w:r>
      <w:r>
        <w:rPr>
          <w:rFonts w:hint="eastAsia"/>
          <w:b/>
        </w:rPr>
        <w:t>1</w:t>
      </w:r>
      <w:r>
        <w:rPr>
          <w:rFonts w:hint="eastAsia"/>
        </w:rPr>
        <w:t>章</w:t>
      </w:r>
      <w:r>
        <w:rPr>
          <w:rFonts w:hint="eastAsia"/>
        </w:rPr>
        <w:t xml:space="preserve">  </w:t>
      </w:r>
      <w:r>
        <w:rPr>
          <w:rFonts w:hint="eastAsia"/>
        </w:rPr>
        <w:t>定义与解释</w:t>
      </w:r>
      <w:bookmarkEnd w:id="0"/>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 xml:space="preserve">1.1 </w:t>
      </w:r>
      <w:r>
        <w:rPr>
          <w:rFonts w:ascii="Times New Roman" w:eastAsia="仿宋_GB2312" w:hAnsi="Times New Roman"/>
          <w:spacing w:val="6"/>
          <w:kern w:val="28"/>
          <w:sz w:val="30"/>
          <w:szCs w:val="30"/>
        </w:rPr>
        <w:t>本协议中所用术语，除上下文另有要求外，定义如下：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 </w:t>
      </w:r>
      <w:r>
        <w:rPr>
          <w:rFonts w:eastAsia="仿宋_GB2312"/>
          <w:kern w:val="28"/>
          <w:sz w:val="30"/>
          <w:szCs w:val="30"/>
        </w:rPr>
        <w:t>电力调度机构：指</w:t>
      </w:r>
      <w:r>
        <w:rPr>
          <w:rFonts w:eastAsia="仿宋_GB2312"/>
          <w:kern w:val="28"/>
          <w:sz w:val="30"/>
          <w:szCs w:val="30"/>
          <w:u w:val="single"/>
        </w:rPr>
        <w:t xml:space="preserve">        </w:t>
      </w:r>
      <w:r>
        <w:rPr>
          <w:rFonts w:eastAsia="仿宋_GB2312"/>
          <w:kern w:val="28"/>
          <w:sz w:val="30"/>
          <w:szCs w:val="30"/>
        </w:rPr>
        <w:t>电力调度（通信或控制）中心，是依法对电力系统运行进行组织、指挥、指导和协调的机构，隶属甲方。</w:t>
      </w:r>
    </w:p>
    <w:p w:rsidR="00000000" w:rsidRDefault="00000000">
      <w:pPr>
        <w:pStyle w:val="31"/>
        <w:numPr>
          <w:ilvl w:val="0"/>
          <w:numId w:val="0"/>
        </w:numPr>
        <w:topLinePunct/>
        <w:ind w:firstLineChars="200" w:firstLine="600"/>
        <w:outlineLvl w:val="9"/>
        <w:rPr>
          <w:rFonts w:eastAsia="仿宋_GB2312"/>
          <w:spacing w:val="8"/>
          <w:kern w:val="28"/>
          <w:sz w:val="30"/>
          <w:szCs w:val="30"/>
        </w:rPr>
      </w:pPr>
      <w:r>
        <w:rPr>
          <w:rFonts w:eastAsia="仿宋_GB2312"/>
          <w:kern w:val="28"/>
          <w:sz w:val="30"/>
          <w:szCs w:val="30"/>
        </w:rPr>
        <w:t xml:space="preserve">1.1.2 </w:t>
      </w:r>
      <w:r>
        <w:rPr>
          <w:rFonts w:eastAsia="仿宋_GB2312"/>
          <w:spacing w:val="8"/>
          <w:kern w:val="28"/>
          <w:sz w:val="30"/>
          <w:szCs w:val="30"/>
        </w:rPr>
        <w:t>储能电站：指位于</w:t>
      </w:r>
      <w:r>
        <w:rPr>
          <w:rFonts w:eastAsia="仿宋_GB2312"/>
          <w:spacing w:val="8"/>
          <w:kern w:val="28"/>
          <w:sz w:val="30"/>
          <w:szCs w:val="30"/>
          <w:u w:val="single"/>
        </w:rPr>
        <w:t xml:space="preserve">       </w:t>
      </w:r>
      <w:r>
        <w:rPr>
          <w:rFonts w:eastAsia="仿宋_GB2312"/>
          <w:spacing w:val="8"/>
          <w:kern w:val="28"/>
          <w:sz w:val="30"/>
          <w:szCs w:val="30"/>
        </w:rPr>
        <w:t>由乙方</w:t>
      </w:r>
      <w:r>
        <w:rPr>
          <w:rFonts w:eastAsia="仿宋_GB2312"/>
          <w:spacing w:val="8"/>
          <w:kern w:val="28"/>
          <w:sz w:val="30"/>
          <w:szCs w:val="30"/>
          <w:u w:val="wave"/>
        </w:rPr>
        <w:t>拥有</w:t>
      </w:r>
      <w:r>
        <w:rPr>
          <w:rFonts w:eastAsia="仿宋_GB2312"/>
          <w:spacing w:val="8"/>
          <w:kern w:val="28"/>
          <w:sz w:val="30"/>
          <w:szCs w:val="30"/>
        </w:rPr>
        <w:t>/</w:t>
      </w:r>
      <w:r>
        <w:rPr>
          <w:rFonts w:eastAsia="仿宋_GB2312"/>
          <w:spacing w:val="8"/>
          <w:kern w:val="28"/>
          <w:sz w:val="30"/>
          <w:szCs w:val="30"/>
          <w:u w:val="wave"/>
        </w:rPr>
        <w:t>兴建</w:t>
      </w:r>
      <w:r>
        <w:rPr>
          <w:rFonts w:eastAsia="仿宋_GB2312"/>
          <w:spacing w:val="8"/>
          <w:kern w:val="28"/>
          <w:sz w:val="30"/>
          <w:szCs w:val="30"/>
        </w:rPr>
        <w:t>/</w:t>
      </w:r>
      <w:r>
        <w:rPr>
          <w:rFonts w:eastAsia="仿宋_GB2312"/>
          <w:spacing w:val="8"/>
          <w:kern w:val="28"/>
          <w:sz w:val="30"/>
          <w:szCs w:val="30"/>
          <w:u w:val="wave"/>
        </w:rPr>
        <w:t>扩建</w:t>
      </w:r>
      <w:r>
        <w:rPr>
          <w:rFonts w:eastAsia="仿宋_GB2312"/>
          <w:spacing w:val="8"/>
          <w:kern w:val="28"/>
          <w:sz w:val="30"/>
          <w:szCs w:val="30"/>
        </w:rPr>
        <w:t>，</w:t>
      </w:r>
      <w:r>
        <w:rPr>
          <w:rFonts w:eastAsia="仿宋_GB2312"/>
          <w:spacing w:val="8"/>
          <w:kern w:val="28"/>
          <w:sz w:val="30"/>
          <w:szCs w:val="30"/>
          <w:u w:val="wave"/>
        </w:rPr>
        <w:t>并</w:t>
      </w:r>
      <w:r>
        <w:rPr>
          <w:rFonts w:eastAsia="仿宋_GB2312"/>
          <w:spacing w:val="8"/>
          <w:kern w:val="28"/>
          <w:sz w:val="30"/>
          <w:szCs w:val="30"/>
        </w:rPr>
        <w:t>/</w:t>
      </w:r>
      <w:r>
        <w:rPr>
          <w:rFonts w:eastAsia="仿宋_GB2312"/>
          <w:spacing w:val="8"/>
          <w:kern w:val="28"/>
          <w:sz w:val="30"/>
          <w:szCs w:val="30"/>
          <w:u w:val="wave"/>
        </w:rPr>
        <w:t>并将</w:t>
      </w:r>
      <w:r>
        <w:rPr>
          <w:rFonts w:eastAsia="仿宋_GB2312"/>
          <w:spacing w:val="8"/>
          <w:kern w:val="28"/>
          <w:sz w:val="30"/>
          <w:szCs w:val="30"/>
        </w:rPr>
        <w:t>经营管理的一座总容量为</w:t>
      </w:r>
      <w:r>
        <w:rPr>
          <w:rFonts w:eastAsia="仿宋_GB2312"/>
          <w:spacing w:val="8"/>
          <w:kern w:val="28"/>
          <w:sz w:val="30"/>
          <w:szCs w:val="30"/>
          <w:u w:val="single"/>
        </w:rPr>
        <w:t xml:space="preserve"> </w:t>
      </w:r>
      <w:r>
        <w:rPr>
          <w:rFonts w:eastAsia="仿宋_GB2312" w:hint="eastAsia"/>
          <w:spacing w:val="8"/>
          <w:kern w:val="28"/>
          <w:sz w:val="30"/>
          <w:szCs w:val="30"/>
          <w:u w:val="single"/>
        </w:rPr>
        <w:t xml:space="preserve">  </w:t>
      </w:r>
      <w:r>
        <w:rPr>
          <w:rFonts w:eastAsia="仿宋_GB2312"/>
          <w:spacing w:val="8"/>
          <w:kern w:val="28"/>
          <w:sz w:val="30"/>
          <w:szCs w:val="30"/>
          <w:u w:val="single"/>
        </w:rPr>
        <w:t xml:space="preserve">   </w:t>
      </w:r>
      <w:r>
        <w:rPr>
          <w:rFonts w:eastAsia="仿宋_GB2312"/>
          <w:spacing w:val="8"/>
          <w:kern w:val="28"/>
          <w:sz w:val="30"/>
          <w:szCs w:val="30"/>
        </w:rPr>
        <w:t>兆瓦（</w:t>
      </w:r>
      <w:r>
        <w:rPr>
          <w:rFonts w:eastAsia="仿宋_GB2312"/>
          <w:spacing w:val="8"/>
          <w:kern w:val="28"/>
          <w:sz w:val="30"/>
          <w:szCs w:val="30"/>
        </w:rPr>
        <w:t>MW</w:t>
      </w:r>
      <w:r>
        <w:rPr>
          <w:rFonts w:eastAsia="仿宋_GB2312"/>
          <w:spacing w:val="8"/>
          <w:kern w:val="28"/>
          <w:sz w:val="30"/>
          <w:szCs w:val="30"/>
        </w:rPr>
        <w:t>）</w:t>
      </w:r>
      <w:r>
        <w:rPr>
          <w:rFonts w:eastAsia="仿宋_GB2312"/>
          <w:spacing w:val="8"/>
          <w:kern w:val="28"/>
          <w:sz w:val="30"/>
          <w:szCs w:val="30"/>
        </w:rPr>
        <w:t>/</w:t>
      </w:r>
      <w:r>
        <w:rPr>
          <w:rFonts w:eastAsia="仿宋_GB2312"/>
          <w:spacing w:val="8"/>
          <w:kern w:val="28"/>
          <w:sz w:val="30"/>
          <w:szCs w:val="30"/>
          <w:u w:val="single"/>
        </w:rPr>
        <w:t xml:space="preserve"> </w:t>
      </w:r>
      <w:r>
        <w:rPr>
          <w:rFonts w:eastAsia="仿宋_GB2312" w:hint="eastAsia"/>
          <w:spacing w:val="8"/>
          <w:kern w:val="28"/>
          <w:sz w:val="30"/>
          <w:szCs w:val="30"/>
          <w:u w:val="single"/>
        </w:rPr>
        <w:t xml:space="preserve">  </w:t>
      </w:r>
      <w:r>
        <w:rPr>
          <w:rFonts w:eastAsia="仿宋_GB2312"/>
          <w:spacing w:val="8"/>
          <w:kern w:val="28"/>
          <w:sz w:val="30"/>
          <w:szCs w:val="30"/>
          <w:u w:val="single"/>
        </w:rPr>
        <w:t xml:space="preserve">   </w:t>
      </w:r>
      <w:r>
        <w:rPr>
          <w:rFonts w:eastAsia="仿宋_GB2312"/>
          <w:spacing w:val="8"/>
          <w:kern w:val="28"/>
          <w:sz w:val="30"/>
          <w:szCs w:val="30"/>
        </w:rPr>
        <w:t>兆瓦时（</w:t>
      </w:r>
      <w:r>
        <w:rPr>
          <w:rFonts w:eastAsia="仿宋_GB2312"/>
          <w:spacing w:val="8"/>
          <w:kern w:val="28"/>
          <w:sz w:val="30"/>
          <w:szCs w:val="30"/>
        </w:rPr>
        <w:t>MWh</w:t>
      </w:r>
      <w:r>
        <w:rPr>
          <w:rFonts w:eastAsia="仿宋_GB2312"/>
          <w:spacing w:val="8"/>
          <w:kern w:val="28"/>
          <w:sz w:val="30"/>
          <w:szCs w:val="30"/>
        </w:rPr>
        <w:t>），共</w:t>
      </w:r>
      <w:r>
        <w:rPr>
          <w:rFonts w:eastAsia="仿宋_GB2312"/>
          <w:spacing w:val="8"/>
          <w:kern w:val="28"/>
          <w:sz w:val="30"/>
          <w:szCs w:val="30"/>
          <w:u w:val="single"/>
        </w:rPr>
        <w:t xml:space="preserve">       </w:t>
      </w:r>
      <w:r>
        <w:rPr>
          <w:rFonts w:eastAsia="仿宋_GB2312"/>
          <w:spacing w:val="8"/>
          <w:kern w:val="28"/>
          <w:sz w:val="30"/>
          <w:szCs w:val="30"/>
        </w:rPr>
        <w:t>座（技术参数详见附件</w:t>
      </w:r>
      <w:r>
        <w:rPr>
          <w:rFonts w:eastAsia="仿宋_GB2312"/>
          <w:spacing w:val="8"/>
          <w:kern w:val="28"/>
          <w:sz w:val="30"/>
          <w:szCs w:val="30"/>
        </w:rPr>
        <w:t>2</w:t>
      </w:r>
      <w:r>
        <w:rPr>
          <w:rFonts w:eastAsia="仿宋_GB2312"/>
          <w:spacing w:val="8"/>
          <w:kern w:val="28"/>
          <w:sz w:val="30"/>
          <w:szCs w:val="30"/>
        </w:rPr>
        <w:t>）</w:t>
      </w:r>
      <w:r>
        <w:rPr>
          <w:rStyle w:val="af9"/>
          <w:rFonts w:eastAsia="仿宋_GB2312"/>
          <w:spacing w:val="8"/>
          <w:sz w:val="30"/>
          <w:szCs w:val="30"/>
        </w:rPr>
        <w:footnoteReference w:id="3"/>
      </w:r>
      <w:r>
        <w:rPr>
          <w:rFonts w:eastAsia="仿宋_GB2312"/>
          <w:spacing w:val="8"/>
          <w:kern w:val="28"/>
          <w:sz w:val="30"/>
          <w:szCs w:val="30"/>
        </w:rPr>
        <w:t>的充</w:t>
      </w:r>
      <w:r>
        <w:rPr>
          <w:rFonts w:eastAsia="仿宋_GB2312"/>
          <w:spacing w:val="8"/>
          <w:kern w:val="28"/>
          <w:sz w:val="30"/>
          <w:szCs w:val="30"/>
        </w:rPr>
        <w:t>/</w:t>
      </w:r>
      <w:r>
        <w:rPr>
          <w:rFonts w:eastAsia="仿宋_GB2312"/>
          <w:spacing w:val="8"/>
          <w:kern w:val="28"/>
          <w:sz w:val="30"/>
          <w:szCs w:val="30"/>
        </w:rPr>
        <w:t>放电设施以及延伸至产权分界点的全部辅助设施。</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 xml:space="preserve">1.1.3 </w:t>
      </w:r>
      <w:r>
        <w:rPr>
          <w:rFonts w:eastAsia="仿宋_GB2312"/>
          <w:spacing w:val="8"/>
          <w:kern w:val="28"/>
          <w:sz w:val="30"/>
          <w:szCs w:val="30"/>
        </w:rPr>
        <w:t>调度命名：指电力调度机构依据电网网架结构、储能电站接入方式、地理位置等综合因素，对储能电站的正式命名。</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1.1.4 </w:t>
      </w:r>
      <w:r>
        <w:rPr>
          <w:rFonts w:eastAsia="仿宋_GB2312"/>
          <w:kern w:val="28"/>
          <w:sz w:val="30"/>
          <w:szCs w:val="30"/>
        </w:rPr>
        <w:t>并网点：指储能电站与电网的连接点（见附件</w:t>
      </w:r>
      <w:r>
        <w:rPr>
          <w:rFonts w:eastAsia="仿宋_GB2312"/>
          <w:kern w:val="28"/>
          <w:sz w:val="30"/>
          <w:szCs w:val="30"/>
        </w:rPr>
        <w:t>1</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1.1.5 </w:t>
      </w:r>
      <w:r>
        <w:rPr>
          <w:rFonts w:eastAsia="仿宋_GB2312"/>
          <w:kern w:val="28"/>
          <w:sz w:val="30"/>
          <w:szCs w:val="30"/>
        </w:rPr>
        <w:t>首次并网日：指储能电站（首台变流器）与电网进行连接的第一天。</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1.1.6 </w:t>
      </w:r>
      <w:r>
        <w:rPr>
          <w:rFonts w:eastAsia="仿宋_GB2312"/>
          <w:kern w:val="28"/>
          <w:sz w:val="30"/>
          <w:szCs w:val="30"/>
        </w:rPr>
        <w:t>并网申请书：指由乙方向甲方提交的要求将其</w:t>
      </w:r>
      <w:r>
        <w:rPr>
          <w:rFonts w:eastAsia="仿宋_GB2312"/>
          <w:spacing w:val="8"/>
          <w:kern w:val="28"/>
          <w:sz w:val="30"/>
          <w:szCs w:val="30"/>
        </w:rPr>
        <w:t>储能电站</w:t>
      </w:r>
      <w:r>
        <w:rPr>
          <w:rFonts w:eastAsia="仿宋_GB2312"/>
          <w:kern w:val="28"/>
          <w:sz w:val="30"/>
          <w:szCs w:val="30"/>
        </w:rPr>
        <w:t>并入电网的书面申请文件。</w:t>
      </w:r>
    </w:p>
    <w:p w:rsidR="00000000" w:rsidRDefault="00000000">
      <w:pPr>
        <w:pStyle w:val="31"/>
        <w:numPr>
          <w:ilvl w:val="0"/>
          <w:numId w:val="0"/>
        </w:numPr>
        <w:topLinePunct/>
        <w:ind w:firstLineChars="200" w:firstLine="600"/>
        <w:outlineLvl w:val="9"/>
        <w:rPr>
          <w:rFonts w:eastAsia="仿宋_GB2312"/>
          <w:spacing w:val="8"/>
          <w:kern w:val="28"/>
          <w:sz w:val="30"/>
          <w:szCs w:val="30"/>
        </w:rPr>
      </w:pPr>
      <w:r>
        <w:rPr>
          <w:rFonts w:eastAsia="仿宋_GB2312"/>
          <w:kern w:val="28"/>
          <w:sz w:val="30"/>
          <w:szCs w:val="30"/>
        </w:rPr>
        <w:t xml:space="preserve">1.1.7 </w:t>
      </w:r>
      <w:r>
        <w:rPr>
          <w:rFonts w:eastAsia="仿宋_GB2312"/>
          <w:spacing w:val="8"/>
          <w:kern w:val="28"/>
          <w:sz w:val="30"/>
          <w:szCs w:val="30"/>
        </w:rPr>
        <w:t>并网方式：指储能电站与电网之间一次系统的连接方式。</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1.1.8 AGC</w:t>
      </w:r>
      <w:r>
        <w:rPr>
          <w:rFonts w:eastAsia="仿宋_GB2312"/>
          <w:spacing w:val="8"/>
          <w:kern w:val="28"/>
          <w:sz w:val="30"/>
          <w:szCs w:val="30"/>
        </w:rPr>
        <w:t>：指自动发电控制（</w:t>
      </w:r>
      <w:r>
        <w:rPr>
          <w:rFonts w:eastAsia="仿宋_GB2312"/>
          <w:spacing w:val="8"/>
          <w:kern w:val="28"/>
          <w:sz w:val="30"/>
          <w:szCs w:val="30"/>
        </w:rPr>
        <w:t>Automatic Generation Control</w:t>
      </w:r>
      <w:r>
        <w:rPr>
          <w:rFonts w:eastAsia="仿宋_GB2312"/>
          <w:spacing w:val="8"/>
          <w:kern w:val="28"/>
          <w:sz w:val="30"/>
          <w:szCs w:val="30"/>
        </w:rPr>
        <w:t>）。</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1.1.9 AVC</w:t>
      </w:r>
      <w:r>
        <w:rPr>
          <w:rFonts w:eastAsia="仿宋_GB2312"/>
          <w:spacing w:val="8"/>
          <w:kern w:val="28"/>
          <w:sz w:val="30"/>
          <w:szCs w:val="30"/>
        </w:rPr>
        <w:t>：指自动电压控制（</w:t>
      </w:r>
      <w:r>
        <w:rPr>
          <w:rFonts w:eastAsia="仿宋_GB2312"/>
          <w:spacing w:val="8"/>
          <w:kern w:val="28"/>
          <w:sz w:val="30"/>
          <w:szCs w:val="30"/>
        </w:rPr>
        <w:t>Automatic Voltage Control</w:t>
      </w:r>
      <w:r>
        <w:rPr>
          <w:rFonts w:eastAsia="仿宋_GB2312"/>
          <w:spacing w:val="8"/>
          <w:kern w:val="28"/>
          <w:sz w:val="30"/>
          <w:szCs w:val="30"/>
        </w:rPr>
        <w:t>）。</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t>1.1.10 RTU</w:t>
      </w:r>
      <w:r>
        <w:rPr>
          <w:rFonts w:eastAsia="仿宋_GB2312"/>
          <w:spacing w:val="8"/>
          <w:kern w:val="28"/>
          <w:sz w:val="30"/>
          <w:szCs w:val="30"/>
        </w:rPr>
        <w:t>：指远动装置（</w:t>
      </w:r>
      <w:r>
        <w:rPr>
          <w:rFonts w:eastAsia="仿宋_GB2312"/>
          <w:spacing w:val="8"/>
          <w:kern w:val="28"/>
          <w:sz w:val="30"/>
          <w:szCs w:val="30"/>
        </w:rPr>
        <w:t>Remote Terminal Unit</w:t>
      </w:r>
      <w:r>
        <w:rPr>
          <w:rFonts w:eastAsia="仿宋_GB2312"/>
          <w:spacing w:val="8"/>
          <w:kern w:val="28"/>
          <w:sz w:val="30"/>
          <w:szCs w:val="30"/>
        </w:rPr>
        <w:t>）。</w:t>
      </w:r>
    </w:p>
    <w:p w:rsidR="00000000" w:rsidRDefault="00000000">
      <w:pPr>
        <w:pStyle w:val="31"/>
        <w:numPr>
          <w:ilvl w:val="0"/>
          <w:numId w:val="0"/>
        </w:numPr>
        <w:topLinePunct/>
        <w:ind w:firstLineChars="200" w:firstLine="632"/>
        <w:outlineLvl w:val="9"/>
        <w:rPr>
          <w:rFonts w:eastAsia="仿宋_GB2312"/>
          <w:spacing w:val="8"/>
          <w:kern w:val="28"/>
          <w:sz w:val="30"/>
          <w:szCs w:val="30"/>
        </w:rPr>
      </w:pPr>
      <w:r>
        <w:rPr>
          <w:rFonts w:eastAsia="仿宋_GB2312"/>
          <w:spacing w:val="8"/>
          <w:kern w:val="28"/>
          <w:sz w:val="30"/>
          <w:szCs w:val="30"/>
        </w:rPr>
        <w:lastRenderedPageBreak/>
        <w:t>1.1.11 PMU</w:t>
      </w:r>
      <w:r>
        <w:rPr>
          <w:rFonts w:eastAsia="仿宋_GB2312"/>
          <w:spacing w:val="8"/>
          <w:kern w:val="28"/>
          <w:sz w:val="30"/>
          <w:szCs w:val="30"/>
        </w:rPr>
        <w:t>：指同步相量测量装置（</w:t>
      </w:r>
      <w:r>
        <w:rPr>
          <w:rFonts w:eastAsia="仿宋_GB2312"/>
          <w:spacing w:val="8"/>
          <w:kern w:val="28"/>
          <w:sz w:val="30"/>
          <w:szCs w:val="30"/>
        </w:rPr>
        <w:t>Synchronized Phasor Measurement Unit</w:t>
      </w:r>
      <w:r>
        <w:rPr>
          <w:rFonts w:eastAsia="仿宋_GB2312"/>
          <w:spacing w:val="8"/>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1.1.12 </w:t>
      </w:r>
      <w:r>
        <w:rPr>
          <w:rFonts w:eastAsia="仿宋_GB2312"/>
          <w:kern w:val="28"/>
          <w:sz w:val="30"/>
          <w:szCs w:val="30"/>
        </w:rPr>
        <w:t>功率变化率：在单位时间内储能电站输入</w:t>
      </w:r>
      <w:r>
        <w:rPr>
          <w:rFonts w:eastAsia="仿宋_GB2312"/>
          <w:kern w:val="28"/>
          <w:sz w:val="30"/>
          <w:szCs w:val="30"/>
        </w:rPr>
        <w:t>/</w:t>
      </w:r>
      <w:r>
        <w:rPr>
          <w:rFonts w:eastAsia="仿宋_GB2312"/>
          <w:kern w:val="28"/>
          <w:sz w:val="30"/>
          <w:szCs w:val="30"/>
        </w:rPr>
        <w:t>输出功率最大值与最小值之间的变化量。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1.1.13 </w:t>
      </w:r>
      <w:r>
        <w:rPr>
          <w:rFonts w:eastAsia="仿宋_GB2312"/>
          <w:spacing w:val="8"/>
          <w:kern w:val="28"/>
          <w:sz w:val="30"/>
          <w:szCs w:val="30"/>
        </w:rPr>
        <w:t>储能电站</w:t>
      </w:r>
      <w:r>
        <w:rPr>
          <w:rFonts w:eastAsia="仿宋_GB2312"/>
          <w:kern w:val="28"/>
          <w:sz w:val="30"/>
          <w:szCs w:val="30"/>
        </w:rPr>
        <w:t>运行监控系统：指</w:t>
      </w:r>
      <w:r>
        <w:rPr>
          <w:rFonts w:eastAsia="仿宋_GB2312"/>
          <w:spacing w:val="8"/>
          <w:kern w:val="28"/>
          <w:sz w:val="30"/>
          <w:szCs w:val="30"/>
        </w:rPr>
        <w:t>储能电站</w:t>
      </w:r>
      <w:r>
        <w:rPr>
          <w:rFonts w:eastAsia="仿宋_GB2312"/>
          <w:kern w:val="28"/>
          <w:sz w:val="30"/>
          <w:szCs w:val="30"/>
        </w:rPr>
        <w:t>用以监视、控制</w:t>
      </w:r>
      <w:r>
        <w:rPr>
          <w:rFonts w:eastAsia="仿宋_GB2312"/>
          <w:spacing w:val="8"/>
          <w:kern w:val="28"/>
          <w:sz w:val="30"/>
          <w:szCs w:val="30"/>
        </w:rPr>
        <w:t>储能电池</w:t>
      </w:r>
      <w:r>
        <w:rPr>
          <w:rFonts w:eastAsia="仿宋_GB2312"/>
          <w:kern w:val="28"/>
          <w:sz w:val="30"/>
          <w:szCs w:val="30"/>
        </w:rPr>
        <w:t>和其他站内设备运行状态，接受并执行电力调度机构下发的有功、无功功率调整、变流器投切指令，上传</w:t>
      </w:r>
      <w:r>
        <w:rPr>
          <w:rFonts w:eastAsia="仿宋_GB2312"/>
          <w:spacing w:val="8"/>
          <w:kern w:val="28"/>
          <w:sz w:val="30"/>
          <w:szCs w:val="30"/>
        </w:rPr>
        <w:t>储能电池</w:t>
      </w:r>
      <w:r>
        <w:rPr>
          <w:rFonts w:eastAsia="仿宋_GB2312"/>
          <w:kern w:val="28"/>
          <w:sz w:val="30"/>
          <w:szCs w:val="30"/>
        </w:rPr>
        <w:t>及公用系统运行状态、参数等信息，申报检修计划、充</w:t>
      </w:r>
      <w:r>
        <w:rPr>
          <w:rFonts w:eastAsia="仿宋_GB2312"/>
          <w:kern w:val="28"/>
          <w:sz w:val="30"/>
          <w:szCs w:val="30"/>
        </w:rPr>
        <w:t>/</w:t>
      </w:r>
      <w:r>
        <w:rPr>
          <w:rFonts w:eastAsia="仿宋_GB2312"/>
          <w:kern w:val="28"/>
          <w:sz w:val="30"/>
          <w:szCs w:val="30"/>
        </w:rPr>
        <w:t>放电功率申报曲线等计算机监视、控制、信息系统的统称。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1.1.14 </w:t>
      </w:r>
      <w:r>
        <w:rPr>
          <w:rFonts w:eastAsia="仿宋_GB2312"/>
          <w:kern w:val="28"/>
          <w:sz w:val="30"/>
          <w:szCs w:val="30"/>
        </w:rPr>
        <w:t>储能电站并网技术支持系统：指储能电站运行中用以保证储能电站符合并网运行要求、并网点电能质量符合国家及行业要求的设施，能够实现储能电站有功控制功能、无功及电压控制功能、电能质量控制功能、紧急情况下的安全解列功能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1.1.15 </w:t>
      </w:r>
      <w:r>
        <w:rPr>
          <w:rFonts w:eastAsia="仿宋_GB2312"/>
          <w:kern w:val="28"/>
          <w:sz w:val="30"/>
          <w:szCs w:val="30"/>
        </w:rPr>
        <w:t>电力监控系统：指用于监视和控制电力生产及供应过程的、基于计算机及网络技术的业务系统及智能设备，以及作为基础支撑的通信及数据网络等。包括但不限于以下系统和设备：能量管理系统、调度交易计划系统、广域相量测量系统、变电站自动化系统、储能电站监控系统、配电监控系统、电能量计量系统、时间同步监测系统、故障录波设备、相量测量设备、电能量采集装置、电力调度数据网络、综合数据通信网络、通信管理系统（</w:t>
      </w:r>
      <w:r>
        <w:rPr>
          <w:rFonts w:eastAsia="仿宋_GB2312"/>
          <w:kern w:val="28"/>
          <w:sz w:val="30"/>
          <w:szCs w:val="30"/>
        </w:rPr>
        <w:t>TMS</w:t>
      </w:r>
      <w:r>
        <w:rPr>
          <w:rFonts w:eastAsia="仿宋_GB2312"/>
          <w:kern w:val="28"/>
          <w:sz w:val="30"/>
          <w:szCs w:val="30"/>
        </w:rPr>
        <w:t>）、通信设备网管系统等。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1.1.16 </w:t>
      </w:r>
      <w:r>
        <w:rPr>
          <w:rFonts w:eastAsia="仿宋_GB2312"/>
          <w:kern w:val="28"/>
          <w:sz w:val="30"/>
          <w:szCs w:val="30"/>
        </w:rPr>
        <w:t>解列：本协议专指与电网相互连接在一起运行的充</w:t>
      </w:r>
      <w:r>
        <w:rPr>
          <w:rFonts w:eastAsia="仿宋_GB2312"/>
          <w:kern w:val="28"/>
          <w:sz w:val="30"/>
          <w:szCs w:val="30"/>
        </w:rPr>
        <w:t>/</w:t>
      </w:r>
      <w:r>
        <w:rPr>
          <w:rFonts w:eastAsia="仿宋_GB2312"/>
          <w:kern w:val="28"/>
          <w:sz w:val="30"/>
          <w:szCs w:val="30"/>
        </w:rPr>
        <w:t>放电设备</w:t>
      </w:r>
      <w:r>
        <w:rPr>
          <w:rFonts w:eastAsia="仿宋_GB2312"/>
          <w:kern w:val="28"/>
          <w:sz w:val="30"/>
          <w:szCs w:val="30"/>
        </w:rPr>
        <w:lastRenderedPageBreak/>
        <w:t>与电网的电气联系中断。</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1.1.17 </w:t>
      </w:r>
      <w:r>
        <w:rPr>
          <w:rFonts w:eastAsia="仿宋_GB2312"/>
          <w:kern w:val="28"/>
          <w:sz w:val="30"/>
          <w:szCs w:val="30"/>
        </w:rPr>
        <w:t>特殊运行方式：指因某种需要而使储能电站或电网接线方式不同于正常方式的运行安排。</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1.1.18 </w:t>
      </w:r>
      <w:r>
        <w:rPr>
          <w:rFonts w:eastAsia="仿宋_GB2312"/>
          <w:kern w:val="28"/>
          <w:sz w:val="30"/>
          <w:szCs w:val="30"/>
        </w:rPr>
        <w:t>储能电站可用容量：指储能电站任何时候受设备条件限制修正后的最大可用出力</w:t>
      </w:r>
      <w:r>
        <w:rPr>
          <w:rFonts w:eastAsia="仿宋_GB2312"/>
          <w:kern w:val="28"/>
          <w:sz w:val="30"/>
          <w:szCs w:val="30"/>
        </w:rPr>
        <w:t>/</w:t>
      </w:r>
      <w:r>
        <w:rPr>
          <w:rFonts w:eastAsia="仿宋_GB2312"/>
          <w:kern w:val="28"/>
          <w:sz w:val="30"/>
          <w:szCs w:val="30"/>
        </w:rPr>
        <w:t>最大可用电量。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1.1.19 </w:t>
      </w:r>
      <w:r>
        <w:rPr>
          <w:rFonts w:eastAsia="仿宋_GB2312"/>
          <w:kern w:val="28"/>
          <w:sz w:val="30"/>
          <w:szCs w:val="30"/>
        </w:rPr>
        <w:t>故障穿越能力：当电网故障或扰动引起储能电站并网点的电压跌落（或抬升）时，在规定的电压跌落（或抬升）范围内，储能电站（变流器）能够不间断并网运行的能力。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1.1.20 </w:t>
      </w:r>
      <w:r>
        <w:rPr>
          <w:rFonts w:eastAsia="仿宋_GB2312"/>
          <w:kern w:val="28"/>
          <w:sz w:val="30"/>
          <w:szCs w:val="30"/>
        </w:rPr>
        <w:t>充</w:t>
      </w:r>
      <w:r>
        <w:rPr>
          <w:rFonts w:eastAsia="仿宋_GB2312"/>
          <w:kern w:val="28"/>
          <w:sz w:val="30"/>
          <w:szCs w:val="30"/>
        </w:rPr>
        <w:t>/</w:t>
      </w:r>
      <w:r>
        <w:rPr>
          <w:rFonts w:eastAsia="仿宋_GB2312"/>
          <w:kern w:val="28"/>
          <w:sz w:val="30"/>
          <w:szCs w:val="30"/>
        </w:rPr>
        <w:t>放电功率申报曲线：指储能电站向电力调度机构申报的充</w:t>
      </w:r>
      <w:r>
        <w:rPr>
          <w:rFonts w:eastAsia="仿宋_GB2312"/>
          <w:kern w:val="28"/>
          <w:sz w:val="30"/>
          <w:szCs w:val="30"/>
        </w:rPr>
        <w:t>/</w:t>
      </w:r>
      <w:r>
        <w:rPr>
          <w:rFonts w:eastAsia="仿宋_GB2312"/>
          <w:kern w:val="28"/>
          <w:sz w:val="30"/>
          <w:szCs w:val="30"/>
        </w:rPr>
        <w:t>放电计划建议曲线。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1.1.21 </w:t>
      </w:r>
      <w:r>
        <w:rPr>
          <w:rFonts w:eastAsia="仿宋_GB2312"/>
          <w:kern w:val="28"/>
          <w:sz w:val="30"/>
          <w:szCs w:val="30"/>
        </w:rPr>
        <w:t>日充</w:t>
      </w:r>
      <w:r>
        <w:rPr>
          <w:rFonts w:eastAsia="仿宋_GB2312"/>
          <w:kern w:val="28"/>
          <w:sz w:val="30"/>
          <w:szCs w:val="30"/>
        </w:rPr>
        <w:t>/</w:t>
      </w:r>
      <w:r>
        <w:rPr>
          <w:rFonts w:eastAsia="仿宋_GB2312"/>
          <w:kern w:val="28"/>
          <w:sz w:val="30"/>
          <w:szCs w:val="30"/>
        </w:rPr>
        <w:t>放电调度计划曲线：指电力调度机构每日编制的用于确定储能电站次日各时段充</w:t>
      </w:r>
      <w:r>
        <w:rPr>
          <w:rFonts w:eastAsia="仿宋_GB2312"/>
          <w:kern w:val="28"/>
          <w:sz w:val="30"/>
          <w:szCs w:val="30"/>
        </w:rPr>
        <w:t>/</w:t>
      </w:r>
      <w:r>
        <w:rPr>
          <w:rFonts w:eastAsia="仿宋_GB2312"/>
          <w:kern w:val="28"/>
          <w:sz w:val="30"/>
          <w:szCs w:val="30"/>
        </w:rPr>
        <w:t>放电出力的曲线。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1.1.22 </w:t>
      </w:r>
      <w:r>
        <w:rPr>
          <w:rFonts w:eastAsia="仿宋_GB2312"/>
          <w:kern w:val="28"/>
          <w:sz w:val="30"/>
          <w:szCs w:val="30"/>
        </w:rPr>
        <w:t>紧急情况：指电力系统内发电、</w:t>
      </w:r>
      <w:r>
        <w:rPr>
          <w:rFonts w:eastAsia="仿宋_GB2312" w:hint="eastAsia"/>
          <w:kern w:val="28"/>
          <w:sz w:val="30"/>
          <w:szCs w:val="30"/>
        </w:rPr>
        <w:t>输电、变电及</w:t>
      </w:r>
      <w:r>
        <w:rPr>
          <w:rFonts w:eastAsia="仿宋_GB2312"/>
          <w:kern w:val="28"/>
          <w:sz w:val="30"/>
          <w:szCs w:val="30"/>
        </w:rPr>
        <w:t>供电设备发生重大事故；电网频率或电压超出规定范围</w:t>
      </w:r>
      <w:r>
        <w:rPr>
          <w:rFonts w:eastAsia="仿宋_GB2312" w:hint="eastAsia"/>
          <w:kern w:val="28"/>
          <w:sz w:val="30"/>
          <w:szCs w:val="30"/>
        </w:rPr>
        <w:t>，</w:t>
      </w:r>
      <w:r>
        <w:rPr>
          <w:rFonts w:eastAsia="仿宋_GB2312"/>
          <w:kern w:val="28"/>
          <w:sz w:val="30"/>
          <w:szCs w:val="30"/>
        </w:rPr>
        <w:t>输变电设备负载超出规定值</w:t>
      </w:r>
      <w:r>
        <w:rPr>
          <w:rFonts w:eastAsia="仿宋_GB2312" w:hint="eastAsia"/>
          <w:kern w:val="28"/>
          <w:sz w:val="30"/>
          <w:szCs w:val="30"/>
        </w:rPr>
        <w:t>，</w:t>
      </w:r>
      <w:r>
        <w:rPr>
          <w:rFonts w:eastAsia="仿宋_GB2312"/>
          <w:kern w:val="28"/>
          <w:sz w:val="30"/>
          <w:szCs w:val="30"/>
        </w:rPr>
        <w:t>主干线路功率、断面潮流值超出规定的稳定限额以及其他威胁电力系统安全运行，有可能破坏电力系统稳定，导致电力系统瓦解以至大面积停电等运行情况。</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1.1.23 </w:t>
      </w:r>
      <w:r>
        <w:rPr>
          <w:rFonts w:eastAsia="仿宋_GB2312"/>
          <w:kern w:val="28"/>
          <w:sz w:val="30"/>
          <w:szCs w:val="30"/>
        </w:rPr>
        <w:t>涉网性能：指涉网继电保护与安全自动装置、自动发电控制系统（</w:t>
      </w:r>
      <w:r>
        <w:rPr>
          <w:rFonts w:eastAsia="仿宋_GB2312"/>
          <w:kern w:val="28"/>
          <w:sz w:val="30"/>
          <w:szCs w:val="30"/>
        </w:rPr>
        <w:t>AGC</w:t>
      </w:r>
      <w:r>
        <w:rPr>
          <w:rFonts w:eastAsia="仿宋_GB2312"/>
          <w:kern w:val="28"/>
          <w:sz w:val="30"/>
          <w:szCs w:val="30"/>
        </w:rPr>
        <w:t>）、自动电压控制系统（</w:t>
      </w:r>
      <w:r>
        <w:rPr>
          <w:rFonts w:eastAsia="仿宋_GB2312"/>
          <w:kern w:val="28"/>
          <w:sz w:val="30"/>
          <w:szCs w:val="30"/>
        </w:rPr>
        <w:t>AVC</w:t>
      </w:r>
      <w:r>
        <w:rPr>
          <w:rFonts w:eastAsia="仿宋_GB2312"/>
          <w:kern w:val="28"/>
          <w:sz w:val="30"/>
          <w:szCs w:val="30"/>
        </w:rPr>
        <w:t>）和其它涉网设备的功能、性能、参数等。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lastRenderedPageBreak/>
        <w:t xml:space="preserve">1.1.24 </w:t>
      </w:r>
      <w:r>
        <w:rPr>
          <w:rFonts w:eastAsia="仿宋_GB2312"/>
          <w:kern w:val="28"/>
          <w:sz w:val="30"/>
          <w:szCs w:val="30"/>
        </w:rPr>
        <w:t>电力系统调度规程</w:t>
      </w:r>
      <w:r>
        <w:rPr>
          <w:rStyle w:val="af9"/>
          <w:rFonts w:eastAsia="仿宋_GB2312"/>
          <w:kern w:val="28"/>
          <w:sz w:val="30"/>
          <w:szCs w:val="30"/>
        </w:rPr>
        <w:footnoteReference w:id="4"/>
      </w:r>
      <w:r>
        <w:rPr>
          <w:rFonts w:eastAsia="仿宋_GB2312"/>
          <w:kern w:val="28"/>
          <w:sz w:val="30"/>
          <w:szCs w:val="30"/>
        </w:rPr>
        <w:t>：指根据《电网调度管理条例》、国家标准和行业标准制定的用于规范电力系统调度、运行行为的规程。</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1.1.25 </w:t>
      </w:r>
      <w:r>
        <w:rPr>
          <w:rFonts w:eastAsia="仿宋_GB2312"/>
          <w:kern w:val="28"/>
          <w:sz w:val="30"/>
          <w:szCs w:val="30"/>
        </w:rPr>
        <w:t>甲方原因：指由于甲方的要求或可以归咎于甲方的责任，包括因甲方未执行国家有关规定和标准等，导致事故范围扩大而应当承担的责任。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1.1.26 </w:t>
      </w:r>
      <w:r>
        <w:rPr>
          <w:rFonts w:eastAsia="仿宋_GB2312"/>
          <w:kern w:val="28"/>
          <w:sz w:val="30"/>
          <w:szCs w:val="30"/>
        </w:rPr>
        <w:t>乙方原因：指由于乙方的要求或可以归咎于乙方的责任，包括因乙方未执行国家有关规定和标准等，导致事故范围扩大而应当承担的责任。</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1.1.27 </w:t>
      </w:r>
      <w:r>
        <w:rPr>
          <w:rFonts w:eastAsia="仿宋_GB2312"/>
          <w:kern w:val="28"/>
          <w:sz w:val="30"/>
          <w:szCs w:val="30"/>
        </w:rPr>
        <w:t>工作日：指除法定节假日（包括双休日）以外的公历日。如约定支付日不是工作日，则支付日顺延至下一工作日。本文中没明确工作日的，均指自然日。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1.1.28 </w:t>
      </w:r>
      <w:r>
        <w:rPr>
          <w:rFonts w:eastAsia="仿宋_GB2312"/>
          <w:kern w:val="28"/>
          <w:sz w:val="30"/>
          <w:szCs w:val="30"/>
        </w:rPr>
        <w:t>不可抗力：指不能预见、不能避免并不能克服的客观情况。包括：火山爆发、龙卷风、海啸、暴风雪、泥石流、山体滑坡、水灾、火灾、超设计标准的地震、台风、雷电、雾闪等，以及核辐射、战争、瘟疫、骚乱等</w:t>
      </w:r>
      <w:r>
        <w:rPr>
          <w:rStyle w:val="af9"/>
          <w:rFonts w:eastAsia="仿宋_GB2312"/>
          <w:kern w:val="28"/>
          <w:sz w:val="30"/>
          <w:szCs w:val="30"/>
        </w:rPr>
        <w:footnoteReference w:id="5"/>
      </w:r>
      <w:r>
        <w:rPr>
          <w:rFonts w:eastAsia="仿宋_GB2312"/>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 </w:t>
      </w:r>
      <w:r>
        <w:rPr>
          <w:rFonts w:ascii="Times New Roman" w:eastAsia="仿宋_GB2312" w:hAnsi="Times New Roman"/>
          <w:kern w:val="28"/>
          <w:sz w:val="30"/>
          <w:szCs w:val="30"/>
        </w:rPr>
        <w:t>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1.2.1 </w:t>
      </w:r>
      <w:r>
        <w:rPr>
          <w:rFonts w:eastAsia="仿宋_GB2312"/>
          <w:kern w:val="28"/>
          <w:sz w:val="30"/>
          <w:szCs w:val="30"/>
        </w:rPr>
        <w:t>本协议中的标题仅为阅读方便，不应以任何方式影响对本协议的解释。</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1.2.2 </w:t>
      </w:r>
      <w:r>
        <w:rPr>
          <w:rFonts w:eastAsia="仿宋_GB2312"/>
          <w:kern w:val="28"/>
          <w:sz w:val="30"/>
          <w:szCs w:val="30"/>
        </w:rPr>
        <w:t>本协议附件与正文具有同等的法律效力。</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1.2.3 </w:t>
      </w:r>
      <w:r>
        <w:rPr>
          <w:rFonts w:eastAsia="仿宋_GB2312"/>
          <w:kern w:val="28"/>
          <w:sz w:val="30"/>
          <w:szCs w:val="30"/>
        </w:rPr>
        <w:t>本协议对任何一方的合法承继者或受让人具有约束力</w:t>
      </w:r>
      <w:r>
        <w:rPr>
          <w:rFonts w:eastAsia="仿宋_GB2312" w:hint="eastAsia"/>
          <w:kern w:val="28"/>
          <w:sz w:val="30"/>
          <w:szCs w:val="30"/>
        </w:rPr>
        <w:t>，</w:t>
      </w:r>
      <w:r>
        <w:rPr>
          <w:rFonts w:eastAsia="仿宋_GB2312"/>
          <w:kern w:val="28"/>
          <w:sz w:val="30"/>
          <w:szCs w:val="30"/>
        </w:rPr>
        <w:t>但当事</w:t>
      </w:r>
      <w:r>
        <w:rPr>
          <w:rFonts w:eastAsia="仿宋_GB2312"/>
          <w:kern w:val="28"/>
          <w:sz w:val="30"/>
          <w:szCs w:val="30"/>
        </w:rPr>
        <w:lastRenderedPageBreak/>
        <w:t>人另有约定的除外。</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1.2.4 </w:t>
      </w:r>
      <w:r>
        <w:rPr>
          <w:rFonts w:eastAsia="仿宋_GB2312"/>
          <w:kern w:val="28"/>
          <w:sz w:val="30"/>
          <w:szCs w:val="30"/>
        </w:rPr>
        <w:t>除上下文另有要求外，本协议所指的年、月、日均为公历年、月、日。</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1.2.5 </w:t>
      </w:r>
      <w:r>
        <w:rPr>
          <w:rFonts w:eastAsia="仿宋_GB2312"/>
          <w:kern w:val="28"/>
          <w:sz w:val="30"/>
          <w:szCs w:val="30"/>
        </w:rPr>
        <w:t>本协议中的</w:t>
      </w:r>
      <w:r>
        <w:rPr>
          <w:rFonts w:eastAsia="仿宋_GB2312"/>
          <w:kern w:val="28"/>
          <w:sz w:val="30"/>
          <w:szCs w:val="30"/>
        </w:rPr>
        <w:t>“</w:t>
      </w:r>
      <w:r>
        <w:rPr>
          <w:rFonts w:eastAsia="仿宋_GB2312"/>
          <w:kern w:val="28"/>
          <w:sz w:val="30"/>
          <w:szCs w:val="30"/>
        </w:rPr>
        <w:t>包括</w:t>
      </w:r>
      <w:r>
        <w:rPr>
          <w:rFonts w:eastAsia="仿宋_GB2312"/>
          <w:kern w:val="28"/>
          <w:sz w:val="30"/>
          <w:szCs w:val="30"/>
        </w:rPr>
        <w:t>”</w:t>
      </w:r>
      <w:r>
        <w:rPr>
          <w:rFonts w:eastAsia="仿宋_GB2312"/>
          <w:kern w:val="28"/>
          <w:sz w:val="30"/>
          <w:szCs w:val="30"/>
        </w:rPr>
        <w:t>一词指：包括但不限于。</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1.2.6 </w:t>
      </w:r>
      <w:r>
        <w:rPr>
          <w:rFonts w:eastAsia="仿宋_GB2312"/>
          <w:kern w:val="28"/>
          <w:sz w:val="30"/>
          <w:szCs w:val="30"/>
        </w:rPr>
        <w:t>本协议中的数字、期限等均包含本数。</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1.2.7 </w:t>
      </w:r>
      <w:r>
        <w:rPr>
          <w:rFonts w:eastAsia="仿宋_GB2312"/>
          <w:kern w:val="28"/>
          <w:sz w:val="30"/>
          <w:szCs w:val="30"/>
        </w:rPr>
        <w:t>本协议中引用的</w:t>
      </w:r>
      <w:r>
        <w:rPr>
          <w:rFonts w:eastAsia="仿宋_GB2312" w:hint="eastAsia"/>
          <w:kern w:val="28"/>
          <w:sz w:val="30"/>
          <w:szCs w:val="30"/>
        </w:rPr>
        <w:t>国家标准</w:t>
      </w:r>
      <w:r>
        <w:rPr>
          <w:rFonts w:eastAsia="仿宋_GB2312"/>
          <w:kern w:val="28"/>
          <w:sz w:val="30"/>
          <w:szCs w:val="30"/>
        </w:rPr>
        <w:t>和行业技术规范如有更新，按照新颁布的执行。</w:t>
      </w:r>
    </w:p>
    <w:p w:rsidR="00000000" w:rsidRDefault="00000000">
      <w:pPr>
        <w:pStyle w:val="d3"/>
        <w:rPr>
          <w:rFonts w:hint="eastAsia"/>
        </w:rPr>
      </w:pPr>
      <w:bookmarkStart w:id="1" w:name="_Toc350634472"/>
      <w:r>
        <w:br w:type="page"/>
      </w:r>
      <w:r>
        <w:rPr>
          <w:rFonts w:hint="eastAsia"/>
        </w:rPr>
        <w:lastRenderedPageBreak/>
        <w:t>第</w:t>
      </w:r>
      <w:r>
        <w:rPr>
          <w:rFonts w:hint="eastAsia"/>
          <w:b/>
        </w:rPr>
        <w:t>2</w:t>
      </w:r>
      <w:r>
        <w:rPr>
          <w:rFonts w:hint="eastAsia"/>
        </w:rPr>
        <w:t>章</w:t>
      </w:r>
      <w:r>
        <w:rPr>
          <w:rFonts w:hint="eastAsia"/>
        </w:rPr>
        <w:t xml:space="preserve">  </w:t>
      </w:r>
      <w:r>
        <w:rPr>
          <w:rFonts w:hint="eastAsia"/>
        </w:rPr>
        <w:t>双方陈述</w:t>
      </w:r>
      <w:bookmarkEnd w:id="1"/>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任何一方在此向对方陈述如下：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2.1 </w:t>
      </w:r>
      <w:r>
        <w:rPr>
          <w:rFonts w:ascii="Times New Roman" w:eastAsia="仿宋_GB2312" w:hAnsi="Times New Roman"/>
          <w:kern w:val="28"/>
          <w:sz w:val="30"/>
          <w:szCs w:val="30"/>
        </w:rPr>
        <w:t>本方为一家依法设立并合法存续的企业，有权签署并有能力履行本协议。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 </w:t>
      </w:r>
      <w:r>
        <w:rPr>
          <w:rFonts w:ascii="Times New Roman" w:eastAsia="仿宋_GB2312" w:hAnsi="Times New Roman"/>
          <w:spacing w:val="4"/>
          <w:kern w:val="28"/>
          <w:sz w:val="30"/>
          <w:szCs w:val="30"/>
        </w:rPr>
        <w:t>本方签署和履行本协议所需的一切手续（包括办理必要的政府批准、取得营业执照等）均已办妥并合法有效。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2.3 </w:t>
      </w:r>
      <w:r>
        <w:rPr>
          <w:rFonts w:ascii="Times New Roman" w:eastAsia="仿宋_GB2312" w:hAnsi="Times New Roman"/>
          <w:kern w:val="28"/>
          <w:sz w:val="30"/>
          <w:szCs w:val="30"/>
        </w:rPr>
        <w:t>在签署本协议时，任何法院、仲裁机构、行政机关或监管机构均未作出任何足以对本方履行本协议产生重大不利影响的判决、裁定、裁决或具体行政行为。</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2.4 </w:t>
      </w:r>
      <w:r>
        <w:rPr>
          <w:rFonts w:ascii="Times New Roman" w:eastAsia="仿宋_GB2312" w:hAnsi="Times New Roman"/>
          <w:kern w:val="28"/>
          <w:sz w:val="30"/>
          <w:szCs w:val="30"/>
        </w:rPr>
        <w:t>本方为签署本协议所需的内部授权程序均已完成，本协议的签署人是本方法定代表人或委托代理人。本协议生效后即对协议双方具有法律约束力。</w:t>
      </w:r>
    </w:p>
    <w:p w:rsidR="00000000" w:rsidRDefault="00000000">
      <w:pPr>
        <w:pStyle w:val="d3"/>
        <w:rPr>
          <w:rFonts w:hint="eastAsia"/>
        </w:rPr>
      </w:pPr>
      <w:bookmarkStart w:id="2" w:name="_Toc350634473"/>
      <w:r>
        <w:br w:type="page"/>
      </w:r>
      <w:r>
        <w:rPr>
          <w:rFonts w:hint="eastAsia"/>
        </w:rPr>
        <w:lastRenderedPageBreak/>
        <w:t>第</w:t>
      </w:r>
      <w:r>
        <w:rPr>
          <w:rFonts w:hint="eastAsia"/>
          <w:b/>
        </w:rPr>
        <w:t>3</w:t>
      </w:r>
      <w:r>
        <w:rPr>
          <w:rFonts w:hint="eastAsia"/>
        </w:rPr>
        <w:t>章</w:t>
      </w:r>
      <w:r>
        <w:rPr>
          <w:rFonts w:hint="eastAsia"/>
        </w:rPr>
        <w:t xml:space="preserve">  </w:t>
      </w:r>
      <w:r>
        <w:rPr>
          <w:rFonts w:hint="eastAsia"/>
        </w:rPr>
        <w:t>双方义务</w:t>
      </w:r>
      <w:bookmarkEnd w:id="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3.1 </w:t>
      </w:r>
      <w:r>
        <w:rPr>
          <w:rFonts w:ascii="Times New Roman" w:eastAsia="仿宋_GB2312" w:hAnsi="Times New Roman"/>
          <w:kern w:val="28"/>
          <w:sz w:val="30"/>
          <w:szCs w:val="30"/>
        </w:rPr>
        <w:t>甲方的义务包括：</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3.1.1 </w:t>
      </w:r>
      <w:r>
        <w:rPr>
          <w:rFonts w:eastAsia="仿宋_GB2312"/>
          <w:kern w:val="28"/>
          <w:sz w:val="30"/>
          <w:szCs w:val="30"/>
        </w:rPr>
        <w:t>遵守国家法律法规、国家标准和行业标准，以电力系统安全、优质、经济运行为目标，尊重市场化原则，根据储能电站的技术特性及其所在电力系统的规程、规范，本着公开、公平、公正的原则，对储能电站进行统一调度（调度范围见附件</w:t>
      </w:r>
      <w:r>
        <w:rPr>
          <w:rFonts w:eastAsia="仿宋_GB2312"/>
          <w:kern w:val="28"/>
          <w:sz w:val="30"/>
          <w:szCs w:val="30"/>
        </w:rPr>
        <w:t>3</w:t>
      </w:r>
      <w:r>
        <w:rPr>
          <w:rFonts w:eastAsia="仿宋_GB2312"/>
          <w:kern w:val="28"/>
          <w:sz w:val="30"/>
          <w:szCs w:val="30"/>
        </w:rPr>
        <w:t>）。</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3.1.2 </w:t>
      </w:r>
      <w:r>
        <w:rPr>
          <w:rFonts w:eastAsia="仿宋_GB2312"/>
          <w:spacing w:val="-4"/>
          <w:kern w:val="28"/>
          <w:sz w:val="30"/>
          <w:szCs w:val="30"/>
        </w:rPr>
        <w:t>负责所属电网相关设备、设施的运行管理、检修维护和技术改造，满足电力系统安全稳定运行及</w:t>
      </w:r>
      <w:r>
        <w:rPr>
          <w:rFonts w:eastAsia="仿宋_GB2312"/>
          <w:kern w:val="28"/>
          <w:sz w:val="30"/>
          <w:szCs w:val="30"/>
        </w:rPr>
        <w:t>储能电站</w:t>
      </w:r>
      <w:r>
        <w:rPr>
          <w:rFonts w:eastAsia="仿宋_GB2312"/>
          <w:spacing w:val="-4"/>
          <w:kern w:val="28"/>
          <w:sz w:val="30"/>
          <w:szCs w:val="30"/>
        </w:rPr>
        <w:t>正常运行的需要。</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3.1.3 </w:t>
      </w:r>
      <w:r>
        <w:rPr>
          <w:rFonts w:eastAsia="仿宋_GB2312"/>
          <w:kern w:val="28"/>
          <w:sz w:val="30"/>
          <w:szCs w:val="30"/>
        </w:rPr>
        <w:t>根据乙方市场化交易合同的约定，结合电网运行实际情况，依据乙方申报的月度充</w:t>
      </w:r>
      <w:r>
        <w:rPr>
          <w:rFonts w:eastAsia="仿宋_GB2312"/>
          <w:kern w:val="28"/>
          <w:sz w:val="30"/>
          <w:szCs w:val="30"/>
        </w:rPr>
        <w:t>/</w:t>
      </w:r>
      <w:r>
        <w:rPr>
          <w:rFonts w:eastAsia="仿宋_GB2312"/>
          <w:kern w:val="28"/>
          <w:sz w:val="30"/>
          <w:szCs w:val="30"/>
        </w:rPr>
        <w:t>放电计划建议、日充</w:t>
      </w:r>
      <w:r>
        <w:rPr>
          <w:rFonts w:eastAsia="仿宋_GB2312"/>
          <w:kern w:val="28"/>
          <w:sz w:val="30"/>
          <w:szCs w:val="30"/>
        </w:rPr>
        <w:t>/</w:t>
      </w:r>
      <w:r>
        <w:rPr>
          <w:rFonts w:eastAsia="仿宋_GB2312"/>
          <w:kern w:val="28"/>
          <w:sz w:val="30"/>
          <w:szCs w:val="30"/>
        </w:rPr>
        <w:t>放电功率申报曲线，按时编制并向乙方提供月度充</w:t>
      </w:r>
      <w:r>
        <w:rPr>
          <w:rFonts w:eastAsia="仿宋_GB2312"/>
          <w:kern w:val="28"/>
          <w:sz w:val="30"/>
          <w:szCs w:val="30"/>
        </w:rPr>
        <w:t>/</w:t>
      </w:r>
      <w:r>
        <w:rPr>
          <w:rFonts w:eastAsia="仿宋_GB2312"/>
          <w:kern w:val="28"/>
          <w:sz w:val="30"/>
          <w:szCs w:val="30"/>
        </w:rPr>
        <w:t>放电计划、日充</w:t>
      </w:r>
      <w:r>
        <w:rPr>
          <w:rFonts w:eastAsia="仿宋_GB2312"/>
          <w:kern w:val="28"/>
          <w:sz w:val="30"/>
          <w:szCs w:val="30"/>
        </w:rPr>
        <w:t>/</w:t>
      </w:r>
      <w:r>
        <w:rPr>
          <w:rFonts w:eastAsia="仿宋_GB2312"/>
          <w:kern w:val="28"/>
          <w:sz w:val="30"/>
          <w:szCs w:val="30"/>
        </w:rPr>
        <w:t>放电调度计划曲线及无功出力曲线（或电压曲线）。</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3.1.4 </w:t>
      </w:r>
      <w:r>
        <w:rPr>
          <w:rFonts w:eastAsia="仿宋_GB2312"/>
          <w:kern w:val="28"/>
          <w:sz w:val="30"/>
          <w:szCs w:val="30"/>
        </w:rPr>
        <w:t>按照乙方提供</w:t>
      </w:r>
      <w:r>
        <w:rPr>
          <w:rFonts w:eastAsia="仿宋_GB2312" w:hint="eastAsia"/>
          <w:kern w:val="28"/>
          <w:sz w:val="30"/>
          <w:szCs w:val="30"/>
        </w:rPr>
        <w:t>的</w:t>
      </w:r>
      <w:r>
        <w:rPr>
          <w:rFonts w:eastAsia="仿宋_GB2312"/>
          <w:kern w:val="28"/>
          <w:sz w:val="30"/>
          <w:szCs w:val="30"/>
        </w:rPr>
        <w:t>设备检修计划建议，合理安排储能电站的设备检修。</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3.1.5 </w:t>
      </w:r>
      <w:r>
        <w:rPr>
          <w:rFonts w:eastAsia="仿宋_GB2312"/>
          <w:kern w:val="28"/>
          <w:sz w:val="30"/>
          <w:szCs w:val="30"/>
        </w:rPr>
        <w:t>支持、配合乙方对相应设备进行技术改造或参数调整；对乙方与电网有关的调度、运行管理进行指导和协调；对乙方运行中涉及电网运行安全的电气设备、继电保护及安全自动装置、储能电站运行监控系统、并网技术支持系统、电能计量系统、电力调度通信、调度自动化等相关专业、业务进行指导和协调，并提供必要的技术支持。</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3.1.6 </w:t>
      </w:r>
      <w:r>
        <w:rPr>
          <w:rFonts w:eastAsia="仿宋_GB2312"/>
          <w:kern w:val="28"/>
          <w:sz w:val="30"/>
          <w:szCs w:val="30"/>
        </w:rPr>
        <w:t>按照相关规定及时、准确、客观、完整向乙方通报与其相关的</w:t>
      </w:r>
      <w:r>
        <w:rPr>
          <w:rFonts w:eastAsia="仿宋_GB2312"/>
          <w:kern w:val="28"/>
          <w:sz w:val="30"/>
          <w:szCs w:val="30"/>
        </w:rPr>
        <w:lastRenderedPageBreak/>
        <w:t>电网重大设备缺陷信息、与储能电站相关的输电通道能力，定期披露与乙方有关的电力调度信息。</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3.1.7 </w:t>
      </w:r>
      <w:r>
        <w:rPr>
          <w:rFonts w:eastAsia="仿宋_GB2312"/>
          <w:kern w:val="28"/>
          <w:sz w:val="30"/>
          <w:szCs w:val="30"/>
        </w:rPr>
        <w:t>根据电力系统安全稳定运行需要及乙方设备的特性，及时按程序修改相应规程、规范。</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3.1.8 </w:t>
      </w:r>
      <w:r>
        <w:rPr>
          <w:rFonts w:eastAsia="仿宋_GB2312"/>
          <w:kern w:val="28"/>
          <w:sz w:val="30"/>
          <w:szCs w:val="30"/>
        </w:rPr>
        <w:t>采取措施，防止影响电力系统安全运行的事故发生。定期开展各项涉及电网安全的专项和专业安全检查，根据需要制定反事故措施。电力调度机构根据电网运行需要制定网厂联合反事故演习方案并组织实施。</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3.1.9 </w:t>
      </w:r>
      <w:r>
        <w:rPr>
          <w:rFonts w:eastAsia="仿宋_GB2312"/>
          <w:kern w:val="28"/>
          <w:sz w:val="30"/>
          <w:szCs w:val="30"/>
        </w:rPr>
        <w:t>配合乙方或由政府安全生产管理部门、能源主管部门、能源监管机构组织的事故调查。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3.2 </w:t>
      </w:r>
      <w:r>
        <w:rPr>
          <w:rFonts w:ascii="Times New Roman" w:eastAsia="仿宋_GB2312" w:hAnsi="Times New Roman"/>
          <w:kern w:val="28"/>
          <w:sz w:val="30"/>
          <w:szCs w:val="30"/>
        </w:rPr>
        <w:t>乙方的义务包括：</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 </w:t>
      </w:r>
      <w:r>
        <w:rPr>
          <w:rFonts w:eastAsia="仿宋_GB2312"/>
          <w:kern w:val="28"/>
          <w:sz w:val="30"/>
          <w:szCs w:val="30"/>
        </w:rPr>
        <w:t>遵守国家法律法规、国家标准、行业标准及所在电力系统的规程、规范，以维护电力系统安全、优质、经济运行为目标，服从电力调度机构的统一调度，合理组织储能电站生产。</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3.2.2 </w:t>
      </w:r>
      <w:r>
        <w:rPr>
          <w:rFonts w:eastAsia="仿宋_GB2312"/>
          <w:kern w:val="28"/>
          <w:sz w:val="30"/>
          <w:szCs w:val="30"/>
        </w:rPr>
        <w:t>配备储能电站运行监控系统、并网技术支持系统及相应的自动化、通信等装置，保证其正常运行，并达到规定的技术要求。</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3.2.3 </w:t>
      </w:r>
      <w:r>
        <w:rPr>
          <w:rFonts w:eastAsia="仿宋_GB2312"/>
          <w:spacing w:val="-6"/>
          <w:kern w:val="28"/>
          <w:sz w:val="30"/>
          <w:szCs w:val="30"/>
        </w:rPr>
        <w:t>电站配置的二次设备及系统需符合电力二次系统技术规范、电力二次系统安全防护要求及相关设计规程，储能电站二次系统安全防护保证满足能源监管机构的有关规定，达到规定的技术要求。</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3.2.4 </w:t>
      </w:r>
      <w:r>
        <w:rPr>
          <w:rFonts w:eastAsia="仿宋_GB2312"/>
          <w:kern w:val="28"/>
          <w:sz w:val="30"/>
          <w:szCs w:val="30"/>
        </w:rPr>
        <w:t>按照电力调度机构调度指令</w:t>
      </w:r>
      <w:r>
        <w:rPr>
          <w:rFonts w:eastAsia="仿宋_GB2312" w:hint="eastAsia"/>
          <w:kern w:val="28"/>
          <w:sz w:val="30"/>
          <w:szCs w:val="30"/>
        </w:rPr>
        <w:t>或市场交易结果</w:t>
      </w:r>
      <w:r>
        <w:rPr>
          <w:rFonts w:eastAsia="仿宋_GB2312"/>
          <w:kern w:val="28"/>
          <w:sz w:val="30"/>
          <w:szCs w:val="30"/>
        </w:rPr>
        <w:t>组织储能电站实时生产运行，参与电力系统的调峰、调频、调压和备用等辅助服务。</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lastRenderedPageBreak/>
        <w:t xml:space="preserve">3.2.5 </w:t>
      </w:r>
      <w:r>
        <w:rPr>
          <w:rFonts w:eastAsia="仿宋_GB2312"/>
          <w:kern w:val="28"/>
          <w:sz w:val="30"/>
          <w:szCs w:val="30"/>
        </w:rPr>
        <w:t>按照电力调度机构要求提供储能电站设备检修计划建议，执行已批准的检修计划，做好设备检修维护工作。</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3.2.6 </w:t>
      </w:r>
      <w:r>
        <w:rPr>
          <w:rFonts w:eastAsia="仿宋_GB2312"/>
          <w:kern w:val="28"/>
          <w:sz w:val="30"/>
          <w:szCs w:val="30"/>
        </w:rPr>
        <w:t>接受甲方根据第</w:t>
      </w:r>
      <w:r>
        <w:rPr>
          <w:rFonts w:eastAsia="仿宋_GB2312"/>
          <w:kern w:val="28"/>
          <w:sz w:val="30"/>
          <w:szCs w:val="30"/>
        </w:rPr>
        <w:t>3.1.5</w:t>
      </w:r>
      <w:r>
        <w:rPr>
          <w:rFonts w:eastAsia="仿宋_GB2312"/>
          <w:kern w:val="28"/>
          <w:sz w:val="30"/>
          <w:szCs w:val="30"/>
        </w:rPr>
        <w:t>款作出的业务指导和协调</w:t>
      </w:r>
      <w:r>
        <w:rPr>
          <w:rFonts w:eastAsia="仿宋_GB2312" w:hint="eastAsia"/>
          <w:kern w:val="28"/>
          <w:sz w:val="30"/>
          <w:szCs w:val="30"/>
        </w:rPr>
        <w:t>，</w:t>
      </w:r>
      <w:r>
        <w:rPr>
          <w:rFonts w:eastAsia="仿宋_GB2312"/>
          <w:kern w:val="28"/>
          <w:sz w:val="30"/>
          <w:szCs w:val="30"/>
        </w:rPr>
        <w:t>并配备相应的技术管理和检修管理人员，配合甲方工作。</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3.2.7 </w:t>
      </w:r>
      <w:r>
        <w:rPr>
          <w:rFonts w:eastAsia="仿宋_GB2312"/>
          <w:kern w:val="28"/>
          <w:sz w:val="30"/>
          <w:szCs w:val="30"/>
        </w:rPr>
        <w:t>根据需要及时对设备进行技术改造或参数调整，并报甲方备案，涉及电网安全的，须征得甲方同意。</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3.2.8 </w:t>
      </w:r>
      <w:r>
        <w:rPr>
          <w:rFonts w:eastAsia="仿宋_GB2312"/>
          <w:kern w:val="28"/>
          <w:sz w:val="30"/>
          <w:szCs w:val="30"/>
        </w:rPr>
        <w:t>按照相关规定及时、准确、客观、完整地向甲方提供储能电站设备运行情况及生产信息，相关气象信息等。</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3.2.9 </w:t>
      </w:r>
      <w:r>
        <w:rPr>
          <w:rFonts w:eastAsia="仿宋_GB2312"/>
          <w:kern w:val="28"/>
          <w:sz w:val="30"/>
          <w:szCs w:val="30"/>
        </w:rPr>
        <w:t>制定与甲方电力系统规程、规范相统一的现场运行规程，并送甲方备案。</w:t>
      </w:r>
    </w:p>
    <w:p w:rsidR="00000000" w:rsidRDefault="00000000">
      <w:pPr>
        <w:pStyle w:val="31"/>
        <w:numPr>
          <w:ilvl w:val="0"/>
          <w:numId w:val="0"/>
        </w:numPr>
        <w:topLinePunct/>
        <w:ind w:firstLineChars="200" w:firstLine="600"/>
        <w:outlineLvl w:val="9"/>
        <w:rPr>
          <w:rFonts w:eastAsia="仿宋_GB2312"/>
          <w:kern w:val="28"/>
          <w:sz w:val="30"/>
          <w:szCs w:val="30"/>
        </w:rPr>
      </w:pPr>
      <w:r>
        <w:rPr>
          <w:rFonts w:eastAsia="仿宋_GB2312"/>
          <w:kern w:val="28"/>
          <w:sz w:val="30"/>
          <w:szCs w:val="30"/>
        </w:rPr>
        <w:t xml:space="preserve">3.2.10 </w:t>
      </w:r>
      <w:r>
        <w:rPr>
          <w:rFonts w:eastAsia="仿宋_GB2312"/>
          <w:kern w:val="28"/>
          <w:sz w:val="30"/>
          <w:szCs w:val="30"/>
        </w:rPr>
        <w:t>采取措施，防止影响电力系统安全运行的事故发生。配合甲方定期开展各项涉及电网安全的专项和专业安全检查，落实检查中提出的防范措施；电力调度机构有明确的反事故措施或其他电力系统安全要求的，乙方应按要求实施并运行维护；将有关安全措施文件送电力调度机构备案；参加电力调度机构组织的联合反事故演习。</w:t>
      </w:r>
    </w:p>
    <w:p w:rsidR="00000000" w:rsidRDefault="00000000">
      <w:pPr>
        <w:pStyle w:val="31"/>
        <w:numPr>
          <w:ilvl w:val="0"/>
          <w:numId w:val="0"/>
        </w:numPr>
        <w:topLinePunct/>
        <w:ind w:firstLineChars="200" w:firstLine="600"/>
        <w:outlineLvl w:val="9"/>
        <w:rPr>
          <w:rFonts w:ascii="仿宋_GB2312" w:eastAsia="仿宋_GB2312" w:hint="eastAsia"/>
          <w:kern w:val="28"/>
          <w:sz w:val="30"/>
          <w:szCs w:val="30"/>
        </w:rPr>
      </w:pPr>
      <w:r>
        <w:rPr>
          <w:rFonts w:eastAsia="仿宋_GB2312"/>
          <w:kern w:val="28"/>
          <w:sz w:val="30"/>
          <w:szCs w:val="30"/>
        </w:rPr>
        <w:t xml:space="preserve">3.2.11 </w:t>
      </w:r>
      <w:r>
        <w:rPr>
          <w:rFonts w:eastAsia="仿宋_GB2312"/>
          <w:kern w:val="28"/>
          <w:sz w:val="30"/>
          <w:szCs w:val="30"/>
        </w:rPr>
        <w:t>配合甲方或由政府安全生产管理部门、</w:t>
      </w:r>
      <w:r>
        <w:rPr>
          <w:rFonts w:eastAsia="仿宋_GB2312" w:hint="eastAsia"/>
          <w:kern w:val="28"/>
          <w:sz w:val="30"/>
          <w:szCs w:val="30"/>
        </w:rPr>
        <w:t>能源主管部门</w:t>
      </w:r>
      <w:r>
        <w:rPr>
          <w:rFonts w:eastAsia="仿宋_GB2312"/>
          <w:kern w:val="28"/>
          <w:sz w:val="30"/>
          <w:szCs w:val="30"/>
        </w:rPr>
        <w:t>、能源监管机构组织的事故调查。</w:t>
      </w:r>
    </w:p>
    <w:p w:rsidR="00000000" w:rsidRDefault="00000000">
      <w:pPr>
        <w:pStyle w:val="d3"/>
        <w:rPr>
          <w:rFonts w:hint="eastAsia"/>
        </w:rPr>
      </w:pPr>
      <w:bookmarkStart w:id="3" w:name="_Toc350634474"/>
      <w:r>
        <w:br w:type="page"/>
      </w:r>
      <w:r>
        <w:rPr>
          <w:rFonts w:hint="eastAsia"/>
        </w:rPr>
        <w:lastRenderedPageBreak/>
        <w:t>第</w:t>
      </w:r>
      <w:r>
        <w:rPr>
          <w:rFonts w:hint="eastAsia"/>
          <w:b/>
        </w:rPr>
        <w:t>4</w:t>
      </w:r>
      <w:r>
        <w:rPr>
          <w:rFonts w:hint="eastAsia"/>
        </w:rPr>
        <w:t>章</w:t>
      </w:r>
      <w:r>
        <w:rPr>
          <w:rFonts w:hint="eastAsia"/>
        </w:rPr>
        <w:t xml:space="preserve">  </w:t>
      </w:r>
      <w:r>
        <w:rPr>
          <w:rFonts w:hint="eastAsia"/>
        </w:rPr>
        <w:t>并网条件</w:t>
      </w:r>
      <w:bookmarkEnd w:id="3"/>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 </w:t>
      </w:r>
      <w:r>
        <w:rPr>
          <w:rFonts w:ascii="Times New Roman" w:eastAsia="仿宋_GB2312" w:hAnsi="Times New Roman"/>
          <w:kern w:val="28"/>
          <w:sz w:val="30"/>
          <w:szCs w:val="30"/>
        </w:rPr>
        <w:t>乙方已取得政府主管部门储能电站项目核准（备案）文件。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4.2 </w:t>
      </w:r>
      <w:r>
        <w:rPr>
          <w:rFonts w:ascii="Times New Roman" w:eastAsia="仿宋_GB2312" w:hAnsi="Times New Roman"/>
          <w:kern w:val="28"/>
          <w:sz w:val="30"/>
          <w:szCs w:val="30"/>
        </w:rPr>
        <w:t>乙方一、二次设备须符合国家标准、行业标准、反事故措施和其他有关规定</w:t>
      </w:r>
      <w:r>
        <w:rPr>
          <w:rStyle w:val="af9"/>
          <w:rFonts w:eastAsia="仿宋_GB2312"/>
          <w:kern w:val="28"/>
          <w:sz w:val="30"/>
          <w:szCs w:val="30"/>
        </w:rPr>
        <w:footnoteReference w:id="6"/>
      </w:r>
      <w:r>
        <w:rPr>
          <w:rFonts w:ascii="Times New Roman" w:eastAsia="仿宋_GB2312" w:hAnsi="Times New Roman"/>
          <w:kern w:val="28"/>
          <w:sz w:val="30"/>
          <w:szCs w:val="30"/>
        </w:rPr>
        <w:t>，且与有相应资质的检测机构签订并网后检测合同，按设计要求安装、调试完毕，经基建程序验收合格；并网正常运行方式已经明确，变流器等有关参数已合理匹配，设备整定值已按照要求整定，具备并入甲方电网运行、接受电力调度机构统一调度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4.3 </w:t>
      </w:r>
      <w:r>
        <w:rPr>
          <w:rFonts w:ascii="Times New Roman" w:eastAsia="仿宋_GB2312" w:hAnsi="Times New Roman"/>
          <w:kern w:val="28"/>
          <w:sz w:val="30"/>
          <w:szCs w:val="30"/>
        </w:rPr>
        <w:t>储能电站继电保护及安全自动装置须符合国家标准、行业标准和其他有关规定，按设计要求安装、调试完毕，经基建程序验收合格，并符合本协议第</w:t>
      </w:r>
      <w:r>
        <w:rPr>
          <w:rFonts w:ascii="Times New Roman" w:eastAsia="仿宋_GB2312" w:hAnsi="Times New Roman"/>
          <w:kern w:val="28"/>
          <w:sz w:val="30"/>
          <w:szCs w:val="30"/>
        </w:rPr>
        <w:t>11</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4.4 </w:t>
      </w:r>
      <w:r>
        <w:rPr>
          <w:rFonts w:ascii="Times New Roman" w:eastAsia="仿宋_GB2312" w:hAnsi="Times New Roman"/>
          <w:kern w:val="28"/>
          <w:sz w:val="30"/>
          <w:szCs w:val="30"/>
        </w:rPr>
        <w:t>储能电站调度自动化设施、储能电站运行监控系统、并网技术支持系统等须符合国家标准、行业标准和其他有关规定，按设计要求安装、调试完毕，经基建程序验收合格，应与储能电站充</w:t>
      </w:r>
      <w:r>
        <w:rPr>
          <w:rFonts w:ascii="Times New Roman" w:eastAsia="仿宋_GB2312" w:hAnsi="Times New Roman"/>
          <w:kern w:val="28"/>
          <w:sz w:val="30"/>
          <w:szCs w:val="30"/>
        </w:rPr>
        <w:t>/</w:t>
      </w:r>
      <w:r>
        <w:rPr>
          <w:rFonts w:ascii="Times New Roman" w:eastAsia="仿宋_GB2312" w:hAnsi="Times New Roman"/>
          <w:kern w:val="28"/>
          <w:sz w:val="30"/>
          <w:szCs w:val="30"/>
        </w:rPr>
        <w:t>放电设备同步投运，并符合本协议第</w:t>
      </w:r>
      <w:r>
        <w:rPr>
          <w:rFonts w:ascii="Times New Roman" w:eastAsia="仿宋_GB2312" w:hAnsi="Times New Roman"/>
          <w:kern w:val="28"/>
          <w:sz w:val="30"/>
          <w:szCs w:val="30"/>
        </w:rPr>
        <w:t>12</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4.5 </w:t>
      </w:r>
      <w:r>
        <w:rPr>
          <w:rFonts w:ascii="Times New Roman" w:eastAsia="仿宋_GB2312" w:hAnsi="Times New Roman"/>
          <w:kern w:val="28"/>
          <w:sz w:val="30"/>
          <w:szCs w:val="30"/>
        </w:rPr>
        <w:t>储能电站电力调度通信设施须符合国家标准、行业标准和其他有关规定，按设计要求安装、调试完毕，经基建程序验收合格，应与储能电站充</w:t>
      </w:r>
      <w:r>
        <w:rPr>
          <w:rFonts w:ascii="Times New Roman" w:eastAsia="仿宋_GB2312" w:hAnsi="Times New Roman"/>
          <w:kern w:val="28"/>
          <w:sz w:val="30"/>
          <w:szCs w:val="30"/>
        </w:rPr>
        <w:t>/</w:t>
      </w:r>
      <w:r>
        <w:rPr>
          <w:rFonts w:ascii="Times New Roman" w:eastAsia="仿宋_GB2312" w:hAnsi="Times New Roman"/>
          <w:kern w:val="28"/>
          <w:sz w:val="30"/>
          <w:szCs w:val="30"/>
        </w:rPr>
        <w:t>放电设备同步投运，并符合本协议第</w:t>
      </w:r>
      <w:r>
        <w:rPr>
          <w:rFonts w:ascii="Times New Roman" w:eastAsia="仿宋_GB2312" w:hAnsi="Times New Roman"/>
          <w:kern w:val="28"/>
          <w:sz w:val="30"/>
          <w:szCs w:val="30"/>
        </w:rPr>
        <w:t>13</w:t>
      </w:r>
      <w:r>
        <w:rPr>
          <w:rFonts w:ascii="Times New Roman" w:eastAsia="仿宋_GB2312" w:hAnsi="Times New Roman"/>
          <w:kern w:val="28"/>
          <w:sz w:val="30"/>
          <w:szCs w:val="30"/>
        </w:rPr>
        <w:t>章的有关约定。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4.6 </w:t>
      </w:r>
      <w:r>
        <w:rPr>
          <w:rFonts w:ascii="Times New Roman" w:eastAsia="仿宋_GB2312" w:hAnsi="Times New Roman"/>
          <w:kern w:val="28"/>
          <w:sz w:val="30"/>
          <w:szCs w:val="30"/>
        </w:rPr>
        <w:t>储能电站电能计量装置参照《电能计量装置技术管理规程》</w:t>
      </w: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DL/T 448</w:t>
      </w:r>
      <w:r>
        <w:rPr>
          <w:rFonts w:ascii="Times New Roman" w:eastAsia="仿宋_GB2312" w:hAnsi="Times New Roman"/>
          <w:kern w:val="28"/>
          <w:sz w:val="30"/>
          <w:szCs w:val="30"/>
        </w:rPr>
        <w:t>）进行配置，并通过由双方共同组织的测试和验收</w:t>
      </w:r>
      <w:r>
        <w:rPr>
          <w:rStyle w:val="af9"/>
          <w:rFonts w:eastAsia="仿宋_GB2312"/>
          <w:kern w:val="28"/>
          <w:sz w:val="30"/>
          <w:szCs w:val="30"/>
        </w:rPr>
        <w:footnoteReference w:id="7"/>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4.7 </w:t>
      </w:r>
      <w:r>
        <w:rPr>
          <w:rFonts w:ascii="Times New Roman" w:eastAsia="仿宋_GB2312" w:hAnsi="Times New Roman"/>
          <w:kern w:val="28"/>
          <w:sz w:val="30"/>
          <w:szCs w:val="30"/>
        </w:rPr>
        <w:t>储能电站的监控系统按照《中华人民共和国网络安全法》《电力监控系统安全防护规定》（国家发展改革委〔</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号令）及《电力监控系统安全防护总体方案》（国能安全〔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号）、《电力行业信息安全等级保护管理办法》（国能安全〔</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318</w:t>
      </w:r>
      <w:r>
        <w:rPr>
          <w:rFonts w:ascii="Times New Roman" w:eastAsia="仿宋_GB2312" w:hAnsi="Times New Roman"/>
          <w:kern w:val="28"/>
          <w:sz w:val="30"/>
          <w:szCs w:val="30"/>
        </w:rPr>
        <w:t>号）等有关规定及要求，已实施安全防护措施，并经电力调度机构认可，具备投运条件。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4.8 </w:t>
      </w:r>
      <w:r>
        <w:rPr>
          <w:rFonts w:ascii="Times New Roman" w:eastAsia="仿宋_GB2312" w:hAnsi="Times New Roman"/>
          <w:kern w:val="28"/>
          <w:sz w:val="30"/>
          <w:szCs w:val="30"/>
        </w:rPr>
        <w:t>储能电站运行、检修规程齐备，相关的管理制度齐全，其中涉及电网安全的部分应与电网规程相一致。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4.9 </w:t>
      </w:r>
      <w:r>
        <w:rPr>
          <w:rFonts w:ascii="Times New Roman" w:eastAsia="仿宋_GB2312" w:hAnsi="Times New Roman"/>
          <w:kern w:val="28"/>
          <w:sz w:val="30"/>
          <w:szCs w:val="30"/>
        </w:rPr>
        <w:t>储能电站有调度受令权的运行值班人员，须根据《电网调度管理条例》及有关规定，经过严格培训，取得相应的合格证书，持证上岗。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4.10 </w:t>
      </w:r>
      <w:r>
        <w:rPr>
          <w:rFonts w:ascii="Times New Roman" w:eastAsia="仿宋_GB2312" w:hAnsi="Times New Roman"/>
          <w:spacing w:val="4"/>
          <w:kern w:val="28"/>
          <w:sz w:val="30"/>
          <w:szCs w:val="30"/>
        </w:rPr>
        <w:t>甲方与乙方运行对应的一、二次设备须符合国家标准、行业标准和其他有关规定，按设计要求安装、调试完毕，设备须按《电化学储能系统接入电网测试规范》（</w:t>
      </w:r>
      <w:r>
        <w:rPr>
          <w:rFonts w:ascii="Times New Roman" w:eastAsia="仿宋_GB2312" w:hAnsi="Times New Roman"/>
          <w:spacing w:val="4"/>
          <w:kern w:val="28"/>
          <w:sz w:val="30"/>
          <w:szCs w:val="30"/>
        </w:rPr>
        <w:t>GB/T 36548</w:t>
      </w:r>
      <w:r>
        <w:rPr>
          <w:rFonts w:ascii="Times New Roman" w:eastAsia="仿宋_GB2312" w:hAnsi="Times New Roman"/>
          <w:spacing w:val="4"/>
          <w:kern w:val="28"/>
          <w:sz w:val="30"/>
          <w:szCs w:val="30"/>
        </w:rPr>
        <w:t>）、《电化学储能系统储能变流器技术规范》（</w:t>
      </w:r>
      <w:r>
        <w:rPr>
          <w:rFonts w:ascii="Times New Roman" w:eastAsia="仿宋_GB2312" w:hAnsi="Times New Roman"/>
          <w:spacing w:val="4"/>
          <w:kern w:val="28"/>
          <w:sz w:val="30"/>
          <w:szCs w:val="30"/>
        </w:rPr>
        <w:t>GB/T 34120</w:t>
      </w:r>
      <w:r>
        <w:rPr>
          <w:rFonts w:ascii="Times New Roman" w:eastAsia="仿宋_GB2312" w:hAnsi="Times New Roman"/>
          <w:spacing w:val="4"/>
          <w:kern w:val="28"/>
          <w:sz w:val="30"/>
          <w:szCs w:val="30"/>
        </w:rPr>
        <w:t>）等相关国家标准开展并网检测，经基建程序验收合格，有关参数已合理匹配，设备整定值已按照要求整定，具备储能电站接入运行的条件。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4.11 </w:t>
      </w:r>
      <w:r>
        <w:rPr>
          <w:rFonts w:ascii="Times New Roman" w:eastAsia="仿宋_GB2312" w:hAnsi="Times New Roman"/>
          <w:kern w:val="28"/>
          <w:sz w:val="30"/>
          <w:szCs w:val="30"/>
        </w:rPr>
        <w:t>双方针对储能电站并入电网后可能发生的紧急情况制定相应的反事故措施，并送电力调度机构备案。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4.12 </w:t>
      </w:r>
      <w:r>
        <w:rPr>
          <w:rFonts w:ascii="Times New Roman" w:eastAsia="仿宋_GB2312" w:hAnsi="Times New Roman"/>
          <w:kern w:val="28"/>
          <w:sz w:val="30"/>
          <w:szCs w:val="30"/>
        </w:rPr>
        <w:t>若系统安全稳定运行需储能电站加装新的涉网设备时，甲方根</w:t>
      </w:r>
      <w:r>
        <w:rPr>
          <w:rFonts w:ascii="Times New Roman" w:eastAsia="仿宋_GB2312" w:hAnsi="Times New Roman"/>
          <w:kern w:val="28"/>
          <w:sz w:val="30"/>
          <w:szCs w:val="30"/>
        </w:rPr>
        <w:lastRenderedPageBreak/>
        <w:t>据乙方的实际情况，给予乙方充足的完成时间，双方达成统一意见并形成书面材料，乙方在规定时间内完成新增加涉网设备的安装与调试。</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2"/>
        </w:rPr>
      </w:pPr>
      <w:r>
        <w:rPr>
          <w:rFonts w:ascii="Times New Roman" w:eastAsia="仿宋_GB2312" w:hAnsi="Times New Roman"/>
          <w:kern w:val="28"/>
          <w:sz w:val="30"/>
          <w:szCs w:val="30"/>
        </w:rPr>
        <w:t xml:space="preserve">4.13 </w:t>
      </w:r>
      <w:r>
        <w:rPr>
          <w:rFonts w:ascii="Times New Roman" w:eastAsia="仿宋_GB2312" w:hAnsi="Times New Roman"/>
          <w:kern w:val="28"/>
          <w:sz w:val="30"/>
          <w:szCs w:val="30"/>
        </w:rPr>
        <w:t>乙方应具备与电力调度机构及时、准确进行调度运行信息（充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放电计划、考核结果、可调容量、邮件通知等）交互的系统。</w:t>
      </w:r>
    </w:p>
    <w:p w:rsidR="00000000" w:rsidRDefault="00000000">
      <w:pPr>
        <w:pStyle w:val="d3"/>
        <w:rPr>
          <w:rFonts w:hint="eastAsia"/>
        </w:rPr>
      </w:pPr>
      <w:bookmarkStart w:id="4" w:name="_Toc350634475"/>
      <w:r>
        <w:br w:type="page"/>
      </w:r>
      <w:r>
        <w:rPr>
          <w:rFonts w:hint="eastAsia"/>
        </w:rPr>
        <w:lastRenderedPageBreak/>
        <w:t>第</w:t>
      </w:r>
      <w:r>
        <w:rPr>
          <w:rFonts w:hint="eastAsia"/>
        </w:rPr>
        <w:t>5</w:t>
      </w:r>
      <w:r>
        <w:rPr>
          <w:rFonts w:hint="eastAsia"/>
        </w:rPr>
        <w:t>章</w:t>
      </w:r>
      <w:r>
        <w:rPr>
          <w:rFonts w:hint="eastAsia"/>
        </w:rPr>
        <w:t xml:space="preserve">  </w:t>
      </w:r>
      <w:r>
        <w:rPr>
          <w:rFonts w:hint="eastAsia"/>
        </w:rPr>
        <w:t>并网申请及受理</w:t>
      </w:r>
      <w:bookmarkEnd w:id="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5.1 </w:t>
      </w:r>
      <w:r>
        <w:rPr>
          <w:rFonts w:ascii="Times New Roman" w:eastAsia="仿宋_GB2312" w:hAnsi="Times New Roman"/>
          <w:kern w:val="28"/>
          <w:sz w:val="30"/>
          <w:szCs w:val="30"/>
        </w:rPr>
        <w:t>乙方储能电站并网须向甲方申请，并在甲方受理后按照要求的方式并入。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5.2 </w:t>
      </w:r>
      <w:r>
        <w:rPr>
          <w:rFonts w:ascii="Times New Roman" w:eastAsia="仿宋_GB2312" w:hAnsi="Times New Roman"/>
          <w:kern w:val="28"/>
          <w:sz w:val="30"/>
          <w:szCs w:val="30"/>
        </w:rPr>
        <w:t>并网申请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乙方应在储能电站首次并网日的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日前，向甲方提交并网申请书，并网申请书应包含本次并网设备的基本概况、验收情况、并网储能电站调试方案和调试计划等内容，并附齐本协议第</w:t>
      </w:r>
      <w:r>
        <w:rPr>
          <w:rFonts w:ascii="Times New Roman" w:eastAsia="仿宋_GB2312" w:hAnsi="Times New Roman"/>
          <w:kern w:val="28"/>
          <w:sz w:val="30"/>
          <w:szCs w:val="30"/>
        </w:rPr>
        <w:t>5.5</w:t>
      </w:r>
      <w:r>
        <w:rPr>
          <w:rFonts w:ascii="Times New Roman" w:eastAsia="仿宋_GB2312" w:hAnsi="Times New Roman"/>
          <w:kern w:val="28"/>
          <w:sz w:val="30"/>
          <w:szCs w:val="30"/>
        </w:rPr>
        <w:t>条所列的资料。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 </w:t>
      </w:r>
      <w:r>
        <w:rPr>
          <w:rFonts w:ascii="Times New Roman" w:eastAsia="仿宋_GB2312" w:hAnsi="Times New Roman"/>
          <w:kern w:val="28"/>
          <w:sz w:val="30"/>
          <w:szCs w:val="30"/>
        </w:rPr>
        <w:t>并网申请的受理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甲方在接到乙方并网申请书后应按照本协议第</w:t>
      </w:r>
      <w:r>
        <w:rPr>
          <w:rFonts w:ascii="Times New Roman" w:eastAsia="仿宋_GB2312" w:hAnsi="Times New Roman"/>
          <w:kern w:val="28"/>
          <w:sz w:val="30"/>
          <w:szCs w:val="30"/>
        </w:rPr>
        <w:t>4</w:t>
      </w:r>
      <w:r>
        <w:rPr>
          <w:rFonts w:ascii="Times New Roman" w:eastAsia="仿宋_GB2312" w:hAnsi="Times New Roman"/>
          <w:kern w:val="28"/>
          <w:sz w:val="30"/>
          <w:szCs w:val="30"/>
        </w:rPr>
        <w:t>章约定和其他并网相关规定认真审核，及时答复乙方，不得无故拖延。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5.3.1 </w:t>
      </w:r>
      <w:r>
        <w:rPr>
          <w:rFonts w:ascii="Times New Roman" w:eastAsia="仿宋_GB2312" w:hAnsi="Times New Roman"/>
          <w:kern w:val="28"/>
          <w:sz w:val="30"/>
          <w:szCs w:val="30"/>
        </w:rPr>
        <w:t>并网申请书所提供的资料符合要求的，甲方应在收到乙方并网申请书后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个工作日内予以确认，并在储能电站首次并网日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日前向乙方发出书面确认通知。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5.3.2 </w:t>
      </w:r>
      <w:r>
        <w:rPr>
          <w:rFonts w:ascii="Times New Roman" w:eastAsia="仿宋_GB2312" w:hAnsi="Times New Roman"/>
          <w:kern w:val="28"/>
          <w:sz w:val="30"/>
          <w:szCs w:val="30"/>
        </w:rPr>
        <w:t>并网申请书所提供的资料不符合要求的，甲方有权不予确认，但应在收到并网申请书后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日内书面通知乙方不确认的理由。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 </w:t>
      </w:r>
      <w:r>
        <w:rPr>
          <w:rFonts w:ascii="Times New Roman" w:eastAsia="仿宋_GB2312" w:hAnsi="Times New Roman"/>
          <w:kern w:val="28"/>
          <w:sz w:val="30"/>
          <w:szCs w:val="30"/>
        </w:rPr>
        <w:t>并网申请确认后，双方应就储能电站并网的具体事宜做好安排。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5.4.1 </w:t>
      </w:r>
      <w:r>
        <w:rPr>
          <w:rFonts w:ascii="Times New Roman" w:eastAsia="仿宋_GB2312" w:hAnsi="Times New Roman"/>
          <w:kern w:val="28"/>
          <w:sz w:val="30"/>
          <w:szCs w:val="30"/>
        </w:rPr>
        <w:t>甲方应在已商定的首次并网日前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向乙方提供与储能电站相关的电力系统数据、设备参数及系统图，包括与储能电站相关的电网继电保护整定值（或限额）和与电网有关的储能电站继电保护及安全自动装置的整定值（或限额）。涉及实测参数时，则在收到实测参数</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w:t>
      </w:r>
      <w:r>
        <w:rPr>
          <w:rFonts w:ascii="Times New Roman" w:eastAsia="仿宋_GB2312" w:hAnsi="Times New Roman"/>
          <w:kern w:val="28"/>
          <w:sz w:val="30"/>
          <w:szCs w:val="30"/>
        </w:rPr>
        <w:lastRenderedPageBreak/>
        <w:t>工作日后，提供继电保护定值单。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5.4.2 </w:t>
      </w:r>
      <w:r>
        <w:rPr>
          <w:rFonts w:ascii="Times New Roman" w:eastAsia="仿宋_GB2312" w:hAnsi="Times New Roman"/>
          <w:spacing w:val="4"/>
          <w:kern w:val="28"/>
          <w:sz w:val="30"/>
          <w:szCs w:val="30"/>
        </w:rPr>
        <w:t>向乙方提供联系人员（包括有调度发令权人员、运行方式人员、继电保护人员、自动化人员、通信人员等）名单和联系方式。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5.4.3 </w:t>
      </w:r>
      <w:r>
        <w:rPr>
          <w:rFonts w:ascii="Times New Roman" w:eastAsia="仿宋_GB2312" w:hAnsi="Times New Roman"/>
          <w:kern w:val="28"/>
          <w:sz w:val="30"/>
          <w:szCs w:val="30"/>
        </w:rPr>
        <w:t>乙方应在收到确认通知后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日内，按照甲方的要求，提交并网调试项目和调试计划，并与电力调度机构商定首次并网的具体时间与程序。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5.4.4 </w:t>
      </w:r>
      <w:r>
        <w:rPr>
          <w:rFonts w:ascii="Times New Roman" w:eastAsia="仿宋_GB2312" w:hAnsi="Times New Roman"/>
          <w:kern w:val="28"/>
          <w:sz w:val="30"/>
          <w:szCs w:val="30"/>
        </w:rPr>
        <w:t>甲方应在储能电站首次并网日</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日前对乙方提交的并网调试项目和调试计划予以书面确认。</w:t>
      </w:r>
    </w:p>
    <w:p w:rsidR="00000000" w:rsidRDefault="00000000">
      <w:pPr>
        <w:ind w:firstLineChars="200" w:firstLine="600"/>
        <w:rPr>
          <w:sz w:val="30"/>
          <w:szCs w:val="30"/>
        </w:rPr>
      </w:pPr>
      <w:r>
        <w:rPr>
          <w:bCs/>
          <w:kern w:val="28"/>
          <w:sz w:val="30"/>
          <w:szCs w:val="30"/>
        </w:rPr>
        <w:t>5.4.5</w:t>
      </w:r>
      <w:r>
        <w:rPr>
          <w:sz w:val="30"/>
          <w:szCs w:val="30"/>
        </w:rPr>
        <w:t xml:space="preserve"> </w:t>
      </w:r>
      <w:r>
        <w:rPr>
          <w:sz w:val="30"/>
          <w:szCs w:val="30"/>
        </w:rPr>
        <w:t>双方认为需要商定的其他具体事宜：</w:t>
      </w:r>
      <w:r>
        <w:rPr>
          <w:sz w:val="30"/>
          <w:szCs w:val="30"/>
          <w:u w:val="single"/>
        </w:rPr>
        <w:t xml:space="preserve">           </w:t>
      </w:r>
      <w:r>
        <w:rPr>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5.5 </w:t>
      </w:r>
      <w:r>
        <w:rPr>
          <w:rFonts w:ascii="Times New Roman" w:eastAsia="仿宋_GB2312" w:hAnsi="Times New Roman"/>
          <w:kern w:val="28"/>
          <w:sz w:val="30"/>
          <w:szCs w:val="30"/>
        </w:rPr>
        <w:t>乙方提交并网申请书时，应向甲方提供准确的中文资料</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（需要在并网启动过程中实测的参数可在充</w:t>
      </w:r>
      <w:r>
        <w:rPr>
          <w:rFonts w:ascii="Times New Roman" w:eastAsia="仿宋_GB2312" w:hAnsi="Times New Roman"/>
          <w:kern w:val="28"/>
          <w:sz w:val="30"/>
          <w:szCs w:val="30"/>
        </w:rPr>
        <w:t>/</w:t>
      </w:r>
      <w:r>
        <w:rPr>
          <w:rFonts w:ascii="Times New Roman" w:eastAsia="仿宋_GB2312" w:hAnsi="Times New Roman"/>
          <w:kern w:val="28"/>
          <w:sz w:val="30"/>
          <w:szCs w:val="30"/>
        </w:rPr>
        <w:t>放电单元并网后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日内提交），包括</w:t>
      </w:r>
      <w:r>
        <w:rPr>
          <w:rFonts w:ascii="Times New Roman" w:eastAsia="仿宋_GB2312" w:hAnsi="Times New Roman"/>
          <w:sz w:val="30"/>
          <w:szCs w:val="30"/>
          <w:vertAlign w:val="superscript"/>
        </w:rPr>
        <w:footnoteReference w:id="8"/>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）电站电池数量及容量、拟投产日期、经纬度等。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）与储能电站有关的技术参数及信息：包括电池组型号，变流器的额定功率因数、功率调节速率等。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潮流、稳定计算和继电保护整定计算所需的相关技术参数：包括典型储能电池模型及参数、储能电站等值模型及参数，变压器、谐波治理装置等主要设备技术规范、技术参数及实测参数（包括主变压器零序阻抗参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）与电网运行有关的继电保护及安全自动装置图纸（包括充</w:t>
      </w:r>
      <w:r>
        <w:rPr>
          <w:rFonts w:ascii="Times New Roman" w:eastAsia="仿宋_GB2312" w:hAnsi="Times New Roman"/>
          <w:kern w:val="28"/>
          <w:sz w:val="30"/>
          <w:szCs w:val="30"/>
        </w:rPr>
        <w:t>/</w:t>
      </w:r>
      <w:r>
        <w:rPr>
          <w:rFonts w:ascii="Times New Roman" w:eastAsia="仿宋_GB2312" w:hAnsi="Times New Roman"/>
          <w:kern w:val="28"/>
          <w:sz w:val="30"/>
          <w:szCs w:val="30"/>
        </w:rPr>
        <w:t>放电</w:t>
      </w:r>
      <w:r>
        <w:rPr>
          <w:rFonts w:ascii="Times New Roman" w:eastAsia="仿宋_GB2312" w:hAnsi="Times New Roman"/>
          <w:kern w:val="28"/>
          <w:sz w:val="30"/>
          <w:szCs w:val="30"/>
        </w:rPr>
        <w:lastRenderedPageBreak/>
        <w:t>单元、变压器整套保护图纸）、说明书，电网调度管辖范围内继电保护及安全自动装置的安装调试报告。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与甲方有关的储能电站调度自动化设备技术说明书、技术参数以及设备验收报告等文件，储能电站远动信息表（包括电流互感器、电压互感器变比及遥测满刻度值），储能电站电能计量系统竣工验收报告，储能电站计算机系统安全防护有关方案和技术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）与甲方通信网互联或有关的通信工程图纸、设备技术规范以及设备验收报告等文件。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）其他与电网运行有关的主要设备技术规范、技术参数和实测参数。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）现场运行规程。</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）电气一次接线图、电池组接线图。</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）储能电站升、降功率的速率，储能电站运行监控系统、并网技术支持系统有关参数和资料。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11</w:t>
      </w:r>
      <w:r>
        <w:rPr>
          <w:rFonts w:ascii="Times New Roman" w:eastAsia="仿宋_GB2312" w:hAnsi="Times New Roman"/>
          <w:kern w:val="28"/>
          <w:sz w:val="30"/>
          <w:szCs w:val="30"/>
        </w:rPr>
        <w:t>）厂用电保证措施。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12</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储能电站调试计划、启动调试方案。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13</w:t>
      </w:r>
      <w:r>
        <w:rPr>
          <w:rFonts w:ascii="Times New Roman" w:eastAsia="仿宋_GB2312" w:hAnsi="Times New Roman"/>
          <w:kern w:val="28"/>
          <w:sz w:val="30"/>
          <w:szCs w:val="30"/>
        </w:rPr>
        <w:t>）储能电站有调度受令权值班人员名单、上岗证书复印件及联系方式。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）运行方式、继电保护、自动化、通信专业人员名单及联系方式。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hint="eastAsia"/>
          <w:kern w:val="28"/>
          <w:sz w:val="30"/>
          <w:szCs w:val="30"/>
        </w:rPr>
        <w:t>5</w:t>
      </w:r>
      <w:r>
        <w:rPr>
          <w:rFonts w:ascii="Times New Roman" w:eastAsia="仿宋_GB2312" w:hAnsi="Times New Roman"/>
          <w:kern w:val="28"/>
          <w:sz w:val="30"/>
          <w:szCs w:val="30"/>
        </w:rPr>
        <w:t>）其他：</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d3"/>
        <w:rPr>
          <w:rFonts w:hint="eastAsia"/>
        </w:rPr>
      </w:pPr>
      <w:bookmarkStart w:id="5" w:name="_Toc350634476"/>
      <w:r>
        <w:br w:type="page"/>
      </w:r>
      <w:r>
        <w:rPr>
          <w:rFonts w:hint="eastAsia"/>
        </w:rPr>
        <w:lastRenderedPageBreak/>
        <w:t>第</w:t>
      </w:r>
      <w:r>
        <w:rPr>
          <w:rFonts w:hint="eastAsia"/>
          <w:b/>
        </w:rPr>
        <w:t>6</w:t>
      </w:r>
      <w:r>
        <w:rPr>
          <w:rFonts w:hint="eastAsia"/>
        </w:rPr>
        <w:t>章</w:t>
      </w:r>
      <w:r>
        <w:rPr>
          <w:rFonts w:hint="eastAsia"/>
        </w:rPr>
        <w:t xml:space="preserve">  </w:t>
      </w:r>
      <w:r>
        <w:rPr>
          <w:rFonts w:hint="eastAsia"/>
        </w:rPr>
        <w:t>调试期的并网调度</w:t>
      </w:r>
      <w:bookmarkEnd w:id="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 </w:t>
      </w:r>
      <w:r>
        <w:rPr>
          <w:rFonts w:ascii="Times New Roman" w:eastAsia="仿宋_GB2312" w:hAnsi="Times New Roman"/>
          <w:kern w:val="28"/>
          <w:sz w:val="30"/>
          <w:szCs w:val="30"/>
        </w:rPr>
        <w:t>乙方根据甲方已确认的调试项目和调试计划进行储能电站并网运行调试。</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6.1.1 </w:t>
      </w:r>
      <w:r>
        <w:rPr>
          <w:rFonts w:ascii="Times New Roman" w:eastAsia="仿宋_GB2312" w:hAnsi="Times New Roman"/>
          <w:spacing w:val="4"/>
          <w:kern w:val="28"/>
          <w:sz w:val="30"/>
          <w:szCs w:val="30"/>
        </w:rPr>
        <w:t>储能电站调试运行单元应视为并网运行设备，纳入电力系统统一运行管理，遵守电力系统运行规程、规范，服从统一调度。</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 xml:space="preserve">6.1.2 </w:t>
      </w:r>
      <w:r>
        <w:rPr>
          <w:rFonts w:ascii="Times New Roman" w:eastAsia="仿宋_GB2312" w:hAnsi="Times New Roman"/>
          <w:spacing w:val="6"/>
          <w:kern w:val="28"/>
          <w:sz w:val="30"/>
          <w:szCs w:val="30"/>
        </w:rPr>
        <w:t>储能电站应根据已确认的调试项目和调试计划，编制详细的储能单元调试方案，并</w:t>
      </w:r>
      <w:r>
        <w:rPr>
          <w:rFonts w:ascii="Times New Roman" w:eastAsia="仿宋_GB2312" w:hAnsi="Times New Roman"/>
          <w:kern w:val="28"/>
          <w:sz w:val="30"/>
          <w:szCs w:val="30"/>
        </w:rPr>
        <w:t>于并网前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w:t>
      </w:r>
      <w:r>
        <w:rPr>
          <w:rFonts w:ascii="Times New Roman" w:eastAsia="仿宋_GB2312" w:hAnsi="Times New Roman"/>
          <w:spacing w:val="6"/>
          <w:kern w:val="28"/>
          <w:sz w:val="30"/>
          <w:szCs w:val="30"/>
        </w:rPr>
        <w:t>按调试进度逐项</w:t>
      </w:r>
      <w:r>
        <w:rPr>
          <w:rFonts w:ascii="Times New Roman" w:eastAsia="仿宋_GB2312" w:hAnsi="Times New Roman"/>
          <w:spacing w:val="6"/>
          <w:sz w:val="30"/>
          <w:szCs w:val="30"/>
          <w:vertAlign w:val="superscript"/>
        </w:rPr>
        <w:footnoteReference w:id="9"/>
      </w:r>
      <w:r>
        <w:rPr>
          <w:rFonts w:ascii="Times New Roman" w:eastAsia="仿宋_GB2312" w:hAnsi="Times New Roman"/>
          <w:spacing w:val="6"/>
          <w:kern w:val="28"/>
          <w:sz w:val="30"/>
          <w:szCs w:val="30"/>
        </w:rPr>
        <w:t>向电力调度机构申报。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6.1.3 </w:t>
      </w:r>
      <w:r>
        <w:rPr>
          <w:rFonts w:ascii="Times New Roman" w:eastAsia="仿宋_GB2312" w:hAnsi="Times New Roman"/>
          <w:kern w:val="28"/>
          <w:sz w:val="30"/>
          <w:szCs w:val="30"/>
        </w:rPr>
        <w:t>具体的并网调试操作应严格按照调度指令进行。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6.1.4 </w:t>
      </w:r>
      <w:r>
        <w:rPr>
          <w:rFonts w:ascii="Times New Roman" w:eastAsia="仿宋_GB2312" w:hAnsi="Times New Roman"/>
          <w:kern w:val="28"/>
          <w:sz w:val="30"/>
          <w:szCs w:val="30"/>
        </w:rPr>
        <w:t>对仅属储能电站自行管辖的设备进行可能对电网产生冲击的操作时，应提前告知电力调度机构做好准备工作及事故预想，并严格按照调试方案执行。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 </w:t>
      </w:r>
      <w:r>
        <w:rPr>
          <w:rFonts w:ascii="Times New Roman" w:eastAsia="仿宋_GB2312" w:hAnsi="Times New Roman"/>
          <w:kern w:val="28"/>
          <w:sz w:val="30"/>
          <w:szCs w:val="30"/>
        </w:rPr>
        <w:t>甲方应配合乙方进行并网调试。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6.2.1 </w:t>
      </w:r>
      <w:r>
        <w:rPr>
          <w:rFonts w:ascii="Times New Roman" w:eastAsia="仿宋_GB2312" w:hAnsi="Times New Roman"/>
          <w:kern w:val="28"/>
          <w:sz w:val="30"/>
          <w:szCs w:val="30"/>
        </w:rPr>
        <w:t>将并网调试储能电站纳入正式调度管辖范围，按照电力系统有关规程、规范进行调度管理。</w:t>
      </w:r>
    </w:p>
    <w:p w:rsidR="00000000" w:rsidRDefault="00000000">
      <w:pPr>
        <w:pStyle w:val="21"/>
        <w:numPr>
          <w:ilvl w:val="0"/>
          <w:numId w:val="0"/>
        </w:numPr>
        <w:topLinePunct/>
        <w:ind w:firstLineChars="200" w:firstLine="600"/>
        <w:outlineLvl w:val="9"/>
        <w:rPr>
          <w:rFonts w:ascii="Times New Roman" w:eastAsia="仿宋_GB2312" w:hAnsi="Times New Roman"/>
          <w:spacing w:val="17"/>
          <w:kern w:val="28"/>
          <w:sz w:val="30"/>
          <w:szCs w:val="30"/>
        </w:rPr>
      </w:pPr>
      <w:r>
        <w:rPr>
          <w:rFonts w:ascii="Times New Roman" w:eastAsia="仿宋_GB2312" w:hAnsi="Times New Roman"/>
          <w:kern w:val="28"/>
          <w:sz w:val="30"/>
          <w:szCs w:val="30"/>
        </w:rPr>
        <w:t xml:space="preserve">6.2.2 </w:t>
      </w:r>
      <w:r>
        <w:rPr>
          <w:rFonts w:ascii="Times New Roman" w:eastAsia="仿宋_GB2312" w:hAnsi="Times New Roman"/>
          <w:kern w:val="28"/>
          <w:sz w:val="30"/>
          <w:szCs w:val="30"/>
        </w:rPr>
        <w:t>根据储能电站要求和电网情况编制专门的调试调度方案（含应</w:t>
      </w:r>
      <w:r>
        <w:rPr>
          <w:rFonts w:ascii="Times New Roman" w:eastAsia="仿宋_GB2312" w:hAnsi="Times New Roman"/>
          <w:spacing w:val="17"/>
          <w:kern w:val="28"/>
          <w:sz w:val="30"/>
          <w:szCs w:val="30"/>
        </w:rPr>
        <w:t>急处理措施），合理安排储能电站的调试项目和调试计划。调试开</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日前将调试调度方案和具体调试计划通知储能电站。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6.2.3 </w:t>
      </w:r>
      <w:r>
        <w:rPr>
          <w:rFonts w:ascii="Times New Roman" w:eastAsia="仿宋_GB2312" w:hAnsi="Times New Roman"/>
          <w:kern w:val="28"/>
          <w:sz w:val="30"/>
          <w:szCs w:val="30"/>
        </w:rPr>
        <w:t>根据充</w:t>
      </w:r>
      <w:r>
        <w:rPr>
          <w:rFonts w:ascii="Times New Roman" w:eastAsia="仿宋_GB2312" w:hAnsi="Times New Roman"/>
          <w:kern w:val="28"/>
          <w:sz w:val="30"/>
          <w:szCs w:val="30"/>
        </w:rPr>
        <w:t>/</w:t>
      </w:r>
      <w:r>
        <w:rPr>
          <w:rFonts w:ascii="Times New Roman" w:eastAsia="仿宋_GB2312" w:hAnsi="Times New Roman"/>
          <w:kern w:val="28"/>
          <w:sz w:val="30"/>
          <w:szCs w:val="30"/>
        </w:rPr>
        <w:t>放电单元调试进度及电网运行情况，经与储能电站协商</w:t>
      </w:r>
      <w:r>
        <w:rPr>
          <w:rFonts w:ascii="Times New Roman" w:eastAsia="仿宋_GB2312" w:hAnsi="Times New Roman"/>
          <w:kern w:val="28"/>
          <w:sz w:val="30"/>
          <w:szCs w:val="30"/>
        </w:rPr>
        <w:lastRenderedPageBreak/>
        <w:t>同意，可对调试计划进行滚动调整。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6.2.4 </w:t>
      </w:r>
      <w:r>
        <w:rPr>
          <w:rFonts w:ascii="Times New Roman" w:eastAsia="仿宋_GB2312" w:hAnsi="Times New Roman"/>
          <w:kern w:val="28"/>
          <w:sz w:val="30"/>
          <w:szCs w:val="30"/>
        </w:rPr>
        <w:t>电力调度机构可视需要派员进行现场调度，并给予必要的技术指导或支持。</w:t>
      </w:r>
    </w:p>
    <w:p w:rsidR="00000000" w:rsidRDefault="00000000">
      <w:pPr>
        <w:pStyle w:val="21"/>
        <w:numPr>
          <w:ilvl w:val="0"/>
          <w:numId w:val="0"/>
        </w:numPr>
        <w:topLinePunct/>
        <w:ind w:firstLineChars="200" w:firstLine="600"/>
        <w:outlineLvl w:val="9"/>
        <w:rPr>
          <w:rFonts w:ascii="Times New Roman" w:eastAsia="仿宋_GB2312" w:hAnsi="Times New Roman"/>
          <w:spacing w:val="8"/>
          <w:kern w:val="28"/>
          <w:sz w:val="30"/>
          <w:szCs w:val="30"/>
        </w:rPr>
      </w:pPr>
      <w:r>
        <w:rPr>
          <w:rFonts w:ascii="Times New Roman" w:eastAsia="仿宋_GB2312" w:hAnsi="Times New Roman"/>
          <w:kern w:val="28"/>
          <w:sz w:val="30"/>
          <w:szCs w:val="30"/>
        </w:rPr>
        <w:t xml:space="preserve">6.3 </w:t>
      </w:r>
      <w:r>
        <w:rPr>
          <w:rFonts w:ascii="Times New Roman" w:eastAsia="仿宋_GB2312" w:hAnsi="Times New Roman"/>
          <w:spacing w:val="8"/>
          <w:kern w:val="28"/>
          <w:sz w:val="30"/>
          <w:szCs w:val="30"/>
        </w:rPr>
        <w:t>甲方必须针对乙方调试期间可能发生的紧急情况制定应急预案，明确处理原则及具体处理措施，确保电力系统及设备安全。</w:t>
      </w:r>
    </w:p>
    <w:p w:rsidR="00000000" w:rsidRDefault="00000000">
      <w:pPr>
        <w:pStyle w:val="31"/>
        <w:numPr>
          <w:ilvl w:val="0"/>
          <w:numId w:val="0"/>
        </w:numPr>
        <w:topLinePunct/>
        <w:ind w:firstLineChars="200" w:firstLine="600"/>
        <w:outlineLvl w:val="9"/>
        <w:rPr>
          <w:rFonts w:ascii="仿宋_GB2312" w:eastAsia="仿宋_GB2312" w:hint="eastAsia"/>
          <w:kern w:val="28"/>
          <w:sz w:val="32"/>
        </w:rPr>
      </w:pPr>
      <w:r>
        <w:rPr>
          <w:rFonts w:eastAsia="仿宋_GB2312"/>
          <w:kern w:val="28"/>
          <w:sz w:val="30"/>
          <w:szCs w:val="30"/>
        </w:rPr>
        <w:t xml:space="preserve">6.4 </w:t>
      </w:r>
      <w:r>
        <w:rPr>
          <w:rFonts w:eastAsia="仿宋_GB2312"/>
          <w:kern w:val="28"/>
          <w:sz w:val="30"/>
          <w:szCs w:val="30"/>
        </w:rPr>
        <w:t>未按照相关规范进行检测的设备，首次并网后</w:t>
      </w:r>
      <w:r>
        <w:rPr>
          <w:rFonts w:eastAsia="仿宋_GB2312"/>
          <w:kern w:val="28"/>
          <w:sz w:val="30"/>
          <w:szCs w:val="30"/>
          <w:u w:val="single"/>
        </w:rPr>
        <w:t xml:space="preserve">  </w:t>
      </w:r>
      <w:r>
        <w:rPr>
          <w:rFonts w:eastAsia="仿宋_GB2312"/>
          <w:kern w:val="28"/>
          <w:sz w:val="30"/>
          <w:szCs w:val="30"/>
        </w:rPr>
        <w:t>个月内，甲方配合乙方完成储能电站接入系统测试，乙方向甲方提供有关储能电站运行特性的检测报告，测试内容按照国家相关标准进行。</w:t>
      </w:r>
    </w:p>
    <w:p w:rsidR="00000000" w:rsidRDefault="00000000">
      <w:pPr>
        <w:pStyle w:val="d3"/>
        <w:rPr>
          <w:rFonts w:hint="eastAsia"/>
        </w:rPr>
      </w:pPr>
      <w:bookmarkStart w:id="6" w:name="_Toc350634477"/>
      <w:r>
        <w:br w:type="page"/>
      </w:r>
      <w:r>
        <w:rPr>
          <w:rFonts w:hint="eastAsia"/>
        </w:rPr>
        <w:lastRenderedPageBreak/>
        <w:t>第</w:t>
      </w:r>
      <w:r>
        <w:rPr>
          <w:rFonts w:hint="eastAsia"/>
          <w:b/>
        </w:rPr>
        <w:t>7</w:t>
      </w:r>
      <w:r>
        <w:rPr>
          <w:rFonts w:hint="eastAsia"/>
        </w:rPr>
        <w:t>章</w:t>
      </w:r>
      <w:r>
        <w:rPr>
          <w:rFonts w:hint="eastAsia"/>
        </w:rPr>
        <w:t xml:space="preserve">  </w:t>
      </w:r>
      <w:r>
        <w:rPr>
          <w:rFonts w:hint="eastAsia"/>
        </w:rPr>
        <w:t>调度运行</w:t>
      </w:r>
      <w:bookmarkEnd w:id="6"/>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 </w:t>
      </w:r>
      <w:r>
        <w:rPr>
          <w:rFonts w:ascii="Times New Roman" w:eastAsia="仿宋_GB2312" w:hAnsi="Times New Roman"/>
          <w:kern w:val="28"/>
          <w:sz w:val="30"/>
          <w:szCs w:val="30"/>
        </w:rPr>
        <w:t>储能电站运行值班人员在运行中应严格服从电力调度机构值班调度员的调度指令。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7.1.1 </w:t>
      </w:r>
      <w:r>
        <w:rPr>
          <w:rFonts w:ascii="Times New Roman" w:eastAsia="仿宋_GB2312" w:hAnsi="Times New Roman"/>
          <w:kern w:val="28"/>
          <w:sz w:val="30"/>
          <w:szCs w:val="30"/>
        </w:rPr>
        <w:t>储能电站必须迅速、准确执行电力调度机构下达的调度指令，不得以任何借口拒绝或者拖延执行。若执行调度指令可能危及人身和设备安全时，储能电站值班人员应立即向电力调度机构值班调度员报告并说明理由，由电力调度机构值班调度员决定是否继续执行</w:t>
      </w:r>
      <w:r>
        <w:rPr>
          <w:rFonts w:ascii="Times New Roman" w:eastAsia="仿宋_GB2312" w:hAnsi="Times New Roman"/>
          <w:sz w:val="30"/>
          <w:szCs w:val="30"/>
          <w:vertAlign w:val="superscript"/>
        </w:rPr>
        <w:footnoteReference w:id="10"/>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7.1.2 </w:t>
      </w:r>
      <w:r>
        <w:rPr>
          <w:rFonts w:ascii="Times New Roman" w:eastAsia="仿宋_GB2312" w:hAnsi="Times New Roman"/>
          <w:kern w:val="28"/>
          <w:sz w:val="30"/>
          <w:szCs w:val="30"/>
        </w:rPr>
        <w:t>属电力调度机构直接调度管辖范围内的设备，储能电站必须严格遵守调度有关操作制度，按照调度指令执行操作；如实告知现场情况，回答电力调度机构值班调度员的询问。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7.1.3 </w:t>
      </w:r>
      <w:r>
        <w:rPr>
          <w:rFonts w:ascii="Times New Roman" w:eastAsia="仿宋_GB2312" w:hAnsi="Times New Roman"/>
          <w:kern w:val="28"/>
          <w:sz w:val="30"/>
          <w:szCs w:val="30"/>
        </w:rPr>
        <w:t>属电力调度机构许可范围内的设备，储能电站运行值班人员操作前应报电力调度机构值班调度员，得到同意后方可按照电力系统调度规程及储能电站现场运行规程进行操作。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7.1.4 </w:t>
      </w:r>
      <w:r>
        <w:rPr>
          <w:rFonts w:ascii="Times New Roman" w:eastAsia="仿宋_GB2312" w:hAnsi="Times New Roman"/>
          <w:kern w:val="28"/>
          <w:sz w:val="30"/>
          <w:szCs w:val="30"/>
        </w:rPr>
        <w:t>储能电站及储能变流器在紧急状态或故障情况下退出运行（或通过安全自动装置切除）后，不得自行并网，须在电力调度机构的安排下有序并网恢复运行。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7.2 </w:t>
      </w:r>
      <w:r>
        <w:rPr>
          <w:rFonts w:ascii="Times New Roman" w:eastAsia="仿宋_GB2312" w:hAnsi="Times New Roman"/>
          <w:kern w:val="28"/>
          <w:sz w:val="30"/>
          <w:szCs w:val="30"/>
        </w:rPr>
        <w:t>电力调度机构应依照有关要求合理安排储能电站的日充</w:t>
      </w:r>
      <w:r>
        <w:rPr>
          <w:rFonts w:ascii="Times New Roman" w:eastAsia="仿宋_GB2312" w:hAnsi="Times New Roman"/>
          <w:kern w:val="28"/>
          <w:sz w:val="30"/>
          <w:szCs w:val="30"/>
        </w:rPr>
        <w:t>/</w:t>
      </w:r>
      <w:r>
        <w:rPr>
          <w:rFonts w:ascii="Times New Roman" w:eastAsia="仿宋_GB2312" w:hAnsi="Times New Roman"/>
          <w:kern w:val="28"/>
          <w:sz w:val="30"/>
          <w:szCs w:val="30"/>
        </w:rPr>
        <w:t>放电调度计划曲线。运行中，值班调度员可根据实际运行情况对日充</w:t>
      </w:r>
      <w:r>
        <w:rPr>
          <w:rFonts w:ascii="Times New Roman" w:eastAsia="仿宋_GB2312" w:hAnsi="Times New Roman"/>
          <w:kern w:val="28"/>
          <w:sz w:val="30"/>
          <w:szCs w:val="30"/>
        </w:rPr>
        <w:t>/</w:t>
      </w:r>
      <w:r>
        <w:rPr>
          <w:rFonts w:ascii="Times New Roman" w:eastAsia="仿宋_GB2312" w:hAnsi="Times New Roman"/>
          <w:kern w:val="28"/>
          <w:sz w:val="30"/>
          <w:szCs w:val="30"/>
        </w:rPr>
        <w:t>放电调度计划曲线作适当调整，值班调度员对日充</w:t>
      </w:r>
      <w:r>
        <w:rPr>
          <w:rFonts w:ascii="Times New Roman" w:eastAsia="仿宋_GB2312" w:hAnsi="Times New Roman"/>
          <w:kern w:val="28"/>
          <w:sz w:val="30"/>
          <w:szCs w:val="30"/>
        </w:rPr>
        <w:t>/</w:t>
      </w:r>
      <w:r>
        <w:rPr>
          <w:rFonts w:ascii="Times New Roman" w:eastAsia="仿宋_GB2312" w:hAnsi="Times New Roman"/>
          <w:kern w:val="28"/>
          <w:sz w:val="30"/>
          <w:szCs w:val="30"/>
        </w:rPr>
        <w:t>放电调度计划曲线的调整应提</w:t>
      </w:r>
      <w:r>
        <w:rPr>
          <w:rFonts w:ascii="Times New Roman" w:eastAsia="仿宋_GB2312" w:hAnsi="Times New Roman"/>
          <w:kern w:val="28"/>
          <w:sz w:val="30"/>
          <w:szCs w:val="30"/>
        </w:rPr>
        <w:lastRenderedPageBreak/>
        <w:t>前通知储能电站值班人员。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7.3 </w:t>
      </w:r>
      <w:r>
        <w:rPr>
          <w:rFonts w:ascii="Times New Roman" w:eastAsia="仿宋_GB2312" w:hAnsi="Times New Roman"/>
          <w:kern w:val="28"/>
          <w:sz w:val="30"/>
          <w:szCs w:val="30"/>
        </w:rPr>
        <w:t>储能电站升压站、集中式运行设备、集中监控系统等二次设备及通信链路出现异常情况时，储能电站按照电力系统调度规程的规定可向电力调度机构提出检修申请。电力调度机构应根据电力系统调度规程的规定和电网实际情况，履行相关规定的程序后，批复检修申请，并修改相应计划。如设备需紧急停运，电力调度机构应视情况及时答复。储能电站应按照电力调度机构的最终批复执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7.4 </w:t>
      </w:r>
      <w:r>
        <w:rPr>
          <w:rFonts w:ascii="Times New Roman" w:eastAsia="仿宋_GB2312" w:hAnsi="Times New Roman"/>
          <w:kern w:val="28"/>
          <w:sz w:val="30"/>
          <w:szCs w:val="30"/>
        </w:rPr>
        <w:t>储能电站有义务按照调度指令</w:t>
      </w:r>
      <w:r>
        <w:rPr>
          <w:rFonts w:ascii="Times New Roman" w:eastAsia="仿宋_GB2312" w:hAnsi="Times New Roman" w:hint="eastAsia"/>
          <w:kern w:val="28"/>
          <w:sz w:val="30"/>
          <w:szCs w:val="30"/>
        </w:rPr>
        <w:t>或市场交易结果</w:t>
      </w:r>
      <w:r>
        <w:rPr>
          <w:rFonts w:ascii="Times New Roman" w:eastAsia="仿宋_GB2312" w:hAnsi="Times New Roman"/>
          <w:kern w:val="28"/>
          <w:sz w:val="30"/>
          <w:szCs w:val="30"/>
        </w:rPr>
        <w:t>参与电力系统的调峰、调频、调压、备用等辅助服务。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7.5 </w:t>
      </w:r>
      <w:r>
        <w:rPr>
          <w:rFonts w:ascii="Times New Roman" w:eastAsia="仿宋_GB2312" w:hAnsi="Times New Roman"/>
          <w:kern w:val="28"/>
          <w:sz w:val="30"/>
          <w:szCs w:val="30"/>
        </w:rPr>
        <w:t>因出现计划内特殊运行方式，可能影响储能电站正常运行时，电力调度机构应将有关方案提前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日通知储能电站。</w:t>
      </w:r>
    </w:p>
    <w:p w:rsidR="00000000" w:rsidRDefault="00000000">
      <w:pPr>
        <w:pStyle w:val="21"/>
        <w:numPr>
          <w:ilvl w:val="0"/>
          <w:numId w:val="0"/>
        </w:numPr>
        <w:topLinePunct/>
        <w:ind w:firstLineChars="200" w:firstLine="600"/>
        <w:outlineLvl w:val="9"/>
        <w:rPr>
          <w:rFonts w:ascii="Times New Roman" w:eastAsia="仿宋_GB2312" w:hAnsi="Times New Roman"/>
          <w:spacing w:val="8"/>
          <w:kern w:val="28"/>
          <w:sz w:val="30"/>
          <w:szCs w:val="30"/>
        </w:rPr>
      </w:pPr>
      <w:r>
        <w:rPr>
          <w:rFonts w:ascii="Times New Roman" w:eastAsia="仿宋_GB2312" w:hAnsi="Times New Roman"/>
          <w:kern w:val="28"/>
          <w:sz w:val="30"/>
          <w:szCs w:val="30"/>
        </w:rPr>
        <w:t xml:space="preserve">7.6 </w:t>
      </w:r>
      <w:r>
        <w:rPr>
          <w:rFonts w:ascii="Times New Roman" w:eastAsia="仿宋_GB2312" w:hAnsi="Times New Roman"/>
          <w:spacing w:val="8"/>
          <w:kern w:val="28"/>
          <w:sz w:val="30"/>
          <w:szCs w:val="30"/>
        </w:rPr>
        <w:t>乙方因设备更新改造等原因出现特殊运行方式，可能影响电网正常运行时，应将更改方案提前</w:t>
      </w:r>
      <w:r>
        <w:rPr>
          <w:rFonts w:ascii="Times New Roman" w:eastAsia="仿宋_GB2312" w:hAnsi="Times New Roman"/>
          <w:spacing w:val="8"/>
          <w:kern w:val="28"/>
          <w:sz w:val="30"/>
          <w:szCs w:val="30"/>
          <w:u w:val="single"/>
        </w:rPr>
        <w:t xml:space="preserve">     </w:t>
      </w:r>
      <w:r>
        <w:rPr>
          <w:rFonts w:ascii="Times New Roman" w:eastAsia="仿宋_GB2312" w:hAnsi="Times New Roman"/>
          <w:spacing w:val="8"/>
          <w:kern w:val="28"/>
          <w:sz w:val="30"/>
          <w:szCs w:val="30"/>
        </w:rPr>
        <w:t>日通知电力调度机构。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7.7 </w:t>
      </w:r>
      <w:r>
        <w:rPr>
          <w:rFonts w:ascii="Times New Roman" w:eastAsia="仿宋_GB2312" w:hAnsi="Times New Roman"/>
          <w:kern w:val="28"/>
          <w:sz w:val="30"/>
          <w:szCs w:val="30"/>
        </w:rPr>
        <w:t>电力调度机构、并网储能电站应按要求参加能源监管机构定期组织召开的厂网联席会议，电力调度机构应在会议上分析电网运行情况、预测系统形势、说明有关电网安全技术措施的落实情况，协商处理有关电力系统运行的重大问题。乙方应在会议上通报储能电站的运行情况及有关储能电站安全技术措施的落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7.8 </w:t>
      </w:r>
      <w:r>
        <w:rPr>
          <w:rFonts w:ascii="Times New Roman" w:eastAsia="仿宋_GB2312" w:hAnsi="Times New Roman"/>
          <w:kern w:val="28"/>
          <w:sz w:val="30"/>
          <w:szCs w:val="30"/>
        </w:rPr>
        <w:t>双方应以书面形式互换相关值班人员名单，并及时告知变动情况。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7.9 </w:t>
      </w:r>
      <w:r>
        <w:rPr>
          <w:rFonts w:ascii="Times New Roman" w:eastAsia="仿宋_GB2312" w:hAnsi="Times New Roman"/>
          <w:kern w:val="28"/>
          <w:sz w:val="30"/>
          <w:szCs w:val="30"/>
        </w:rPr>
        <w:t>为保障电力系统安全稳定运行，电力调度机构有权采取调度指</w:t>
      </w:r>
      <w:r>
        <w:rPr>
          <w:rFonts w:ascii="Times New Roman" w:eastAsia="仿宋_GB2312" w:hAnsi="Times New Roman"/>
          <w:kern w:val="28"/>
          <w:sz w:val="30"/>
          <w:szCs w:val="30"/>
        </w:rPr>
        <w:lastRenderedPageBreak/>
        <w:t>令、远方控制等措施调整储能电站出力，电力调度机构应在次日向乙方披露原因。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7.10 </w:t>
      </w:r>
      <w:r>
        <w:rPr>
          <w:rFonts w:ascii="Times New Roman" w:eastAsia="仿宋_GB2312" w:hAnsi="Times New Roman"/>
          <w:kern w:val="28"/>
          <w:sz w:val="30"/>
          <w:szCs w:val="30"/>
        </w:rPr>
        <w:t>试运行期满后，电力调度机构应出具并网调试书面意见。当发生以下情况时，电力调度机构有权要求相关储能电站退出并网运行。</w:t>
      </w:r>
    </w:p>
    <w:p w:rsidR="00000000" w:rsidRDefault="00000000">
      <w:pPr>
        <w:pStyle w:val="21"/>
        <w:numPr>
          <w:ilvl w:val="0"/>
          <w:numId w:val="0"/>
        </w:numPr>
        <w:topLinePunct/>
        <w:ind w:firstLineChars="200" w:firstLine="600"/>
        <w:outlineLvl w:val="9"/>
        <w:rPr>
          <w:rFonts w:ascii="Times New Roman"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）储能电站未按期完成反事故措施整改</w:t>
      </w:r>
      <w:r>
        <w:rPr>
          <w:rFonts w:ascii="Times New Roman" w:eastAsia="仿宋_GB2312" w:hAnsi="Times New Roman" w:hint="eastAsia"/>
          <w:kern w:val="28"/>
          <w:sz w:val="30"/>
          <w:szCs w:val="30"/>
        </w:rPr>
        <w:t>。</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）储能电站实际运行过程中不具备本协议承诺的技术能力。</w:t>
      </w:r>
    </w:p>
    <w:p w:rsidR="00000000" w:rsidRDefault="00000000">
      <w:pPr>
        <w:pStyle w:val="d3"/>
        <w:rPr>
          <w:rFonts w:hint="eastAsia"/>
        </w:rPr>
      </w:pPr>
      <w:bookmarkStart w:id="7" w:name="_Toc350634478"/>
      <w:r>
        <w:br w:type="page"/>
      </w:r>
      <w:r>
        <w:rPr>
          <w:rFonts w:hint="eastAsia"/>
        </w:rPr>
        <w:lastRenderedPageBreak/>
        <w:t>第</w:t>
      </w:r>
      <w:r>
        <w:rPr>
          <w:rFonts w:hint="eastAsia"/>
          <w:b/>
        </w:rPr>
        <w:t>8</w:t>
      </w:r>
      <w:r>
        <w:rPr>
          <w:rFonts w:hint="eastAsia"/>
        </w:rPr>
        <w:t>章</w:t>
      </w:r>
      <w:r>
        <w:rPr>
          <w:rFonts w:hint="eastAsia"/>
        </w:rPr>
        <w:t xml:space="preserve">  </w:t>
      </w:r>
      <w:r>
        <w:rPr>
          <w:rFonts w:ascii="黑体" w:hAnsi="黑体" w:cs="黑体" w:hint="eastAsia"/>
          <w:sz w:val="32"/>
          <w:szCs w:val="32"/>
        </w:rPr>
        <w:t>充</w:t>
      </w:r>
      <w:r>
        <w:rPr>
          <w:rFonts w:ascii="黑体" w:hAnsi="黑体" w:cs="黑体" w:hint="eastAsia"/>
        </w:rPr>
        <w:t>/</w:t>
      </w:r>
      <w:r>
        <w:rPr>
          <w:rFonts w:ascii="黑体" w:hAnsi="黑体" w:cs="黑体" w:hint="eastAsia"/>
          <w:sz w:val="32"/>
          <w:szCs w:val="32"/>
        </w:rPr>
        <w:t>放</w:t>
      </w:r>
      <w:r>
        <w:rPr>
          <w:rFonts w:hint="eastAsia"/>
        </w:rPr>
        <w:t>电计划</w:t>
      </w:r>
      <w:bookmarkEnd w:id="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8.1 </w:t>
      </w:r>
      <w:r>
        <w:rPr>
          <w:rFonts w:ascii="Times New Roman" w:eastAsia="仿宋_GB2312" w:hAnsi="Times New Roman"/>
          <w:kern w:val="28"/>
          <w:sz w:val="30"/>
          <w:szCs w:val="30"/>
        </w:rPr>
        <w:t>乙方应根据已签订的市场化交易合同及储能电站运行实际情况，按下列要求提交储能电站的年度、月度、节日或特殊运行方式充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放电计划建议：</w:t>
      </w:r>
      <w:r>
        <w:rPr>
          <w:rFonts w:ascii="Times New Roman" w:eastAsia="仿宋_GB2312" w:hAnsi="Times New Roman"/>
          <w:kern w:val="28"/>
          <w:sz w:val="30"/>
          <w:szCs w:val="30"/>
        </w:rPr>
        <w:t xml:space="preserve">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）乙方在首次并网日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日前及在此后每年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日前，向甲方提交下一年度充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）乙方在每月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日前向甲方提交下一月度充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放电计划建议，包括预测充</w:t>
      </w:r>
      <w:r>
        <w:rPr>
          <w:rFonts w:ascii="Times New Roman" w:eastAsia="仿宋_GB2312" w:hAnsi="Times New Roman"/>
          <w:kern w:val="28"/>
          <w:sz w:val="30"/>
          <w:szCs w:val="30"/>
        </w:rPr>
        <w:t>/</w:t>
      </w:r>
      <w:r>
        <w:rPr>
          <w:rFonts w:ascii="Times New Roman" w:eastAsia="仿宋_GB2312" w:hAnsi="Times New Roman"/>
          <w:kern w:val="28"/>
          <w:sz w:val="30"/>
          <w:szCs w:val="30"/>
        </w:rPr>
        <w:t>放电量等。</w:t>
      </w:r>
    </w:p>
    <w:p w:rsidR="00000000" w:rsidRDefault="00000000">
      <w:pPr>
        <w:topLinePunct/>
        <w:ind w:firstLineChars="200" w:firstLine="600"/>
        <w:rPr>
          <w:kern w:val="28"/>
          <w:sz w:val="30"/>
          <w:szCs w:val="30"/>
        </w:rPr>
      </w:pPr>
      <w:r>
        <w:rPr>
          <w:kern w:val="28"/>
          <w:sz w:val="30"/>
          <w:szCs w:val="30"/>
        </w:rPr>
        <w:t>（</w:t>
      </w:r>
      <w:r>
        <w:rPr>
          <w:kern w:val="28"/>
          <w:sz w:val="30"/>
          <w:szCs w:val="30"/>
        </w:rPr>
        <w:t>3</w:t>
      </w:r>
      <w:r>
        <w:rPr>
          <w:kern w:val="28"/>
          <w:sz w:val="30"/>
          <w:szCs w:val="30"/>
        </w:rPr>
        <w:t>）乙方在国家法定节日（包括元旦、春节、五一、国庆等）或特殊运行方式出现</w:t>
      </w:r>
      <w:r>
        <w:rPr>
          <w:kern w:val="28"/>
          <w:sz w:val="30"/>
          <w:szCs w:val="30"/>
          <w:u w:val="single"/>
        </w:rPr>
        <w:t xml:space="preserve">    </w:t>
      </w:r>
      <w:r>
        <w:rPr>
          <w:kern w:val="28"/>
          <w:sz w:val="30"/>
          <w:szCs w:val="30"/>
        </w:rPr>
        <w:t>日前向甲方提交节日或特殊运行方式期间的充</w:t>
      </w:r>
      <w:r>
        <w:rPr>
          <w:kern w:val="28"/>
          <w:sz w:val="30"/>
          <w:szCs w:val="30"/>
        </w:rPr>
        <w:t>/</w:t>
      </w:r>
      <w:r>
        <w:rPr>
          <w:kern w:val="28"/>
          <w:sz w:val="30"/>
          <w:szCs w:val="30"/>
        </w:rPr>
        <w:t>放电计划建议。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8.2 </w:t>
      </w:r>
      <w:r>
        <w:rPr>
          <w:rFonts w:ascii="Times New Roman" w:eastAsia="仿宋_GB2312" w:hAnsi="Times New Roman"/>
          <w:kern w:val="28"/>
          <w:sz w:val="30"/>
          <w:szCs w:val="30"/>
        </w:rPr>
        <w:t>根据市场化交易合同，结合乙方申报的充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放电计划建议，甲方在每年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日前将编制的下一年度分月充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8.3 </w:t>
      </w:r>
      <w:r>
        <w:rPr>
          <w:rFonts w:ascii="Times New Roman" w:eastAsia="仿宋_GB2312" w:hAnsi="Times New Roman"/>
          <w:kern w:val="28"/>
          <w:sz w:val="30"/>
          <w:szCs w:val="30"/>
        </w:rPr>
        <w:t>根据第</w:t>
      </w:r>
      <w:r>
        <w:rPr>
          <w:rFonts w:ascii="Times New Roman" w:eastAsia="仿宋_GB2312" w:hAnsi="Times New Roman"/>
          <w:kern w:val="28"/>
          <w:sz w:val="30"/>
          <w:szCs w:val="30"/>
        </w:rPr>
        <w:t>8.2</w:t>
      </w:r>
      <w:r>
        <w:rPr>
          <w:rFonts w:ascii="Times New Roman" w:eastAsia="仿宋_GB2312" w:hAnsi="Times New Roman"/>
          <w:kern w:val="28"/>
          <w:sz w:val="30"/>
          <w:szCs w:val="30"/>
        </w:rPr>
        <w:t>条制定的年度分月充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放电计划和乙方申报的月度充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放电计划建议，甲方在每月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日前将编制的下一月度充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放电计划通知乙方。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8.4 </w:t>
      </w:r>
      <w:r>
        <w:rPr>
          <w:rFonts w:ascii="Times New Roman" w:eastAsia="仿宋_GB2312" w:hAnsi="Times New Roman"/>
          <w:kern w:val="28"/>
          <w:sz w:val="30"/>
          <w:szCs w:val="30"/>
        </w:rPr>
        <w:t>根据第</w:t>
      </w:r>
      <w:r>
        <w:rPr>
          <w:rFonts w:ascii="Times New Roman" w:eastAsia="仿宋_GB2312" w:hAnsi="Times New Roman"/>
          <w:kern w:val="28"/>
          <w:sz w:val="30"/>
          <w:szCs w:val="30"/>
        </w:rPr>
        <w:t>8.3</w:t>
      </w:r>
      <w:r>
        <w:rPr>
          <w:rFonts w:ascii="Times New Roman" w:eastAsia="仿宋_GB2312" w:hAnsi="Times New Roman"/>
          <w:kern w:val="28"/>
          <w:sz w:val="30"/>
          <w:szCs w:val="30"/>
        </w:rPr>
        <w:t>条制定的月度充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放电计划、电网实际情况和储能电站提供的数据（储能电站须在每日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时前向电力调度机构申报次日最大可用功率</w:t>
      </w:r>
      <w:r>
        <w:rPr>
          <w:rFonts w:ascii="Times New Roman" w:eastAsia="仿宋_GB2312" w:hAnsi="Times New Roman" w:hint="eastAsia"/>
          <w:kern w:val="28"/>
          <w:sz w:val="30"/>
          <w:szCs w:val="30"/>
        </w:rPr>
        <w:t>和</w:t>
      </w:r>
      <w:r>
        <w:rPr>
          <w:rFonts w:ascii="Times New Roman" w:eastAsia="仿宋_GB2312" w:hAnsi="Times New Roman"/>
          <w:kern w:val="28"/>
          <w:sz w:val="30"/>
          <w:szCs w:val="30"/>
        </w:rPr>
        <w:t>电量，并报告影响其充</w:t>
      </w:r>
      <w:r>
        <w:rPr>
          <w:rFonts w:ascii="Times New Roman" w:eastAsia="仿宋_GB2312" w:hAnsi="Times New Roman"/>
          <w:kern w:val="28"/>
          <w:sz w:val="30"/>
          <w:szCs w:val="30"/>
        </w:rPr>
        <w:t>/</w:t>
      </w:r>
      <w:r>
        <w:rPr>
          <w:rFonts w:ascii="Times New Roman" w:eastAsia="仿宋_GB2312" w:hAnsi="Times New Roman"/>
          <w:kern w:val="28"/>
          <w:sz w:val="30"/>
          <w:szCs w:val="30"/>
        </w:rPr>
        <w:t>放电能力的设备缺陷、故障以及</w:t>
      </w:r>
      <w:r>
        <w:rPr>
          <w:rFonts w:ascii="Times New Roman" w:eastAsia="仿宋_GB2312" w:hAnsi="Times New Roman"/>
          <w:kern w:val="28"/>
          <w:sz w:val="30"/>
          <w:szCs w:val="30"/>
        </w:rPr>
        <w:t>AGC</w:t>
      </w:r>
      <w:r>
        <w:rPr>
          <w:rFonts w:ascii="Times New Roman" w:eastAsia="仿宋_GB2312" w:hAnsi="Times New Roman"/>
          <w:kern w:val="28"/>
          <w:sz w:val="30"/>
          <w:szCs w:val="30"/>
        </w:rPr>
        <w:t>的投入状况），电力调度机构编制储能电站次日充</w:t>
      </w:r>
      <w:r>
        <w:rPr>
          <w:rFonts w:ascii="Times New Roman" w:eastAsia="仿宋_GB2312" w:hAnsi="Times New Roman"/>
          <w:kern w:val="28"/>
          <w:sz w:val="30"/>
          <w:szCs w:val="30"/>
        </w:rPr>
        <w:t>/</w:t>
      </w:r>
      <w:r>
        <w:rPr>
          <w:rFonts w:ascii="Times New Roman" w:eastAsia="仿宋_GB2312" w:hAnsi="Times New Roman"/>
          <w:kern w:val="28"/>
          <w:sz w:val="30"/>
          <w:szCs w:val="30"/>
        </w:rPr>
        <w:t>放电调度计划曲线，并</w:t>
      </w:r>
      <w:r>
        <w:rPr>
          <w:rFonts w:ascii="Times New Roman" w:eastAsia="仿宋_GB2312" w:hAnsi="Times New Roman"/>
          <w:kern w:val="28"/>
          <w:sz w:val="30"/>
          <w:szCs w:val="30"/>
        </w:rPr>
        <w:lastRenderedPageBreak/>
        <w:t>在每日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时前将次日充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放电计划曲线下达给储能电站。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8.5 </w:t>
      </w:r>
      <w:r>
        <w:rPr>
          <w:rFonts w:ascii="Times New Roman" w:eastAsia="仿宋_GB2312" w:hAnsi="Times New Roman"/>
          <w:kern w:val="28"/>
          <w:sz w:val="30"/>
          <w:szCs w:val="30"/>
        </w:rPr>
        <w:t>双方约定的其他要求：</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d3"/>
        <w:rPr>
          <w:rFonts w:hint="eastAsia"/>
        </w:rPr>
      </w:pPr>
      <w:bookmarkStart w:id="8" w:name="_Toc350634479"/>
      <w:r>
        <w:br w:type="page"/>
      </w:r>
      <w:r>
        <w:rPr>
          <w:rFonts w:hint="eastAsia"/>
        </w:rPr>
        <w:lastRenderedPageBreak/>
        <w:t>第</w:t>
      </w:r>
      <w:r>
        <w:rPr>
          <w:rFonts w:hint="eastAsia"/>
          <w:b/>
        </w:rPr>
        <w:t>9</w:t>
      </w:r>
      <w:r>
        <w:rPr>
          <w:rFonts w:hint="eastAsia"/>
        </w:rPr>
        <w:t>章</w:t>
      </w:r>
      <w:r>
        <w:rPr>
          <w:rFonts w:hint="eastAsia"/>
        </w:rPr>
        <w:t xml:space="preserve">  </w:t>
      </w:r>
      <w:r>
        <w:rPr>
          <w:rFonts w:hint="eastAsia"/>
        </w:rPr>
        <w:t>设备检修</w:t>
      </w:r>
      <w:bookmarkEnd w:id="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 </w:t>
      </w:r>
      <w:r>
        <w:rPr>
          <w:rFonts w:ascii="Times New Roman" w:eastAsia="仿宋_GB2312" w:hAnsi="Times New Roman"/>
          <w:kern w:val="28"/>
          <w:sz w:val="30"/>
          <w:szCs w:val="30"/>
        </w:rPr>
        <w:t>并网运行储能电站设备检修应按照计划进行。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9.1.1 </w:t>
      </w:r>
      <w:r>
        <w:rPr>
          <w:rFonts w:ascii="Times New Roman" w:eastAsia="仿宋_GB2312" w:hAnsi="Times New Roman"/>
          <w:kern w:val="28"/>
          <w:sz w:val="30"/>
          <w:szCs w:val="30"/>
        </w:rPr>
        <w:t>乙方在按本协议约定向甲方提交年度、月度、节日、特殊运行方式充</w:t>
      </w:r>
      <w:r>
        <w:rPr>
          <w:rFonts w:ascii="Times New Roman" w:eastAsia="仿宋_GB2312" w:hAnsi="Times New Roman"/>
          <w:kern w:val="28"/>
          <w:sz w:val="30"/>
          <w:szCs w:val="30"/>
        </w:rPr>
        <w:t>/</w:t>
      </w:r>
      <w:r>
        <w:rPr>
          <w:rFonts w:ascii="Times New Roman" w:eastAsia="仿宋_GB2312" w:hAnsi="Times New Roman"/>
          <w:kern w:val="28"/>
          <w:sz w:val="30"/>
          <w:szCs w:val="30"/>
        </w:rPr>
        <w:t>放电计划建议的同时，将年度、月度、节日、特殊运行方式的设备检修计划建议报电力调度机构。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9.1.2 </w:t>
      </w:r>
      <w:r>
        <w:rPr>
          <w:rFonts w:ascii="Times New Roman" w:eastAsia="仿宋_GB2312" w:hAnsi="Times New Roman"/>
          <w:kern w:val="28"/>
          <w:sz w:val="30"/>
          <w:szCs w:val="30"/>
        </w:rPr>
        <w:t>电力调度机构在统筹考虑电力供需形势、系统运行情况等条件后，经双方协商，将储能电站设备检修计划纳入电力系统年度、月度、节日、特殊运行方式检修计划。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）在每年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日前将经核准的储能电站下一年度设备检修计划通知储能电站。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日前将经核准的储能电站下月设备检修计划通知储能电站。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）在国家法定节日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个工作日前或特殊运行方式出现</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个工作日前将节日或特殊运行方式设备检修计划通知储能电站。</w:t>
      </w:r>
    </w:p>
    <w:p w:rsidR="00000000" w:rsidRDefault="00000000">
      <w:pPr>
        <w:pStyle w:val="21"/>
        <w:numPr>
          <w:ilvl w:val="0"/>
          <w:numId w:val="0"/>
        </w:numPr>
        <w:topLinePunct/>
        <w:ind w:firstLineChars="197" w:firstLine="591"/>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9.2 </w:t>
      </w:r>
      <w:r>
        <w:rPr>
          <w:rFonts w:ascii="Times New Roman" w:eastAsia="仿宋_GB2312" w:hAnsi="Times New Roman"/>
          <w:kern w:val="28"/>
          <w:sz w:val="30"/>
          <w:szCs w:val="30"/>
        </w:rPr>
        <w:t>如果储能电站（储能单元）需要临时停运消除缺陷，应在</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小时前向电力调度机构提出申请，电力调度机构应根据电网情况尽量予以安排。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 </w:t>
      </w:r>
      <w:r>
        <w:rPr>
          <w:rFonts w:ascii="Times New Roman" w:eastAsia="仿宋_GB2312" w:hAnsi="Times New Roman"/>
          <w:kern w:val="28"/>
          <w:sz w:val="30"/>
          <w:szCs w:val="30"/>
        </w:rPr>
        <w:t>检修备案、申请与批复</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9.3.1 </w:t>
      </w:r>
      <w:r>
        <w:rPr>
          <w:rFonts w:ascii="Times New Roman" w:eastAsia="仿宋_GB2312" w:hAnsi="Times New Roman"/>
          <w:kern w:val="28"/>
          <w:sz w:val="30"/>
          <w:szCs w:val="30"/>
        </w:rPr>
        <w:t>纳入调度范围的储能电站升压站设备和公用设备（含一、二次设备）实际检修工作开始前须向电力调度机构提交检修申请，获得批准</w:t>
      </w:r>
      <w:r>
        <w:rPr>
          <w:rFonts w:ascii="Times New Roman" w:eastAsia="仿宋_GB2312" w:hAnsi="Times New Roman"/>
          <w:kern w:val="28"/>
          <w:sz w:val="30"/>
          <w:szCs w:val="30"/>
        </w:rPr>
        <w:lastRenderedPageBreak/>
        <w:t>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9.3.2 </w:t>
      </w:r>
      <w:r>
        <w:rPr>
          <w:rFonts w:ascii="Times New Roman" w:eastAsia="仿宋_GB2312" w:hAnsi="Times New Roman"/>
          <w:kern w:val="28"/>
          <w:sz w:val="30"/>
          <w:szCs w:val="30"/>
        </w:rPr>
        <w:t>储能电站储能单元检修前，应报电力调度机构备案；实际检修工作开始前须向电力调度机构提交检修申请，获得批准后方可开工。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9.3.3 </w:t>
      </w:r>
      <w:r>
        <w:rPr>
          <w:rFonts w:ascii="Times New Roman" w:eastAsia="仿宋_GB2312" w:hAnsi="Times New Roman"/>
          <w:kern w:val="28"/>
          <w:sz w:val="30"/>
          <w:szCs w:val="30"/>
        </w:rPr>
        <w:t>检修备案应于实际检修工作开始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9.3.4 </w:t>
      </w:r>
      <w:r>
        <w:rPr>
          <w:rFonts w:ascii="Times New Roman" w:eastAsia="仿宋_GB2312" w:hAnsi="Times New Roman"/>
          <w:kern w:val="28"/>
          <w:sz w:val="30"/>
          <w:szCs w:val="30"/>
        </w:rPr>
        <w:t>检修申请应于实际检修工作开始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日前提交给电力调度机构。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9.3.5 </w:t>
      </w:r>
      <w:r>
        <w:rPr>
          <w:rFonts w:ascii="Times New Roman" w:eastAsia="仿宋_GB2312" w:hAnsi="Times New Roman"/>
          <w:kern w:val="28"/>
          <w:sz w:val="30"/>
          <w:szCs w:val="30"/>
        </w:rPr>
        <w:t>检修申请（备案）应包括检修设备的名称及数量、检修容量、检修时间、检修内容、对最大可用功率及电量的影响、隔离措施、对系统的要求等内容。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9.3.6 </w:t>
      </w:r>
      <w:r>
        <w:rPr>
          <w:rFonts w:ascii="Times New Roman" w:eastAsia="仿宋_GB2312" w:hAnsi="Times New Roman"/>
          <w:kern w:val="28"/>
          <w:sz w:val="30"/>
          <w:szCs w:val="30"/>
        </w:rPr>
        <w:t>电力调度机构应于实际检修工作开始</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日前将检修申请的批复通知储能电站，并说明储能电站应采取的安全措施及其他相关要求，同时做好事故应急预案。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9.3.7 </w:t>
      </w:r>
      <w:r>
        <w:rPr>
          <w:rFonts w:ascii="Times New Roman" w:eastAsia="仿宋_GB2312" w:hAnsi="Times New Roman"/>
          <w:kern w:val="28"/>
          <w:sz w:val="30"/>
          <w:szCs w:val="30"/>
        </w:rPr>
        <w:t>储能电站应在提交检修备案的同时，制定应采取的安全措施，并做好事故应急预案。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 </w:t>
      </w:r>
      <w:r>
        <w:rPr>
          <w:rFonts w:ascii="Times New Roman" w:eastAsia="仿宋_GB2312" w:hAnsi="Times New Roman"/>
          <w:kern w:val="28"/>
          <w:sz w:val="30"/>
          <w:szCs w:val="30"/>
        </w:rPr>
        <w:t>乙方应严格执行已批复的检修计划，按时完成各项检修工作。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9.4.1 </w:t>
      </w:r>
      <w:r>
        <w:rPr>
          <w:rFonts w:ascii="Times New Roman" w:eastAsia="仿宋_GB2312" w:hAnsi="Times New Roman"/>
          <w:kern w:val="28"/>
          <w:sz w:val="30"/>
          <w:szCs w:val="30"/>
        </w:rPr>
        <w:t>储能电站由于自身原因，不能按已批复计划检修的，可在已批复的计划开工日前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日向电力调度机构提出修改检修计划的申请。电力调度机构应根据电网运行情况，合理调整检修计划。能够安排的，应将调整后储能电站检修计划提前</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日通知储能电站；确实无法安排的，储能电站应设法按原批复计划执行，否则，电力调度机构在本年度内原则</w:t>
      </w:r>
      <w:r>
        <w:rPr>
          <w:rFonts w:ascii="Times New Roman" w:eastAsia="仿宋_GB2312" w:hAnsi="Times New Roman"/>
          <w:kern w:val="28"/>
          <w:sz w:val="30"/>
          <w:szCs w:val="30"/>
        </w:rPr>
        <w:lastRenderedPageBreak/>
        <w:t>上不再另行安排计划检修。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9.4.2 </w:t>
      </w:r>
      <w:r>
        <w:rPr>
          <w:rFonts w:ascii="Times New Roman" w:eastAsia="仿宋_GB2312" w:hAnsi="Times New Roman"/>
          <w:kern w:val="28"/>
          <w:sz w:val="30"/>
          <w:szCs w:val="30"/>
        </w:rPr>
        <w:t>储能电站检修工作需延期的，须在已批复的检修工期过半前向电力调度机构申请办理延期手续，未获得批复不得延期。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9.4.3 </w:t>
      </w:r>
      <w:r>
        <w:rPr>
          <w:rFonts w:ascii="Times New Roman" w:eastAsia="仿宋_GB2312" w:hAnsi="Times New Roman"/>
          <w:kern w:val="28"/>
          <w:sz w:val="30"/>
          <w:szCs w:val="30"/>
        </w:rPr>
        <w:t>由于电力系统运行需要，储能电站不能按计划进行检修的，电力调度机构应提前与储能电站协商，调整检修计划并通知储能电站。如果储能单元必须超期运行，双方应针对储能单元超期运行期间可能出现的紧急情况商定应急措施，以及转入检修状态的程序，并按相关规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hint="eastAsia"/>
          <w:kern w:val="28"/>
          <w:sz w:val="30"/>
          <w:szCs w:val="30"/>
        </w:rPr>
        <w:t>5</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设备检修完成后，储能电站应及时向电力调度机构报告，并按规定程序恢复设备运行。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hint="eastAsia"/>
          <w:kern w:val="28"/>
          <w:sz w:val="30"/>
          <w:szCs w:val="30"/>
        </w:rPr>
        <w:t>6</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电网一次设备检修如影响储能电站充</w:t>
      </w:r>
      <w:r>
        <w:rPr>
          <w:rFonts w:ascii="Times New Roman" w:eastAsia="仿宋_GB2312" w:hAnsi="Times New Roman"/>
          <w:kern w:val="28"/>
          <w:sz w:val="30"/>
          <w:szCs w:val="30"/>
        </w:rPr>
        <w:t>/</w:t>
      </w:r>
      <w:r>
        <w:rPr>
          <w:rFonts w:ascii="Times New Roman" w:eastAsia="仿宋_GB2312" w:hAnsi="Times New Roman"/>
          <w:kern w:val="28"/>
          <w:sz w:val="30"/>
          <w:szCs w:val="30"/>
        </w:rPr>
        <w:t>放电能力，应尽可能按照对电站充</w:t>
      </w:r>
      <w:r>
        <w:rPr>
          <w:rFonts w:ascii="Times New Roman" w:eastAsia="仿宋_GB2312" w:hAnsi="Times New Roman"/>
          <w:kern w:val="28"/>
          <w:sz w:val="30"/>
          <w:szCs w:val="30"/>
        </w:rPr>
        <w:t>/</w:t>
      </w:r>
      <w:r>
        <w:rPr>
          <w:rFonts w:ascii="Times New Roman" w:eastAsia="仿宋_GB2312" w:hAnsi="Times New Roman"/>
          <w:kern w:val="28"/>
          <w:sz w:val="30"/>
          <w:szCs w:val="30"/>
        </w:rPr>
        <w:t>放电影响最小的原则安排，并尽早通知储能电站。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9.</w:t>
      </w:r>
      <w:r>
        <w:rPr>
          <w:rFonts w:ascii="Times New Roman" w:eastAsia="仿宋_GB2312" w:hAnsi="Times New Roman" w:hint="eastAsia"/>
          <w:kern w:val="28"/>
          <w:sz w:val="30"/>
          <w:szCs w:val="30"/>
        </w:rPr>
        <w:t>7</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电力调度机构应合理安排调度管辖范围内电网、储能电站继电保护及安全自动装置、电力调度自动化及电力调度通信系统等二次设备的检修。二次设备的检修原则上不应影响一次设备的正常运行，否则，应尽可能与一次设备的检修相配合。</w:t>
      </w:r>
    </w:p>
    <w:p w:rsidR="00000000" w:rsidRDefault="00000000">
      <w:pPr>
        <w:pStyle w:val="d3"/>
        <w:rPr>
          <w:rFonts w:hint="eastAsia"/>
        </w:rPr>
      </w:pPr>
      <w:bookmarkStart w:id="9" w:name="_Toc350634480"/>
      <w:r>
        <w:br w:type="page"/>
      </w:r>
      <w:r>
        <w:rPr>
          <w:rFonts w:hint="eastAsia"/>
        </w:rPr>
        <w:lastRenderedPageBreak/>
        <w:t>第</w:t>
      </w:r>
      <w:r>
        <w:rPr>
          <w:rFonts w:hint="eastAsia"/>
          <w:b/>
        </w:rPr>
        <w:t>10</w:t>
      </w:r>
      <w:r>
        <w:rPr>
          <w:rFonts w:hint="eastAsia"/>
        </w:rPr>
        <w:t>章</w:t>
      </w:r>
      <w:r>
        <w:rPr>
          <w:rFonts w:hint="eastAsia"/>
        </w:rPr>
        <w:t xml:space="preserve">  </w:t>
      </w:r>
      <w:r>
        <w:rPr>
          <w:rFonts w:hint="eastAsia"/>
        </w:rPr>
        <w:t>涉网性能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10.1 </w:t>
      </w:r>
      <w:r>
        <w:rPr>
          <w:rFonts w:ascii="Times New Roman" w:eastAsia="仿宋_GB2312" w:hAnsi="Times New Roman"/>
          <w:kern w:val="28"/>
          <w:sz w:val="30"/>
          <w:szCs w:val="30"/>
        </w:rPr>
        <w:t>甲方与乙方均应遵守《电网运行准则》（</w:t>
      </w:r>
      <w:r>
        <w:rPr>
          <w:rFonts w:ascii="Times New Roman" w:eastAsia="仿宋_GB2312" w:hAnsi="Times New Roman"/>
          <w:kern w:val="28"/>
          <w:sz w:val="30"/>
          <w:szCs w:val="30"/>
        </w:rPr>
        <w:t>GB/T 31464</w:t>
      </w:r>
      <w:r>
        <w:rPr>
          <w:rFonts w:ascii="Times New Roman" w:eastAsia="仿宋_GB2312" w:hAnsi="Times New Roman"/>
          <w:kern w:val="28"/>
          <w:sz w:val="30"/>
          <w:szCs w:val="30"/>
        </w:rPr>
        <w:t>）、《电化学储能系统接入电网技术规定》（</w:t>
      </w:r>
      <w:r>
        <w:rPr>
          <w:rFonts w:ascii="Times New Roman" w:eastAsia="仿宋_GB2312" w:hAnsi="Times New Roman"/>
          <w:kern w:val="28"/>
          <w:sz w:val="30"/>
          <w:szCs w:val="30"/>
        </w:rPr>
        <w:t>GB/T 36547</w:t>
      </w:r>
      <w:r>
        <w:rPr>
          <w:rFonts w:ascii="Times New Roman" w:eastAsia="仿宋_GB2312" w:hAnsi="Times New Roman"/>
          <w:kern w:val="28"/>
          <w:sz w:val="30"/>
          <w:szCs w:val="30"/>
        </w:rPr>
        <w:t>）、《电力系统网源协调技术规范》（</w:t>
      </w:r>
      <w:r>
        <w:rPr>
          <w:rFonts w:ascii="Times New Roman" w:eastAsia="仿宋_GB2312" w:hAnsi="Times New Roman"/>
          <w:kern w:val="28"/>
          <w:sz w:val="30"/>
          <w:szCs w:val="30"/>
        </w:rPr>
        <w:t>DL/T 1870</w:t>
      </w:r>
      <w:r>
        <w:rPr>
          <w:rFonts w:ascii="Times New Roman" w:eastAsia="仿宋_GB2312" w:hAnsi="Times New Roman"/>
          <w:kern w:val="28"/>
          <w:sz w:val="30"/>
          <w:szCs w:val="30"/>
        </w:rPr>
        <w:t>）等相关涉网标准、规定，遵守《防止电力生产事故的二十五项重点要求》（国能安全〔</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161</w:t>
      </w:r>
      <w:r>
        <w:rPr>
          <w:rFonts w:ascii="Times New Roman" w:eastAsia="仿宋_GB2312" w:hAnsi="Times New Roman"/>
          <w:kern w:val="28"/>
          <w:sz w:val="30"/>
          <w:szCs w:val="30"/>
        </w:rPr>
        <w:t>号），加强储能电站并网运行安全技术管理，满足并网运行有关要求。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10.2 </w:t>
      </w:r>
      <w:r>
        <w:rPr>
          <w:rFonts w:ascii="Times New Roman" w:eastAsia="仿宋_GB2312" w:hAnsi="Times New Roman"/>
          <w:kern w:val="28"/>
          <w:sz w:val="30"/>
          <w:szCs w:val="30"/>
        </w:rPr>
        <w:t>甲方应依据相关法律法规、标准规范和电力系统运行要求，加强电网运行安全调度管理；审核乙方报送的试验方案、试验报告。</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10.3 </w:t>
      </w:r>
      <w:r>
        <w:rPr>
          <w:rFonts w:ascii="Times New Roman" w:eastAsia="仿宋_GB2312" w:hAnsi="Times New Roman"/>
          <w:kern w:val="28"/>
          <w:sz w:val="30"/>
          <w:szCs w:val="30"/>
        </w:rPr>
        <w:t>对于乙方涉网性能不满足相关标准规范及电力系统运行要求的情况，乙方应按照相关标准及甲方要求完成整改。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10.4 </w:t>
      </w:r>
      <w:r>
        <w:rPr>
          <w:rFonts w:ascii="Times New Roman" w:eastAsia="仿宋_GB2312" w:hAnsi="Times New Roman"/>
          <w:kern w:val="28"/>
          <w:sz w:val="30"/>
          <w:szCs w:val="30"/>
        </w:rPr>
        <w:t>乙方依据相关法律法规、标准规范和电力系统运行要求，开展储能电站涉网试验。涉网试验前，乙方向甲方报送试验方案；按照甲方审核通过的试验方案，组织开展试验；试验完成后，乙方及时将试验报告报送甲方：</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）对于新建储能电站，乙方应于首次并网的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日内按标准完成涉网试验。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）对于在运储能电站开展影响涉网性能改造的，乙方应于改造后首次并网的</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日内完成所需涉网试验。</w:t>
      </w:r>
    </w:p>
    <w:p w:rsidR="00000000" w:rsidRDefault="00000000">
      <w:pPr>
        <w:pStyle w:val="21"/>
        <w:numPr>
          <w:ilvl w:val="0"/>
          <w:numId w:val="0"/>
        </w:numPr>
        <w:topLinePunct/>
        <w:ind w:firstLineChars="200" w:firstLine="600"/>
        <w:outlineLvl w:val="9"/>
        <w:rPr>
          <w:rFonts w:ascii="Times New Roman" w:eastAsia="仿宋_GB2312" w:hAnsi="Times New Roman"/>
          <w:sz w:val="32"/>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）对于在运储能电站，乙方以</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年为周期完成所需涉网试验。</w:t>
      </w:r>
    </w:p>
    <w:p w:rsidR="00000000" w:rsidRDefault="00000000">
      <w:pPr>
        <w:rPr>
          <w:sz w:val="32"/>
          <w:szCs w:val="32"/>
        </w:rPr>
        <w:sectPr w:rsidR="00000000">
          <w:footerReference w:type="even" r:id="rId7"/>
          <w:footerReference w:type="default" r:id="rId8"/>
          <w:footerReference w:type="first" r:id="rId9"/>
          <w:pgSz w:w="11906" w:h="16838"/>
          <w:pgMar w:top="1701" w:right="1134" w:bottom="1247" w:left="1361" w:header="0" w:footer="1418" w:gutter="0"/>
          <w:pgNumType w:start="1"/>
          <w:cols w:space="720"/>
          <w:docGrid w:type="lines" w:linePitch="312"/>
        </w:sectPr>
      </w:pPr>
    </w:p>
    <w:p w:rsidR="00000000" w:rsidRDefault="00000000">
      <w:pPr>
        <w:pStyle w:val="d3"/>
        <w:rPr>
          <w:rFonts w:hint="eastAsia"/>
        </w:rPr>
      </w:pPr>
      <w:r>
        <w:rPr>
          <w:rFonts w:hint="eastAsia"/>
        </w:rPr>
        <w:lastRenderedPageBreak/>
        <w:t>第</w:t>
      </w:r>
      <w:r>
        <w:rPr>
          <w:rFonts w:hint="eastAsia"/>
          <w:b/>
        </w:rPr>
        <w:t>11</w:t>
      </w:r>
      <w:r>
        <w:rPr>
          <w:rFonts w:hint="eastAsia"/>
        </w:rPr>
        <w:t>章</w:t>
      </w:r>
      <w:r>
        <w:rPr>
          <w:rFonts w:hint="eastAsia"/>
        </w:rPr>
        <w:t xml:space="preserve">  </w:t>
      </w:r>
      <w:r>
        <w:rPr>
          <w:rFonts w:hint="eastAsia"/>
        </w:rPr>
        <w:t>继电保护及安全自动装置</w:t>
      </w:r>
      <w:bookmarkEnd w:id="9"/>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11.1 </w:t>
      </w:r>
      <w:r>
        <w:rPr>
          <w:rFonts w:ascii="Times New Roman" w:eastAsia="仿宋_GB2312" w:hAnsi="Times New Roman"/>
          <w:kern w:val="28"/>
          <w:sz w:val="30"/>
          <w:szCs w:val="30"/>
        </w:rPr>
        <w:t>甲方应严格遵守有关继电保护及安全自动装置的设计、运行和管理规程、标准和规定，负责调度管辖范围内继电保护及安全自动装置的运行管理，并符合以下要求：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）履行专业管理和技术监督职能，负责调度管辖范围内继电保护及安全自动装置的整定计算和运行，对装置动作情况进行分析和评价。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）对所属继电保护及安全自动装置进行调试并定期进行校验、维护，使其满足原定的装置技术要求，符合电力调度机构整定要求，并保存完整的调试报告和记录。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）电网继电保护及安全自动装置动作后，须立即按规程进行分析和处理，并将有关资料报电力调度机构。与储能电站有关的，应与其配合进行事故分析和处理。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）电网继电保护及安全自动装置不正确动作或出现缺陷后，须立即按规程进行处理，并分析原因，及时采取防范措施。涉及储能电站的，应将有关情况书面通知储能电站。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）指导和协助储能电站进行有关继电保护及安全自动装置的整定和运行，提供必要的技术支持。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）严格执行国家及有关部门颁布的继电保护及安全自动装置反事故措施和电力调度机构提出的反事故措施。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11.2 </w:t>
      </w:r>
      <w:r>
        <w:rPr>
          <w:rFonts w:ascii="Times New Roman" w:eastAsia="仿宋_GB2312" w:hAnsi="Times New Roman"/>
          <w:kern w:val="28"/>
          <w:sz w:val="30"/>
          <w:szCs w:val="30"/>
        </w:rPr>
        <w:t>乙方应严格遵守有关继电保护及安全自动装置的设计、运行和</w:t>
      </w:r>
      <w:r>
        <w:rPr>
          <w:rFonts w:ascii="Times New Roman" w:eastAsia="仿宋_GB2312" w:hAnsi="Times New Roman"/>
          <w:kern w:val="28"/>
          <w:sz w:val="30"/>
          <w:szCs w:val="30"/>
        </w:rPr>
        <w:lastRenderedPageBreak/>
        <w:t>管理规程、标准和规定，负责所属继电保护及安全自动装置的运行管理，接受甲方专业管理和技术监督，并满足以下要求：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负责储能电站所属继电保护及安全自动装置的整定计算（储能电站内属调度管辖的继电保护及安全自动装置整定值由电力调度机构下达，其他继电保护及安全自动装置整定值由储能电站自行计算整定后送电力调度机构备案）和运行维护，对装置动作情况进行分析和评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）对所属继电保护及安全自动装置进行调试并定期进行校验、维护，使其满足原定的装置技术要求，符合整定要求，并保存完整的调试报告和记录。</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）与电网运行有关的继电保护及安全自动装置必须与电网继电保护及安全自动装置相配合，相关设备的选型应征得电力调度机构的认可。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）若甲方继电保护及安全自动装置运行状态改变，储能电站应按电力调度机构要求及时变更所辖的继电保护及安全自动装置的整定值及运行状态。</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储能电站继电保护及安全自动装置动作后，须立即报告电力调度机构值班员，按规程进行分析和处理，并按要求将有关资料送电力调度机构。与电网有关的，储能电站二次专业人员应在一小时内向电力调度机构汇报，汇报内容至少包括装置动作行为、开关跳闸、重合闸动作等故障信息，并配合进行事故分析和处理。</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储能电站继电保护及安全自动装置不正确动作或出现缺陷后，须立即报告电力调度机构值班员，按规程进行处理，并分析原因，及时</w:t>
      </w:r>
      <w:r>
        <w:rPr>
          <w:rFonts w:ascii="Times New Roman" w:eastAsia="仿宋_GB2312" w:hAnsi="Times New Roman"/>
          <w:spacing w:val="4"/>
          <w:kern w:val="28"/>
          <w:sz w:val="30"/>
          <w:szCs w:val="30"/>
        </w:rPr>
        <w:lastRenderedPageBreak/>
        <w:t>采取防范措施。涉及电网的，应将有关情况书面送电力调度机构。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）严格执行国家及有关部门颁布的继电保护及安全自动装置反事故措施。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）于每月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日前完成上月储能电站继电保护（包括线路保护、变压器保护、储能单元保护、母线保护等）及安全自动装置的运行分析报告，提供</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份给电力调度机构。</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）严格执行相关规程规范中列出的继电保护要求，继电保护检修工作规范性须满足电力调度机构要求。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 </w:t>
      </w:r>
      <w:r>
        <w:rPr>
          <w:rFonts w:ascii="Times New Roman" w:eastAsia="仿宋_GB2312" w:hAnsi="Times New Roman"/>
          <w:kern w:val="28"/>
          <w:sz w:val="30"/>
          <w:szCs w:val="30"/>
        </w:rPr>
        <w:t>双方为提高电力系统的稳定性能，应及时进行设备的更新、改造。</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11.3.1 </w:t>
      </w:r>
      <w:r>
        <w:rPr>
          <w:rFonts w:ascii="Times New Roman" w:eastAsia="仿宋_GB2312" w:hAnsi="Times New Roman"/>
          <w:kern w:val="28"/>
          <w:sz w:val="30"/>
          <w:szCs w:val="30"/>
        </w:rPr>
        <w:t>继电保护及安全自动装置设备更新改造应相互配合，确保双方设备协调一致</w:t>
      </w:r>
      <w:r>
        <w:rPr>
          <w:rFonts w:ascii="Times New Roman" w:eastAsia="仿宋_GB2312" w:hAnsi="Times New Roman"/>
          <w:sz w:val="30"/>
          <w:szCs w:val="30"/>
          <w:vertAlign w:val="superscript"/>
        </w:rPr>
        <w:footnoteReference w:id="11"/>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11.3.2 </w:t>
      </w:r>
      <w:r>
        <w:rPr>
          <w:rFonts w:ascii="Times New Roman" w:eastAsia="仿宋_GB2312" w:hAnsi="Times New Roman"/>
          <w:kern w:val="28"/>
          <w:sz w:val="30"/>
          <w:szCs w:val="30"/>
        </w:rPr>
        <w:t>改造设备须经过调试验收，确认合格后</w:t>
      </w:r>
      <w:r>
        <w:rPr>
          <w:rFonts w:ascii="Times New Roman" w:eastAsia="仿宋_GB2312" w:hAnsi="Times New Roman"/>
          <w:sz w:val="30"/>
          <w:szCs w:val="30"/>
          <w:vertAlign w:val="superscript"/>
        </w:rPr>
        <w:footnoteReference w:id="12"/>
      </w:r>
      <w:r>
        <w:rPr>
          <w:rFonts w:ascii="Times New Roman" w:eastAsia="仿宋_GB2312" w:hAnsi="Times New Roman"/>
          <w:kern w:val="28"/>
          <w:sz w:val="30"/>
          <w:szCs w:val="30"/>
        </w:rPr>
        <w:t>按规定程序投入运行。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11.4 </w:t>
      </w:r>
      <w:r>
        <w:rPr>
          <w:rFonts w:ascii="Times New Roman" w:eastAsia="仿宋_GB2312" w:hAnsi="Times New Roman"/>
          <w:kern w:val="28"/>
          <w:sz w:val="30"/>
          <w:szCs w:val="30"/>
        </w:rPr>
        <w:t>乙方的继电保护及安全自动装置应达到如下主要运行指标（不计因甲方原因而引起的误动和拒动）：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）继电保护主保护运行率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kV</w:t>
      </w:r>
      <w:r>
        <w:rPr>
          <w:rFonts w:ascii="Times New Roman" w:eastAsia="仿宋_GB2312" w:hAnsi="Times New Roman"/>
          <w:kern w:val="28"/>
          <w:sz w:val="30"/>
          <w:szCs w:val="30"/>
        </w:rPr>
        <w:t>及以上保护动作正确率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）故障录波完好率</w:t>
      </w:r>
      <w:r>
        <w:rPr>
          <w:rFonts w:ascii="Times New Roman" w:eastAsia="仿宋_GB2312" w:hAnsi="Times New Roman"/>
          <w:sz w:val="30"/>
          <w:szCs w:val="30"/>
          <w:vertAlign w:val="superscript"/>
        </w:rPr>
        <w:footnoteReference w:id="13"/>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4</w:t>
      </w:r>
      <w:r>
        <w:rPr>
          <w:rFonts w:ascii="Times New Roman" w:eastAsia="仿宋_GB2312" w:hAnsi="Times New Roman"/>
          <w:kern w:val="28"/>
          <w:sz w:val="30"/>
          <w:szCs w:val="30"/>
        </w:rPr>
        <w:t>）故障录波（保护信息）上传率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）安全自动装置投运率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）安全自动装置动作正确率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11.5 </w:t>
      </w:r>
      <w:r>
        <w:rPr>
          <w:rFonts w:ascii="Times New Roman" w:eastAsia="仿宋_GB2312" w:hAnsi="Times New Roman"/>
          <w:kern w:val="28"/>
          <w:sz w:val="30"/>
          <w:szCs w:val="30"/>
        </w:rPr>
        <w:t>双方应分别指定人员负责继电保护及安全自动装置的运行维护工作，确保继电保护及安全自动装置的正常运行。</w:t>
      </w:r>
    </w:p>
    <w:p w:rsidR="00000000" w:rsidRDefault="00000000">
      <w:pPr>
        <w:pStyle w:val="d3"/>
        <w:rPr>
          <w:rFonts w:hint="eastAsia"/>
        </w:rPr>
      </w:pPr>
      <w:bookmarkStart w:id="10" w:name="_Toc350634481"/>
      <w:r>
        <w:br w:type="page"/>
      </w:r>
      <w:r>
        <w:rPr>
          <w:rFonts w:hint="eastAsia"/>
        </w:rPr>
        <w:lastRenderedPageBreak/>
        <w:t>第</w:t>
      </w:r>
      <w:r>
        <w:rPr>
          <w:rFonts w:hint="eastAsia"/>
          <w:b/>
        </w:rPr>
        <w:t>12</w:t>
      </w:r>
      <w:r>
        <w:rPr>
          <w:rFonts w:hint="eastAsia"/>
        </w:rPr>
        <w:t>章</w:t>
      </w:r>
      <w:r>
        <w:rPr>
          <w:rFonts w:hint="eastAsia"/>
        </w:rPr>
        <w:t xml:space="preserve">  </w:t>
      </w:r>
      <w:r>
        <w:rPr>
          <w:rFonts w:hint="eastAsia"/>
        </w:rPr>
        <w:t>调度自动化</w:t>
      </w:r>
      <w:bookmarkEnd w:id="10"/>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12.1 </w:t>
      </w:r>
      <w:r>
        <w:rPr>
          <w:rFonts w:ascii="Times New Roman" w:eastAsia="仿宋_GB2312" w:hAnsi="Times New Roman"/>
          <w:kern w:val="28"/>
          <w:sz w:val="30"/>
          <w:szCs w:val="30"/>
        </w:rPr>
        <w:t>甲方应严格遵守有关调度自动化系统的设计、运行和管理规程、规范，负责调度端调度自动化系统的运行维护，并符合以下要求：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）监督调度自动化系统的可靠运行，负责电力调度自动化系统运行情况的监测，协调运行中出现的重大问题。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）按设计要求为储能电站自动化信号的接入提供条件。</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将系统有关信号及时准确地传送至储能电站调度自动化系统。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）指导、协助乙方调度自动化系统的运行维护工作，配合乙方进行事故调查。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12.2 </w:t>
      </w:r>
      <w:r>
        <w:rPr>
          <w:rFonts w:ascii="Times New Roman" w:eastAsia="仿宋_GB2312" w:hAnsi="Times New Roman"/>
          <w:kern w:val="28"/>
          <w:sz w:val="30"/>
          <w:szCs w:val="30"/>
        </w:rPr>
        <w:t>乙方应严格遵守有关调度自动化系统的设计、运行和管理规程、规范，负责储能电站端调度自动化设备的运行维护，并符合以下要求：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储能电站计算机监控系统、电量采集与传输装置的远动数据和电能计量数据应按照符合国家标准或行业标准的传输规约传送至电力调度机构的调度自动化系统和电能计量系统。电能计量系统应通过经双方认可的具有相应资质的检测机构的测试，保证数据的准确传输。储能电站运行设备实时信息的数量和精度应满足国家有关规定和电力调度机构的运行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）按照相关运行检修规程对所属储能电站端调度自动化系统及设备进行检修维护，使其满足设计的系统及装置技术要求，并保存完整的</w:t>
      </w:r>
      <w:r>
        <w:rPr>
          <w:rFonts w:ascii="Times New Roman" w:eastAsia="仿宋_GB2312" w:hAnsi="Times New Roman"/>
          <w:kern w:val="28"/>
          <w:sz w:val="30"/>
          <w:szCs w:val="30"/>
        </w:rPr>
        <w:lastRenderedPageBreak/>
        <w:t>调试报告和记录。应按电力调度机构要求配备</w:t>
      </w:r>
      <w:r>
        <w:rPr>
          <w:rFonts w:ascii="Times New Roman" w:eastAsia="仿宋_GB2312" w:hAnsi="Times New Roman"/>
          <w:kern w:val="28"/>
          <w:sz w:val="30"/>
          <w:szCs w:val="30"/>
        </w:rPr>
        <w:t>PMU</w:t>
      </w:r>
      <w:r>
        <w:rPr>
          <w:rFonts w:ascii="Times New Roman" w:eastAsia="仿宋_GB2312" w:hAnsi="Times New Roman"/>
          <w:kern w:val="28"/>
          <w:sz w:val="30"/>
          <w:szCs w:val="30"/>
        </w:rPr>
        <w:t>装置，并接入相关信息，具备上传功能。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）协助甲方调度自动化系统的运行维护工作，配合甲方进行事故调查。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）储能电站并网技术支持系统应能保证储能电站的运行符合并网技术要求；储能电站运行监控系统能够准确接收并执行电力调度机构下发的有功、无功调整及储能单元投切等指令信号。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储能电站运行监控系统能够向甲方自动化系统提供：储能电站有功、无功功率、电量、频率；主变压器有功、无功功率、电量；母线电压；储能单元电池状态；开关、母线、线路的相关信号。储能电站运行监控系统、并网技术支持系统应通过专网方式接入甲方调度自动化系统。</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）储能电站端自动化设施技术要保证与调度端一致。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）及时分析所属调度自动化系统故障原因，采取防范措施。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12.3 </w:t>
      </w:r>
      <w:r>
        <w:rPr>
          <w:rFonts w:ascii="Times New Roman" w:eastAsia="仿宋_GB2312" w:hAnsi="Times New Roman"/>
          <w:kern w:val="28"/>
          <w:sz w:val="30"/>
          <w:szCs w:val="30"/>
        </w:rPr>
        <w:t>双方应遵守电力系统调度规程及调度自动化系统有关规程，运行维护自动化设备，不得随意退出或停用。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12.4 </w:t>
      </w:r>
      <w:r>
        <w:rPr>
          <w:rFonts w:ascii="Times New Roman" w:eastAsia="仿宋_GB2312" w:hAnsi="Times New Roman"/>
          <w:kern w:val="28"/>
          <w:sz w:val="30"/>
          <w:szCs w:val="30"/>
        </w:rPr>
        <w:t>储能电站计算机监控系统、电量采集与传输装置应达到如下主要运行指标：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）子站设备（远动）可用率（月）</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）子站设备（</w:t>
      </w:r>
      <w:r>
        <w:rPr>
          <w:rFonts w:ascii="Times New Roman" w:eastAsia="仿宋_GB2312" w:hAnsi="Times New Roman"/>
          <w:kern w:val="28"/>
          <w:sz w:val="30"/>
          <w:szCs w:val="30"/>
        </w:rPr>
        <w:t>PMU</w:t>
      </w:r>
      <w:r>
        <w:rPr>
          <w:rFonts w:ascii="Times New Roman" w:eastAsia="仿宋_GB2312" w:hAnsi="Times New Roman"/>
          <w:kern w:val="28"/>
          <w:sz w:val="30"/>
          <w:szCs w:val="30"/>
        </w:rPr>
        <w:t>）可用率（月）</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）遥测综合误差</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w:t>
      </w:r>
      <w:r>
        <w:rPr>
          <w:rFonts w:ascii="Times New Roman" w:eastAsia="仿宋_GB2312" w:hAnsi="Times New Roman"/>
          <w:kern w:val="28"/>
          <w:sz w:val="30"/>
          <w:szCs w:val="30"/>
        </w:rPr>
        <w:t>4</w:t>
      </w:r>
      <w:r>
        <w:rPr>
          <w:rFonts w:ascii="Times New Roman" w:eastAsia="仿宋_GB2312" w:hAnsi="Times New Roman"/>
          <w:kern w:val="28"/>
          <w:sz w:val="30"/>
          <w:szCs w:val="30"/>
        </w:rPr>
        <w:t>）遥信正确动作率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w:t>
      </w:r>
      <w:r>
        <w:rPr>
          <w:rFonts w:ascii="Times New Roman" w:eastAsia="仿宋_GB2312" w:hAnsi="Times New Roman"/>
          <w:kern w:val="28"/>
          <w:sz w:val="30"/>
          <w:szCs w:val="30"/>
        </w:rPr>
        <w:t>AGC</w:t>
      </w:r>
      <w:r>
        <w:rPr>
          <w:rFonts w:ascii="Times New Roman" w:eastAsia="仿宋_GB2312" w:hAnsi="Times New Roman"/>
          <w:kern w:val="28"/>
          <w:sz w:val="30"/>
          <w:szCs w:val="30"/>
        </w:rPr>
        <w:t>可投入率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w:t>
      </w:r>
      <w:r>
        <w:rPr>
          <w:rFonts w:ascii="Times New Roman" w:eastAsia="仿宋_GB2312" w:hAnsi="Times New Roman"/>
          <w:kern w:val="28"/>
          <w:sz w:val="30"/>
          <w:szCs w:val="30"/>
        </w:rPr>
        <w:t>AVC</w:t>
      </w:r>
      <w:r>
        <w:rPr>
          <w:rFonts w:ascii="Times New Roman" w:eastAsia="仿宋_GB2312" w:hAnsi="Times New Roman"/>
          <w:kern w:val="28"/>
          <w:sz w:val="30"/>
          <w:szCs w:val="30"/>
        </w:rPr>
        <w:t>可投入率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）遥测变位至主站时间</w:t>
      </w:r>
      <w:r>
        <w:rPr>
          <w:rFonts w:ascii="仿宋_GB2312" w:eastAsia="仿宋_GB2312" w:hAnsi="仿宋_GB2312" w:cs="仿宋_GB2312"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）遥信变位至主站时间</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秒。</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12.5 </w:t>
      </w:r>
      <w:r>
        <w:rPr>
          <w:rFonts w:ascii="Times New Roman" w:eastAsia="仿宋_GB2312" w:hAnsi="Times New Roman"/>
          <w:kern w:val="28"/>
          <w:sz w:val="30"/>
          <w:szCs w:val="30"/>
        </w:rPr>
        <w:t>双方应分别指定人员负责所属调度自动化系统的运行维护工作，确保调度自动化系统的正常运行。</w:t>
      </w:r>
    </w:p>
    <w:p w:rsidR="00000000" w:rsidRDefault="00000000">
      <w:pPr>
        <w:pStyle w:val="d3"/>
        <w:rPr>
          <w:rFonts w:hint="eastAsia"/>
        </w:rPr>
      </w:pPr>
      <w:bookmarkStart w:id="11" w:name="_Toc350634482"/>
      <w:r>
        <w:br w:type="page"/>
      </w:r>
      <w:r>
        <w:rPr>
          <w:rFonts w:hint="eastAsia"/>
        </w:rPr>
        <w:lastRenderedPageBreak/>
        <w:t>第</w:t>
      </w:r>
      <w:r>
        <w:rPr>
          <w:rFonts w:hint="eastAsia"/>
          <w:b/>
        </w:rPr>
        <w:t>13</w:t>
      </w:r>
      <w:r>
        <w:rPr>
          <w:rFonts w:hint="eastAsia"/>
        </w:rPr>
        <w:t>章</w:t>
      </w:r>
      <w:r>
        <w:rPr>
          <w:rFonts w:hint="eastAsia"/>
        </w:rPr>
        <w:t xml:space="preserve">  </w:t>
      </w:r>
      <w:r>
        <w:rPr>
          <w:rFonts w:hint="eastAsia"/>
        </w:rPr>
        <w:t>调度通信</w:t>
      </w:r>
      <w:bookmarkEnd w:id="11"/>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13.1 </w:t>
      </w:r>
      <w:r>
        <w:rPr>
          <w:rFonts w:ascii="Times New Roman" w:eastAsia="仿宋_GB2312" w:hAnsi="Times New Roman"/>
          <w:kern w:val="28"/>
          <w:sz w:val="30"/>
          <w:szCs w:val="30"/>
        </w:rPr>
        <w:t>甲方应严格遵守有关调度通信系统的设计、运行和管理规程、规范，负责调度端通信系统的运行维护，并符合以下要求：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）监督调度通信系统的可靠运行，负责调度通信系统运行情况的监测和调度指挥，协调运行中出现的重大问题。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）负责调度端通信设备及</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通信线路的运行维护，并保证其可靠运行。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）负责调度通信系统方式和检修管理，受理并批复乙方通信设备检修和通信方式申请。</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）及时分析调度通信系统故障原因，采取防范措施。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）指导、协助乙方调度通信系统的运行维护工作，配合乙方进行事故调查。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13.2 </w:t>
      </w:r>
      <w:r>
        <w:rPr>
          <w:rFonts w:ascii="Times New Roman" w:eastAsia="仿宋_GB2312" w:hAnsi="Times New Roman"/>
          <w:kern w:val="28"/>
          <w:sz w:val="30"/>
          <w:szCs w:val="30"/>
        </w:rPr>
        <w:t>乙方应严格遵守有关调度通信系统的设计、运行和管理规程、规范，负责储能电站端调度通信系统的运行维护，并符合以下要求：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）负责储能电站端调度通信系统的运行维护，并保证其可靠运行。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）储能电站端通信系统发生故障时应及时向调度报告，并分析故障原因，采取防范措施。</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）协助甲方调度通信系统的运行维护工作，配合甲方进行事故调查。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）接收并执行甲方批复的涉网通信设备检修和通信方式。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lastRenderedPageBreak/>
        <w:t xml:space="preserve">13.3 </w:t>
      </w:r>
      <w:r>
        <w:rPr>
          <w:rFonts w:ascii="Times New Roman" w:eastAsia="仿宋_GB2312" w:hAnsi="Times New Roman"/>
          <w:kern w:val="28"/>
          <w:sz w:val="30"/>
          <w:szCs w:val="30"/>
        </w:rPr>
        <w:t>乙方与甲方电力通信网互联的通信设备选型和配置应协调一致，并征得甲方的认可。</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13.4 </w:t>
      </w:r>
      <w:r>
        <w:rPr>
          <w:rFonts w:ascii="Times New Roman" w:eastAsia="仿宋_GB2312" w:hAnsi="Times New Roman"/>
          <w:kern w:val="28"/>
          <w:sz w:val="30"/>
          <w:szCs w:val="30"/>
        </w:rPr>
        <w:t>双方应有备用通信系统，确保电网或储能电站出现紧急情况时的通信联络。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13.5 </w:t>
      </w:r>
      <w:r>
        <w:rPr>
          <w:rFonts w:ascii="Times New Roman" w:eastAsia="仿宋_GB2312" w:hAnsi="Times New Roman"/>
          <w:kern w:val="28"/>
          <w:sz w:val="30"/>
          <w:szCs w:val="30"/>
        </w:rPr>
        <w:t>乙方的调度通信系统应达到如下主要运行指标：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）通信电路运行率</w:t>
      </w:r>
      <w:r>
        <w:rPr>
          <w:rFonts w:ascii="Times New Roman" w:eastAsia="仿宋_GB2312" w:hAnsi="Times New Roman"/>
          <w:sz w:val="30"/>
          <w:szCs w:val="30"/>
          <w:vertAlign w:val="superscript"/>
        </w:rPr>
        <w:footnoteReference w:id="14"/>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）设备运行率</w:t>
      </w:r>
      <w:r>
        <w:rPr>
          <w:rFonts w:ascii="Times New Roman" w:eastAsia="仿宋_GB2312" w:hAnsi="Times New Roman"/>
          <w:sz w:val="30"/>
          <w:szCs w:val="30"/>
          <w:vertAlign w:val="superscript"/>
        </w:rPr>
        <w:footnoteReference w:id="15"/>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其中：</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1</w:t>
      </w:r>
      <w:r>
        <w:rPr>
          <w:rFonts w:ascii="Times New Roman" w:eastAsia="仿宋_GB2312" w:hAnsi="Times New Roman"/>
          <w:kern w:val="28"/>
          <w:sz w:val="30"/>
          <w:szCs w:val="30"/>
        </w:rPr>
        <w:t>）微波设备运行率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2</w:t>
      </w:r>
      <w:r>
        <w:rPr>
          <w:rFonts w:ascii="Times New Roman" w:eastAsia="仿宋_GB2312" w:hAnsi="Times New Roman"/>
          <w:kern w:val="28"/>
          <w:sz w:val="30"/>
          <w:szCs w:val="30"/>
        </w:rPr>
        <w:t>）光通信设备运行率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3</w:t>
      </w:r>
      <w:r>
        <w:rPr>
          <w:rFonts w:ascii="Times New Roman" w:eastAsia="仿宋_GB2312" w:hAnsi="Times New Roman"/>
          <w:kern w:val="28"/>
          <w:sz w:val="30"/>
          <w:szCs w:val="30"/>
        </w:rPr>
        <w:t>）调度交换设备运行率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）保护、安控、自动化及调度电话业务保障率</w:t>
      </w:r>
      <w:r>
        <w:rPr>
          <w:rFonts w:ascii="Times New Roman" w:eastAsia="仿宋_GB2312" w:hAnsi="Times New Roman"/>
          <w:kern w:val="28"/>
          <w:sz w:val="30"/>
          <w:szCs w:val="30"/>
        </w:rPr>
        <w:t xml:space="preserve"> </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）双方约定的其他运行指标：</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13.6 </w:t>
      </w:r>
      <w:r>
        <w:rPr>
          <w:rFonts w:ascii="Times New Roman" w:eastAsia="仿宋_GB2312" w:hAnsi="Times New Roman"/>
          <w:kern w:val="28"/>
          <w:sz w:val="30"/>
          <w:szCs w:val="30"/>
        </w:rPr>
        <w:t>双方应分别指定人员负责所属调度通信系统的运行维护工作，及时进行设备的更新、改造，确保调度通信系统的正常运行。</w:t>
      </w:r>
    </w:p>
    <w:p w:rsidR="00000000" w:rsidRDefault="00000000">
      <w:pPr>
        <w:pStyle w:val="d3"/>
        <w:rPr>
          <w:rFonts w:hint="eastAsia"/>
        </w:rPr>
      </w:pPr>
      <w:bookmarkStart w:id="12" w:name="_Toc350634483"/>
      <w:r>
        <w:br w:type="page"/>
      </w:r>
      <w:r>
        <w:rPr>
          <w:rFonts w:hint="eastAsia"/>
        </w:rPr>
        <w:lastRenderedPageBreak/>
        <w:t>第</w:t>
      </w:r>
      <w:r>
        <w:rPr>
          <w:rFonts w:hint="eastAsia"/>
          <w:b/>
        </w:rPr>
        <w:t>14</w:t>
      </w:r>
      <w:r>
        <w:rPr>
          <w:rFonts w:hint="eastAsia"/>
        </w:rPr>
        <w:t>章</w:t>
      </w:r>
      <w:r>
        <w:rPr>
          <w:rFonts w:hint="eastAsia"/>
        </w:rPr>
        <w:t xml:space="preserve">  </w:t>
      </w:r>
      <w:r>
        <w:rPr>
          <w:rFonts w:hint="eastAsia"/>
        </w:rPr>
        <w:t>电力监控系统安全防护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 </w:t>
      </w:r>
      <w:r>
        <w:rPr>
          <w:rFonts w:ascii="Times New Roman" w:eastAsia="仿宋_GB2312" w:hAnsi="Times New Roman"/>
          <w:kern w:val="28"/>
          <w:sz w:val="30"/>
          <w:szCs w:val="30"/>
        </w:rPr>
        <w:t>甲方与乙方均应遵守《中华人民共和国网络安全法》《中华人民共和国计算机信息系统安全保护条例》（国务院令第</w:t>
      </w:r>
      <w:r>
        <w:rPr>
          <w:rFonts w:ascii="Times New Roman" w:eastAsia="仿宋_GB2312" w:hAnsi="Times New Roman"/>
          <w:kern w:val="28"/>
          <w:sz w:val="30"/>
          <w:szCs w:val="30"/>
        </w:rPr>
        <w:t>588</w:t>
      </w:r>
      <w:r>
        <w:rPr>
          <w:rFonts w:ascii="Times New Roman" w:eastAsia="仿宋_GB2312" w:hAnsi="Times New Roman"/>
          <w:kern w:val="28"/>
          <w:sz w:val="30"/>
          <w:szCs w:val="30"/>
        </w:rPr>
        <w:t>号）、《信息安全技术网络安全等级保护基本要求》（</w:t>
      </w:r>
      <w:r>
        <w:rPr>
          <w:rFonts w:ascii="Times New Roman" w:eastAsia="仿宋_GB2312" w:hAnsi="Times New Roman"/>
          <w:kern w:val="28"/>
          <w:sz w:val="30"/>
          <w:szCs w:val="30"/>
        </w:rPr>
        <w:t>GB/T 22239</w:t>
      </w:r>
      <w:r>
        <w:rPr>
          <w:rFonts w:ascii="Times New Roman" w:eastAsia="仿宋_GB2312" w:hAnsi="Times New Roman"/>
          <w:kern w:val="28"/>
          <w:sz w:val="30"/>
          <w:szCs w:val="30"/>
        </w:rPr>
        <w:t>）、《信息安全技术网络安全等级保护测评要求》（</w:t>
      </w:r>
      <w:r>
        <w:rPr>
          <w:rFonts w:ascii="Times New Roman" w:eastAsia="仿宋_GB2312" w:hAnsi="Times New Roman"/>
          <w:kern w:val="28"/>
          <w:sz w:val="30"/>
          <w:szCs w:val="30"/>
        </w:rPr>
        <w:t>GB/T 28448</w:t>
      </w:r>
      <w:r>
        <w:rPr>
          <w:rFonts w:ascii="Times New Roman" w:eastAsia="仿宋_GB2312" w:hAnsi="Times New Roman"/>
          <w:kern w:val="28"/>
          <w:sz w:val="30"/>
          <w:szCs w:val="30"/>
        </w:rPr>
        <w:t>）、《电力监控系统安全防护规定》（国家发展和改革委员会〔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〕第</w:t>
      </w:r>
      <w:r>
        <w:rPr>
          <w:rFonts w:ascii="Times New Roman" w:eastAsia="仿宋_GB2312" w:hAnsi="Times New Roman"/>
          <w:kern w:val="28"/>
          <w:sz w:val="30"/>
          <w:szCs w:val="30"/>
        </w:rPr>
        <w:t>14</w:t>
      </w:r>
      <w:r>
        <w:rPr>
          <w:rFonts w:ascii="Times New Roman" w:eastAsia="仿宋_GB2312" w:hAnsi="Times New Roman"/>
          <w:kern w:val="28"/>
          <w:sz w:val="30"/>
          <w:szCs w:val="30"/>
        </w:rPr>
        <w:t>号令）、《国家能源局关于印发电力监控系统安全防护总体方案等安全防护方案和评估规范的通知》（国能安全〔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号）、《关于开展信息安全等级保护安全建设整改工作的指导意见》（公信安〔</w:t>
      </w:r>
      <w:r>
        <w:rPr>
          <w:rFonts w:ascii="Times New Roman" w:eastAsia="仿宋_GB2312" w:hAnsi="Times New Roman"/>
          <w:kern w:val="28"/>
          <w:sz w:val="30"/>
          <w:szCs w:val="30"/>
        </w:rPr>
        <w:t>2009</w:t>
      </w:r>
      <w:r>
        <w:rPr>
          <w:rFonts w:ascii="Times New Roman" w:eastAsia="仿宋_GB2312" w:hAnsi="Times New Roman"/>
          <w:kern w:val="28"/>
          <w:sz w:val="30"/>
          <w:szCs w:val="30"/>
        </w:rPr>
        <w:t>〕</w:t>
      </w:r>
      <w:r>
        <w:rPr>
          <w:rFonts w:ascii="Times New Roman" w:eastAsia="仿宋_GB2312" w:hAnsi="Times New Roman"/>
          <w:kern w:val="28"/>
          <w:sz w:val="30"/>
          <w:szCs w:val="30"/>
        </w:rPr>
        <w:t>1429</w:t>
      </w:r>
      <w:r>
        <w:rPr>
          <w:rFonts w:ascii="Times New Roman" w:eastAsia="仿宋_GB2312" w:hAnsi="Times New Roman"/>
          <w:kern w:val="28"/>
          <w:sz w:val="30"/>
          <w:szCs w:val="30"/>
        </w:rPr>
        <w:t>号）等国家有关法律法规及标准要求，防范黑客及恶意代码等的攻击及侵害，保障电力监控系统的安全。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14.1.1 </w:t>
      </w:r>
      <w:r>
        <w:rPr>
          <w:rFonts w:ascii="Times New Roman" w:eastAsia="仿宋_GB2312" w:hAnsi="Times New Roman"/>
          <w:kern w:val="28"/>
          <w:sz w:val="30"/>
          <w:szCs w:val="30"/>
        </w:rPr>
        <w:t>甲乙双方计算机监控系统、安装在储能电站的考核系统及报警系统、储能电站接入调度自动化系统及设备符合《电力监控系统安全防护规定》（国家发展和改革委员会〔</w:t>
      </w:r>
      <w:r>
        <w:rPr>
          <w:rFonts w:ascii="Times New Roman" w:eastAsia="仿宋_GB2312" w:hAnsi="Times New Roman"/>
          <w:kern w:val="28"/>
          <w:sz w:val="30"/>
          <w:szCs w:val="30"/>
        </w:rPr>
        <w:t>2014</w:t>
      </w:r>
      <w:r>
        <w:rPr>
          <w:rFonts w:ascii="Times New Roman" w:eastAsia="仿宋_GB2312" w:hAnsi="Times New Roman"/>
          <w:kern w:val="28"/>
          <w:sz w:val="30"/>
          <w:szCs w:val="30"/>
        </w:rPr>
        <w:t>〕</w:t>
      </w:r>
      <w:r>
        <w:rPr>
          <w:rFonts w:ascii="Times New Roman" w:eastAsia="仿宋_GB2312" w:hAnsi="Times New Roman"/>
          <w:kern w:val="28"/>
          <w:sz w:val="30"/>
          <w:szCs w:val="30"/>
        </w:rPr>
        <w:t>14</w:t>
      </w:r>
      <w:r>
        <w:rPr>
          <w:rFonts w:ascii="Times New Roman" w:eastAsia="仿宋_GB2312" w:hAnsi="Times New Roman"/>
          <w:kern w:val="28"/>
          <w:sz w:val="30"/>
          <w:szCs w:val="30"/>
        </w:rPr>
        <w:t>号令）、《电力监控系统安全防护总体方案》（国能安全〔</w:t>
      </w:r>
      <w:r>
        <w:rPr>
          <w:rFonts w:ascii="Times New Roman" w:eastAsia="仿宋_GB2312" w:hAnsi="Times New Roman"/>
          <w:kern w:val="28"/>
          <w:sz w:val="30"/>
          <w:szCs w:val="30"/>
        </w:rPr>
        <w:t>2015</w:t>
      </w:r>
      <w:r>
        <w:rPr>
          <w:rFonts w:ascii="Times New Roman" w:eastAsia="仿宋_GB2312" w:hAnsi="Times New Roman"/>
          <w:kern w:val="28"/>
          <w:sz w:val="30"/>
          <w:szCs w:val="30"/>
        </w:rPr>
        <w:t>〕</w:t>
      </w:r>
      <w:r>
        <w:rPr>
          <w:rFonts w:ascii="Times New Roman" w:eastAsia="仿宋_GB2312" w:hAnsi="Times New Roman"/>
          <w:kern w:val="28"/>
          <w:sz w:val="30"/>
          <w:szCs w:val="30"/>
        </w:rPr>
        <w:t>36</w:t>
      </w:r>
      <w:r>
        <w:rPr>
          <w:rFonts w:ascii="Times New Roman" w:eastAsia="仿宋_GB2312" w:hAnsi="Times New Roman"/>
          <w:kern w:val="28"/>
          <w:sz w:val="30"/>
          <w:szCs w:val="30"/>
        </w:rPr>
        <w:t>号）的要求及有关规定。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14.1.2 </w:t>
      </w:r>
      <w:r>
        <w:rPr>
          <w:rFonts w:ascii="Times New Roman" w:eastAsia="仿宋_GB2312" w:hAnsi="Times New Roman"/>
          <w:kern w:val="28"/>
          <w:sz w:val="30"/>
          <w:szCs w:val="30"/>
        </w:rPr>
        <w:t>遵循</w:t>
      </w:r>
      <w:r>
        <w:rPr>
          <w:rFonts w:ascii="Times New Roman" w:eastAsia="仿宋_GB2312" w:hAnsi="Times New Roman"/>
          <w:kern w:val="28"/>
          <w:sz w:val="30"/>
          <w:szCs w:val="30"/>
        </w:rPr>
        <w:t>“</w:t>
      </w:r>
      <w:r>
        <w:rPr>
          <w:rFonts w:ascii="Times New Roman" w:eastAsia="仿宋_GB2312" w:hAnsi="Times New Roman"/>
          <w:kern w:val="28"/>
          <w:sz w:val="30"/>
          <w:szCs w:val="30"/>
        </w:rPr>
        <w:t>安全分区、网络专用、横向隔离、纵向认证</w:t>
      </w:r>
      <w:r>
        <w:rPr>
          <w:rFonts w:ascii="Times New Roman" w:eastAsia="仿宋_GB2312" w:hAnsi="Times New Roman"/>
          <w:kern w:val="28"/>
          <w:sz w:val="30"/>
          <w:szCs w:val="30"/>
        </w:rPr>
        <w:t>”</w:t>
      </w:r>
      <w:r>
        <w:rPr>
          <w:rFonts w:ascii="Times New Roman" w:eastAsia="仿宋_GB2312" w:hAnsi="Times New Roman"/>
          <w:kern w:val="28"/>
          <w:sz w:val="30"/>
          <w:szCs w:val="30"/>
        </w:rPr>
        <w:t>的基本原则，建设电力监控系统及其安全防护体系，划分生产控制大区和管理信息大区，生产控制大区使用在物理层面上与外部网络实现物理隔离的电力调度数据网络，部署横、纵向专用安全防护设备，实现网络边界的有效防护。</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14.1.3 </w:t>
      </w:r>
      <w:r>
        <w:rPr>
          <w:rFonts w:ascii="Times New Roman" w:eastAsia="仿宋_GB2312" w:hAnsi="Times New Roman"/>
          <w:kern w:val="28"/>
          <w:sz w:val="30"/>
          <w:szCs w:val="30"/>
        </w:rPr>
        <w:t>生产控制大区中除安全接入区外，禁止使用具有无线通信功</w:t>
      </w:r>
      <w:r>
        <w:rPr>
          <w:rFonts w:ascii="Times New Roman" w:eastAsia="仿宋_GB2312" w:hAnsi="Times New Roman"/>
          <w:kern w:val="28"/>
          <w:sz w:val="30"/>
          <w:szCs w:val="30"/>
        </w:rPr>
        <w:lastRenderedPageBreak/>
        <w:t>能的设备，生产控制大区中的系统及设备应与调度数据网之外的电力企业其它数据网、外部公用数据网实现物理隔离。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14.1.4 </w:t>
      </w:r>
      <w:r>
        <w:rPr>
          <w:rFonts w:ascii="Times New Roman" w:eastAsia="仿宋_GB2312" w:hAnsi="Times New Roman"/>
          <w:kern w:val="28"/>
          <w:sz w:val="30"/>
          <w:szCs w:val="30"/>
        </w:rPr>
        <w:t>生产控制大区的各业务系统和设备禁止以下接口和功能（包括但不限于）：与互联网连接、远方运维、</w:t>
      </w:r>
      <w:r>
        <w:rPr>
          <w:rFonts w:ascii="Times New Roman" w:eastAsia="仿宋_GB2312" w:hAnsi="Times New Roman"/>
          <w:kern w:val="28"/>
          <w:sz w:val="30"/>
          <w:szCs w:val="30"/>
        </w:rPr>
        <w:t>E-mail</w:t>
      </w:r>
      <w:r>
        <w:rPr>
          <w:rFonts w:ascii="Times New Roman" w:eastAsia="仿宋_GB2312" w:hAnsi="Times New Roman"/>
          <w:kern w:val="28"/>
          <w:sz w:val="30"/>
          <w:szCs w:val="30"/>
        </w:rPr>
        <w:t>和通用</w:t>
      </w:r>
      <w:r>
        <w:rPr>
          <w:rFonts w:ascii="Times New Roman" w:eastAsia="仿宋_GB2312" w:hAnsi="Times New Roman"/>
          <w:kern w:val="28"/>
          <w:sz w:val="30"/>
          <w:szCs w:val="30"/>
        </w:rPr>
        <w:t>WEB</w:t>
      </w:r>
      <w:r>
        <w:rPr>
          <w:rFonts w:ascii="Times New Roman" w:eastAsia="仿宋_GB2312" w:hAnsi="Times New Roman"/>
          <w:kern w:val="28"/>
          <w:sz w:val="30"/>
          <w:szCs w:val="30"/>
        </w:rPr>
        <w:t>服务等公共服务接口等。关闭或拆除主机的软盘驱动、光盘驱动、</w:t>
      </w:r>
      <w:r>
        <w:rPr>
          <w:rFonts w:ascii="Times New Roman" w:eastAsia="仿宋_GB2312" w:hAnsi="Times New Roman"/>
          <w:kern w:val="28"/>
          <w:sz w:val="30"/>
          <w:szCs w:val="30"/>
        </w:rPr>
        <w:t>USB</w:t>
      </w:r>
      <w:r>
        <w:rPr>
          <w:rFonts w:ascii="Times New Roman" w:eastAsia="仿宋_GB2312" w:hAnsi="Times New Roman"/>
          <w:kern w:val="28"/>
          <w:sz w:val="30"/>
          <w:szCs w:val="30"/>
        </w:rPr>
        <w:t>接口、串行口、无线、蓝牙等，严格控制移动介质和便携式计算机的接入（确需保留的，必须采取国家规定的安全措施并通过技术手段实施严格监控并对相关接口进行物理封堵）。各区域安全边界应采取必要的安全防护措施，禁止任何穿越生产控制大区和管理信息大区之间的通用网络服务（如</w:t>
      </w:r>
      <w:r>
        <w:rPr>
          <w:rFonts w:ascii="Times New Roman" w:eastAsia="仿宋_GB2312" w:hAnsi="Times New Roman"/>
          <w:kern w:val="28"/>
          <w:sz w:val="30"/>
          <w:szCs w:val="30"/>
        </w:rPr>
        <w:t>FTP</w:t>
      </w:r>
      <w:r>
        <w:rPr>
          <w:rFonts w:ascii="Times New Roman" w:eastAsia="仿宋_GB2312" w:hAnsi="Times New Roman"/>
          <w:kern w:val="28"/>
          <w:sz w:val="30"/>
          <w:szCs w:val="30"/>
        </w:rPr>
        <w:t>、</w:t>
      </w:r>
      <w:r>
        <w:rPr>
          <w:rFonts w:ascii="Times New Roman" w:eastAsia="仿宋_GB2312" w:hAnsi="Times New Roman"/>
          <w:kern w:val="28"/>
          <w:sz w:val="30"/>
          <w:szCs w:val="30"/>
        </w:rPr>
        <w:t>HTTP</w:t>
      </w:r>
      <w:r>
        <w:rPr>
          <w:rFonts w:ascii="Times New Roman" w:eastAsia="仿宋_GB2312" w:hAnsi="Times New Roman"/>
          <w:kern w:val="28"/>
          <w:sz w:val="30"/>
          <w:szCs w:val="30"/>
        </w:rPr>
        <w:t>、</w:t>
      </w:r>
      <w:r>
        <w:rPr>
          <w:rFonts w:ascii="Times New Roman" w:eastAsia="仿宋_GB2312" w:hAnsi="Times New Roman"/>
          <w:kern w:val="28"/>
          <w:sz w:val="30"/>
          <w:szCs w:val="30"/>
        </w:rPr>
        <w:t>TELNET</w:t>
      </w:r>
      <w:r>
        <w:rPr>
          <w:rFonts w:ascii="Times New Roman" w:eastAsia="仿宋_GB2312" w:hAnsi="Times New Roman"/>
          <w:kern w:val="28"/>
          <w:sz w:val="30"/>
          <w:szCs w:val="30"/>
        </w:rPr>
        <w:t>、</w:t>
      </w:r>
      <w:r>
        <w:rPr>
          <w:rFonts w:ascii="Times New Roman" w:eastAsia="仿宋_GB2312" w:hAnsi="Times New Roman"/>
          <w:kern w:val="28"/>
          <w:sz w:val="30"/>
          <w:szCs w:val="30"/>
        </w:rPr>
        <w:t>MAIL</w:t>
      </w:r>
      <w:r>
        <w:rPr>
          <w:rFonts w:ascii="Times New Roman" w:eastAsia="仿宋_GB2312" w:hAnsi="Times New Roman"/>
          <w:kern w:val="28"/>
          <w:sz w:val="30"/>
          <w:szCs w:val="30"/>
        </w:rPr>
        <w:t>、</w:t>
      </w:r>
      <w:r>
        <w:rPr>
          <w:rFonts w:ascii="Times New Roman" w:eastAsia="仿宋_GB2312" w:hAnsi="Times New Roman"/>
          <w:kern w:val="28"/>
          <w:sz w:val="30"/>
          <w:szCs w:val="30"/>
        </w:rPr>
        <w:t>SNMP</w:t>
      </w:r>
      <w:r>
        <w:rPr>
          <w:rFonts w:ascii="Times New Roman" w:eastAsia="仿宋_GB2312" w:hAnsi="Times New Roman"/>
          <w:kern w:val="28"/>
          <w:sz w:val="30"/>
          <w:szCs w:val="30"/>
        </w:rPr>
        <w:t>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14.1.5 </w:t>
      </w:r>
      <w:r>
        <w:rPr>
          <w:rFonts w:ascii="Times New Roman" w:eastAsia="仿宋_GB2312" w:hAnsi="Times New Roman"/>
          <w:kern w:val="28"/>
          <w:sz w:val="30"/>
          <w:szCs w:val="30"/>
        </w:rPr>
        <w:t>建立健全电力监控系统安全防护管理制度，将电力监控系统安全防护及其信息报送纳入日常安全生产管理体系，实现设备、人员、业务的全方位管理。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14.1.6 </w:t>
      </w:r>
      <w:r>
        <w:rPr>
          <w:rFonts w:ascii="Times New Roman" w:eastAsia="仿宋_GB2312" w:hAnsi="Times New Roman"/>
          <w:kern w:val="28"/>
          <w:sz w:val="30"/>
          <w:szCs w:val="30"/>
        </w:rPr>
        <w:t>按照国家有关规定和标准的要求，对电力监控系统进行等级保护定级备案，定期开展等级保护测评工作，建立健全电力监控系统安全防护评估制度，电力监控系统安全防护评估应纳入电力系统安全评价体系。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14.1.7 </w:t>
      </w:r>
      <w:r>
        <w:rPr>
          <w:rFonts w:ascii="Times New Roman" w:eastAsia="仿宋_GB2312" w:hAnsi="Times New Roman"/>
          <w:kern w:val="28"/>
          <w:sz w:val="30"/>
          <w:szCs w:val="30"/>
        </w:rPr>
        <w:t>指定人员负责所属电力监控系统安全防护设备的运行维护工作，加强运维人员培训和管理，确保安全防护体系的正常运行。严格限制生产控制大区拨号访问和远程运维。</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 </w:t>
      </w:r>
      <w:r>
        <w:rPr>
          <w:rFonts w:ascii="Times New Roman" w:eastAsia="仿宋_GB2312" w:hAnsi="Times New Roman"/>
          <w:kern w:val="28"/>
          <w:sz w:val="30"/>
          <w:szCs w:val="30"/>
        </w:rPr>
        <w:t>甲方应按照国家有关规定和标准的要求，做好电网侧电力</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监控系统安全防护工作，统一指挥调度范围内的电力监控系统安全应急处理，负责乙方涉网部分的电力监控系统安全防护的技术监督。</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14.2.2 </w:t>
      </w:r>
      <w:r>
        <w:rPr>
          <w:rFonts w:ascii="Times New Roman" w:eastAsia="仿宋_GB2312" w:hAnsi="Times New Roman"/>
          <w:kern w:val="28"/>
          <w:sz w:val="30"/>
          <w:szCs w:val="30"/>
        </w:rPr>
        <w:t>建立健全电力监控系统安全防护和应急机制，建设电力监控系统网络安全管理平台，制定应急预案并定期开展演练，统一指挥调度范围内的电力监控系统的安全应急处理。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14.2.3 </w:t>
      </w:r>
      <w:r>
        <w:rPr>
          <w:rFonts w:ascii="Times New Roman" w:eastAsia="仿宋_GB2312" w:hAnsi="Times New Roman"/>
          <w:kern w:val="28"/>
          <w:sz w:val="30"/>
          <w:szCs w:val="30"/>
        </w:rPr>
        <w:t>对乙方涉网部分的电力监控系统安全防护实施技术监督，审核乙方的安全防护方案和风险评估报告，并参加安全防护体系建设的验收工作。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14.2.4 </w:t>
      </w:r>
      <w:r>
        <w:rPr>
          <w:rFonts w:ascii="Times New Roman" w:eastAsia="仿宋_GB2312" w:hAnsi="Times New Roman"/>
          <w:kern w:val="28"/>
          <w:sz w:val="30"/>
          <w:szCs w:val="30"/>
        </w:rPr>
        <w:t>配合乙方开展储能电站侧电力监控系统安全防护事件的调查。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 </w:t>
      </w:r>
      <w:r>
        <w:rPr>
          <w:rFonts w:ascii="Times New Roman" w:eastAsia="仿宋_GB2312" w:hAnsi="Times New Roman"/>
          <w:kern w:val="28"/>
          <w:sz w:val="30"/>
          <w:szCs w:val="30"/>
        </w:rPr>
        <w:t>乙方应按照国家有关规定和标准的要求，做好电站侧电力监控系统安全防护设备的建设、运维和管理。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14.3.1 </w:t>
      </w:r>
      <w:r>
        <w:rPr>
          <w:rFonts w:ascii="Times New Roman" w:eastAsia="仿宋_GB2312" w:hAnsi="Times New Roman"/>
          <w:kern w:val="28"/>
          <w:sz w:val="30"/>
          <w:szCs w:val="30"/>
        </w:rPr>
        <w:t>强化电力监控系统内部物理、主机、应用和数据安全，加强安全管理制度、机构、人员、系统建设、系统运维的管理，提高系统整体安全防护能力。</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14.3.2 </w:t>
      </w:r>
      <w:r>
        <w:rPr>
          <w:rFonts w:ascii="Times New Roman" w:eastAsia="仿宋_GB2312" w:hAnsi="Times New Roman"/>
          <w:kern w:val="28"/>
          <w:sz w:val="30"/>
          <w:szCs w:val="30"/>
        </w:rPr>
        <w:t>建立健全电力监控系统安全防护和应急机制，编制应急预案并定期开展演练，接受甲方对电力监控系统安全应急处理的指挥。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14.3.3 </w:t>
      </w:r>
      <w:r>
        <w:rPr>
          <w:rFonts w:ascii="Times New Roman" w:eastAsia="仿宋_GB2312" w:hAnsi="Times New Roman"/>
          <w:kern w:val="28"/>
          <w:sz w:val="30"/>
          <w:szCs w:val="30"/>
        </w:rPr>
        <w:t>杜绝使用经国家相关管理部门检测认定的存在漏洞和风险的系统及设备。生产控制大区各业务系统应使用符合安全要求的、自主可控的硬件设备、安全操作系统及应用软件。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14.3.4 </w:t>
      </w:r>
      <w:r>
        <w:rPr>
          <w:rFonts w:ascii="Times New Roman" w:eastAsia="仿宋_GB2312" w:hAnsi="Times New Roman"/>
          <w:kern w:val="28"/>
          <w:sz w:val="30"/>
          <w:szCs w:val="30"/>
        </w:rPr>
        <w:t>杜绝与电力调度机构互联的设备和应用系统连接公共网络。接入电力调度数据网络的设备和应用系统其接入方案和安全防护措施应经过甲方同意。</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14.3.5 </w:t>
      </w:r>
      <w:r>
        <w:rPr>
          <w:rFonts w:ascii="Times New Roman" w:eastAsia="仿宋_GB2312" w:hAnsi="Times New Roman"/>
          <w:kern w:val="28"/>
          <w:sz w:val="30"/>
          <w:szCs w:val="30"/>
        </w:rPr>
        <w:t>配合甲方开展相关电力监控系统安全防护事件的调查。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14.4 </w:t>
      </w:r>
      <w:r>
        <w:rPr>
          <w:rFonts w:ascii="Times New Roman" w:eastAsia="仿宋_GB2312" w:hAnsi="Times New Roman"/>
          <w:kern w:val="28"/>
          <w:sz w:val="30"/>
          <w:szCs w:val="30"/>
        </w:rPr>
        <w:t>乙方应按照国家相关要求，落实电力监控系统网络安全实时监测手段建设，在本地实现对生产控制大区服务器、工作站、网络设备及安防设备网络安全事件的实时采集、监视、告警、审计和核查功能，并将相关信息接入甲方网络安全管理平台。</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14.5 </w:t>
      </w:r>
      <w:r>
        <w:rPr>
          <w:rFonts w:ascii="Times New Roman" w:eastAsia="仿宋_GB2312" w:hAnsi="Times New Roman"/>
          <w:kern w:val="28"/>
          <w:sz w:val="30"/>
          <w:szCs w:val="30"/>
        </w:rPr>
        <w:t>乙方应按照国家有关规定要求接受甲方的技术监督，编制</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本单位安全防护方案（含改造方案）并报甲方审核，根据甲方的审核意见开展储能电站侧安全防护体系建设，并通过甲方参加的现场验收。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14.6 </w:t>
      </w:r>
      <w:r>
        <w:rPr>
          <w:rFonts w:ascii="Times New Roman" w:eastAsia="仿宋_GB2312" w:hAnsi="Times New Roman"/>
          <w:kern w:val="28"/>
          <w:sz w:val="30"/>
          <w:szCs w:val="30"/>
        </w:rPr>
        <w:t>当储能电站侧电力监控系统出现异常或者故障时，乙方应立即向甲方的电力调度机构和当地能源监管机构报告，并按照应急预案及时采取安全紧急措施，防止事态扩大。</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14.7 </w:t>
      </w:r>
      <w:r>
        <w:rPr>
          <w:rFonts w:ascii="Times New Roman" w:eastAsia="仿宋_GB2312" w:hAnsi="Times New Roman"/>
          <w:kern w:val="28"/>
          <w:sz w:val="30"/>
          <w:szCs w:val="30"/>
        </w:rPr>
        <w:t>储能电站侧电力监控系统安全防护设备应达到如下主要运行指标：</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）不发生影响电网安全稳定运行的信息安全事件；</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）安全防护等设备在线率</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）纵向密通水平</w:t>
      </w:r>
      <w:r>
        <w:rPr>
          <w:rFonts w:ascii="Times New Roman" w:eastAsia="仿宋_GB2312" w:hAnsi="Times New Roman" w:hint="eastAsia"/>
          <w:kern w:val="28"/>
          <w:sz w:val="30"/>
          <w:szCs w:val="30"/>
        </w:rPr>
        <w:t>≥</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2"/>
        </w:rPr>
      </w:pPr>
      <w:r>
        <w:rPr>
          <w:rFonts w:ascii="Times New Roman" w:eastAsia="仿宋_GB2312" w:hAnsi="Times New Roman"/>
          <w:kern w:val="28"/>
          <w:sz w:val="30"/>
          <w:szCs w:val="30"/>
        </w:rPr>
        <w:t xml:space="preserve">14.8 </w:t>
      </w:r>
      <w:r>
        <w:rPr>
          <w:rFonts w:ascii="Times New Roman" w:eastAsia="仿宋_GB2312" w:hAnsi="Times New Roman"/>
          <w:kern w:val="28"/>
          <w:sz w:val="30"/>
          <w:szCs w:val="30"/>
        </w:rPr>
        <w:t>当乙方需要将电力监控系统生产实时数据对外（集控中心等）传输时，其数据传输应当取得相应电力调度机构同意，数据安全传输方案应向相应电力调度机构审批备案。</w:t>
      </w:r>
    </w:p>
    <w:p w:rsidR="00000000" w:rsidRDefault="00000000">
      <w:pPr>
        <w:pStyle w:val="d3"/>
        <w:rPr>
          <w:rFonts w:eastAsia="仿宋_GB2312"/>
          <w:sz w:val="32"/>
          <w:szCs w:val="32"/>
        </w:rPr>
        <w:sectPr w:rsidR="00000000">
          <w:pgSz w:w="11906" w:h="16838"/>
          <w:pgMar w:top="1701" w:right="1134" w:bottom="1247" w:left="1361" w:header="0" w:footer="1418" w:gutter="0"/>
          <w:cols w:space="720"/>
          <w:titlePg/>
          <w:docGrid w:type="lines" w:linePitch="312"/>
        </w:sectPr>
      </w:pPr>
    </w:p>
    <w:p w:rsidR="00000000" w:rsidRDefault="00000000">
      <w:pPr>
        <w:pStyle w:val="d3"/>
        <w:rPr>
          <w:rFonts w:hint="eastAsia"/>
        </w:rPr>
      </w:pPr>
      <w:r>
        <w:rPr>
          <w:rFonts w:hint="eastAsia"/>
        </w:rPr>
        <w:t>第</w:t>
      </w:r>
      <w:r>
        <w:rPr>
          <w:rFonts w:hint="eastAsia"/>
          <w:b/>
        </w:rPr>
        <w:t>15</w:t>
      </w:r>
      <w:r>
        <w:rPr>
          <w:rFonts w:hint="eastAsia"/>
        </w:rPr>
        <w:t>章</w:t>
      </w:r>
      <w:r>
        <w:rPr>
          <w:rFonts w:hint="eastAsia"/>
        </w:rPr>
        <w:t xml:space="preserve">  </w:t>
      </w:r>
      <w:r>
        <w:rPr>
          <w:rFonts w:hint="eastAsia"/>
          <w:bCs w:val="0"/>
        </w:rPr>
        <w:t>事故处理与调查</w:t>
      </w:r>
      <w:bookmarkEnd w:id="12"/>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15.1 </w:t>
      </w:r>
      <w:r>
        <w:rPr>
          <w:rFonts w:ascii="Times New Roman" w:eastAsia="仿宋_GB2312" w:hAnsi="Times New Roman"/>
          <w:kern w:val="28"/>
          <w:sz w:val="30"/>
          <w:szCs w:val="30"/>
        </w:rPr>
        <w:t>电力调度机构和储能电站应按照各自管辖范围，依据电力系统调度规程和储能电站现场运行规程的有关规定，正确、迅速地进行事故处理，并及时相互通报事故处理情况。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15.2 </w:t>
      </w:r>
      <w:r>
        <w:rPr>
          <w:rFonts w:ascii="Times New Roman" w:eastAsia="仿宋_GB2312" w:hAnsi="Times New Roman"/>
          <w:kern w:val="28"/>
          <w:sz w:val="30"/>
          <w:szCs w:val="30"/>
        </w:rPr>
        <w:t>电力调度机构调度管辖范围内的设备事故处理，应严格执行电力调度机构值班调度员的指令（现场规程明确规定可不待调度指令自行处理的除外）。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 </w:t>
      </w:r>
      <w:r>
        <w:rPr>
          <w:rFonts w:ascii="Times New Roman" w:eastAsia="仿宋_GB2312" w:hAnsi="Times New Roman"/>
          <w:kern w:val="28"/>
          <w:sz w:val="30"/>
          <w:szCs w:val="30"/>
        </w:rPr>
        <w:t>电力调度机构应按照《电力系统安全稳定导则》（</w:t>
      </w:r>
      <w:r>
        <w:rPr>
          <w:rFonts w:ascii="Times New Roman" w:eastAsia="仿宋_GB2312" w:hAnsi="Times New Roman"/>
          <w:kern w:val="28"/>
          <w:sz w:val="30"/>
          <w:szCs w:val="30"/>
        </w:rPr>
        <w:t>GB 38755</w:t>
      </w:r>
      <w:r>
        <w:rPr>
          <w:rFonts w:ascii="Times New Roman" w:eastAsia="仿宋_GB2312" w:hAnsi="Times New Roman"/>
          <w:kern w:val="28"/>
          <w:sz w:val="30"/>
          <w:szCs w:val="30"/>
        </w:rPr>
        <w:t>）、电力系统调度规程及其他有关规定，结合电网结构、运行特点及储能电站的具体情况，制定事故处理原则与具体的反事故措施，并对储能电站应采取的必要措施提出明确要求。</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15.3.1 </w:t>
      </w:r>
      <w:r>
        <w:rPr>
          <w:rFonts w:ascii="Times New Roman" w:eastAsia="仿宋_GB2312" w:hAnsi="Times New Roman"/>
          <w:kern w:val="28"/>
          <w:sz w:val="30"/>
          <w:szCs w:val="30"/>
        </w:rPr>
        <w:t>在威胁电网安全的任何紧急情况下，电力调度机构值班调度员可以采取必要手段确保和恢复电网安全运行，包括调整储能电站充</w:t>
      </w:r>
      <w:r>
        <w:rPr>
          <w:rFonts w:ascii="Times New Roman" w:eastAsia="仿宋_GB2312" w:hAnsi="Times New Roman"/>
          <w:kern w:val="28"/>
          <w:sz w:val="30"/>
          <w:szCs w:val="30"/>
        </w:rPr>
        <w:t>/</w:t>
      </w:r>
      <w:r>
        <w:rPr>
          <w:rFonts w:ascii="Times New Roman" w:eastAsia="仿宋_GB2312" w:hAnsi="Times New Roman"/>
          <w:kern w:val="28"/>
          <w:sz w:val="30"/>
          <w:szCs w:val="30"/>
        </w:rPr>
        <w:t>放电功率、对储能电站实施解列等。</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15.3.2 </w:t>
      </w:r>
      <w:r>
        <w:rPr>
          <w:rFonts w:ascii="Times New Roman" w:eastAsia="仿宋_GB2312" w:hAnsi="Times New Roman"/>
          <w:kern w:val="28"/>
          <w:sz w:val="30"/>
          <w:szCs w:val="30"/>
        </w:rPr>
        <w:t>如果必须将储能电站或其任何储能单元解列，电力调度机构应在该紧急情况结束后或已经得到补救后，将储能电站或储能单元恢复并网运行。</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15.3.3 </w:t>
      </w:r>
      <w:r>
        <w:rPr>
          <w:rFonts w:ascii="Times New Roman" w:eastAsia="仿宋_GB2312" w:hAnsi="Times New Roman"/>
          <w:kern w:val="28"/>
          <w:sz w:val="30"/>
          <w:szCs w:val="30"/>
        </w:rPr>
        <w:t>电力调度机构应在事后向乙方说明储能电站或储能单元解列的原因。</w:t>
      </w:r>
    </w:p>
    <w:p w:rsidR="00000000" w:rsidRDefault="00000000">
      <w:pPr>
        <w:ind w:firstLineChars="197" w:firstLine="591"/>
        <w:rPr>
          <w:bCs/>
          <w:kern w:val="28"/>
          <w:sz w:val="30"/>
          <w:szCs w:val="30"/>
        </w:rPr>
      </w:pPr>
      <w:r>
        <w:rPr>
          <w:bCs/>
          <w:kern w:val="28"/>
          <w:sz w:val="30"/>
          <w:szCs w:val="30"/>
        </w:rPr>
        <w:t>15.4</w:t>
      </w:r>
      <w:r>
        <w:rPr>
          <w:kern w:val="28"/>
          <w:sz w:val="30"/>
          <w:szCs w:val="30"/>
        </w:rPr>
        <w:t xml:space="preserve"> </w:t>
      </w:r>
      <w:r>
        <w:rPr>
          <w:bCs/>
          <w:kern w:val="28"/>
          <w:sz w:val="30"/>
          <w:szCs w:val="30"/>
        </w:rPr>
        <w:t>发生电力事故或电力安全事件的，应按照《生产安全事故报告和调查处理条例》（国务院第</w:t>
      </w:r>
      <w:r>
        <w:rPr>
          <w:bCs/>
          <w:kern w:val="28"/>
          <w:sz w:val="30"/>
          <w:szCs w:val="30"/>
        </w:rPr>
        <w:t>493</w:t>
      </w:r>
      <w:r>
        <w:rPr>
          <w:bCs/>
          <w:kern w:val="28"/>
          <w:sz w:val="30"/>
          <w:szCs w:val="30"/>
        </w:rPr>
        <w:t>号令）、《电力安全事故应急处置和调查处理条例》（国务院第</w:t>
      </w:r>
      <w:r>
        <w:rPr>
          <w:bCs/>
          <w:kern w:val="28"/>
          <w:sz w:val="30"/>
          <w:szCs w:val="30"/>
        </w:rPr>
        <w:t>599</w:t>
      </w:r>
      <w:r>
        <w:rPr>
          <w:bCs/>
          <w:kern w:val="28"/>
          <w:sz w:val="30"/>
          <w:szCs w:val="30"/>
        </w:rPr>
        <w:t>号令）和《电力安全事件监督管理规定》（国能安全</w:t>
      </w:r>
      <w:r>
        <w:rPr>
          <w:kern w:val="28"/>
          <w:sz w:val="30"/>
          <w:szCs w:val="30"/>
        </w:rPr>
        <w:t>〔</w:t>
      </w:r>
      <w:r>
        <w:rPr>
          <w:kern w:val="28"/>
          <w:sz w:val="30"/>
          <w:szCs w:val="30"/>
        </w:rPr>
        <w:t>2014</w:t>
      </w:r>
      <w:r>
        <w:rPr>
          <w:kern w:val="28"/>
          <w:sz w:val="30"/>
          <w:szCs w:val="30"/>
        </w:rPr>
        <w:t>〕</w:t>
      </w:r>
      <w:r>
        <w:rPr>
          <w:bCs/>
          <w:kern w:val="28"/>
          <w:sz w:val="30"/>
          <w:szCs w:val="30"/>
        </w:rPr>
        <w:t>205</w:t>
      </w:r>
      <w:r>
        <w:rPr>
          <w:bCs/>
          <w:kern w:val="28"/>
          <w:sz w:val="30"/>
          <w:szCs w:val="30"/>
        </w:rPr>
        <w:t>号）等有关规定进行处理和调查。</w:t>
      </w:r>
    </w:p>
    <w:p w:rsidR="00000000" w:rsidRDefault="00000000">
      <w:pPr>
        <w:ind w:firstLineChars="197" w:firstLine="591"/>
        <w:rPr>
          <w:bCs/>
          <w:kern w:val="28"/>
          <w:sz w:val="30"/>
          <w:szCs w:val="30"/>
        </w:rPr>
      </w:pPr>
      <w:r>
        <w:rPr>
          <w:bCs/>
          <w:kern w:val="28"/>
          <w:sz w:val="30"/>
          <w:szCs w:val="30"/>
        </w:rPr>
        <w:t>未构成电力事故和电力安全事件的，由一方或双方组织原因分析。由一方组织原因分析的，涉及另一方时，应邀请另一方参加，另一方应予支持，配合实地调查，并提供有关分析资料。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15.4.1 </w:t>
      </w:r>
      <w:r>
        <w:rPr>
          <w:rFonts w:ascii="Times New Roman" w:eastAsia="仿宋_GB2312" w:hAnsi="Times New Roman"/>
          <w:spacing w:val="-4"/>
          <w:kern w:val="28"/>
          <w:sz w:val="30"/>
          <w:szCs w:val="30"/>
        </w:rPr>
        <w:t>对于发生的电网事故，由甲方调查分析的，涉及乙方时，应邀请乙方参加。乙方对甲方的工作应予支持，配合实地调查，提供故障录波图、事故时运行状态和有关数据等事故分析资料。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15.4.2 </w:t>
      </w:r>
      <w:r>
        <w:rPr>
          <w:rFonts w:ascii="Times New Roman" w:eastAsia="仿宋_GB2312" w:hAnsi="Times New Roman"/>
          <w:spacing w:val="-4"/>
          <w:kern w:val="28"/>
          <w:sz w:val="30"/>
          <w:szCs w:val="30"/>
        </w:rPr>
        <w:t>对于发生的储能电站事故，由乙方调查分析的，涉及甲方时，应邀请甲方参加。甲方对乙方的工作应予支持，配合实地调查，提供故障录波图、事故时运行状态和有关数据等事故分析资料。</w:t>
      </w:r>
    </w:p>
    <w:p w:rsidR="00000000" w:rsidRDefault="00000000">
      <w:pPr>
        <w:pStyle w:val="21"/>
        <w:numPr>
          <w:ilvl w:val="0"/>
          <w:numId w:val="0"/>
        </w:numPr>
        <w:topLinePunct/>
        <w:ind w:firstLineChars="200" w:firstLine="600"/>
        <w:outlineLvl w:val="9"/>
        <w:rPr>
          <w:rFonts w:ascii="Times New Roman" w:eastAsia="仿宋_GB2312" w:hAnsi="Times New Roman"/>
          <w:spacing w:val="-4"/>
          <w:kern w:val="28"/>
          <w:sz w:val="30"/>
          <w:szCs w:val="30"/>
        </w:rPr>
      </w:pPr>
      <w:r>
        <w:rPr>
          <w:rFonts w:ascii="Times New Roman" w:eastAsia="仿宋_GB2312" w:hAnsi="Times New Roman"/>
          <w:kern w:val="28"/>
          <w:sz w:val="30"/>
          <w:szCs w:val="30"/>
        </w:rPr>
        <w:t xml:space="preserve">15.4.3 </w:t>
      </w:r>
      <w:r>
        <w:rPr>
          <w:rFonts w:ascii="Times New Roman" w:eastAsia="仿宋_GB2312" w:hAnsi="Times New Roman"/>
          <w:spacing w:val="-4"/>
          <w:kern w:val="28"/>
          <w:sz w:val="30"/>
          <w:szCs w:val="30"/>
        </w:rPr>
        <w:t>对于涉及双方的网站事故，如果起因在短时间内无法确定并达成一致时，按国家有关规定组成专门调查组进行事故调查。</w:t>
      </w:r>
    </w:p>
    <w:p w:rsidR="00000000" w:rsidRDefault="00000000">
      <w:pPr>
        <w:pStyle w:val="21"/>
        <w:numPr>
          <w:ilvl w:val="0"/>
          <w:numId w:val="0"/>
        </w:numPr>
        <w:topLinePunct/>
        <w:ind w:firstLineChars="200" w:firstLine="584"/>
        <w:outlineLvl w:val="9"/>
        <w:rPr>
          <w:rFonts w:ascii="Times New Roman" w:eastAsia="仿宋_GB2312" w:hAnsi="Times New Roman"/>
          <w:kern w:val="28"/>
          <w:sz w:val="30"/>
          <w:szCs w:val="30"/>
        </w:rPr>
      </w:pPr>
      <w:r>
        <w:rPr>
          <w:rFonts w:ascii="Times New Roman" w:eastAsia="仿宋_GB2312" w:hAnsi="Times New Roman"/>
          <w:spacing w:val="-4"/>
          <w:kern w:val="28"/>
          <w:sz w:val="30"/>
          <w:szCs w:val="30"/>
        </w:rPr>
        <w:t>15.4</w:t>
      </w:r>
      <w:r>
        <w:rPr>
          <w:rFonts w:ascii="Times New Roman" w:eastAsia="仿宋_GB2312" w:hAnsi="Times New Roman"/>
          <w:kern w:val="28"/>
          <w:sz w:val="30"/>
          <w:szCs w:val="30"/>
        </w:rPr>
        <w:t xml:space="preserve">.4 </w:t>
      </w:r>
      <w:r>
        <w:rPr>
          <w:rFonts w:ascii="Times New Roman" w:eastAsia="仿宋_GB2312" w:hAnsi="Times New Roman"/>
          <w:kern w:val="28"/>
          <w:sz w:val="30"/>
          <w:szCs w:val="30"/>
        </w:rPr>
        <w:t>任何一方的事故或双方事故的调查报告都应公布。报告内容应包括：事故原因、事故处理过程、事故责任方及其应承担的责任、整改方案及事故预防措施等。</w:t>
      </w:r>
    </w:p>
    <w:p w:rsidR="00000000" w:rsidRDefault="00000000">
      <w:pPr>
        <w:pStyle w:val="21"/>
        <w:numPr>
          <w:ilvl w:val="0"/>
          <w:numId w:val="0"/>
        </w:numPr>
        <w:topLinePunct/>
        <w:ind w:firstLineChars="200" w:firstLine="600"/>
        <w:outlineLvl w:val="9"/>
        <w:rPr>
          <w:rFonts w:ascii="仿宋_GB2312" w:eastAsia="仿宋_GB2312" w:hAnsi="Times New Roman" w:hint="eastAsia"/>
          <w:kern w:val="28"/>
          <w:sz w:val="30"/>
          <w:szCs w:val="30"/>
        </w:rPr>
      </w:pPr>
      <w:r>
        <w:rPr>
          <w:rFonts w:ascii="Times New Roman" w:eastAsia="仿宋_GB2312" w:hAnsi="Times New Roman"/>
          <w:kern w:val="28"/>
          <w:sz w:val="30"/>
          <w:szCs w:val="30"/>
        </w:rPr>
        <w:t xml:space="preserve">15.4.5 </w:t>
      </w:r>
      <w:r>
        <w:rPr>
          <w:rFonts w:ascii="Times New Roman" w:eastAsia="仿宋_GB2312" w:hAnsi="Times New Roman"/>
          <w:kern w:val="28"/>
          <w:sz w:val="30"/>
          <w:szCs w:val="30"/>
        </w:rPr>
        <w:t>事故责任方应及时纠正错误，落实整改方案和事故预防措施。整改方案和事故预防措施涉及对方时，应经对方认可。</w:t>
      </w:r>
    </w:p>
    <w:p w:rsidR="00000000" w:rsidRDefault="00000000">
      <w:pPr>
        <w:pStyle w:val="d3"/>
        <w:rPr>
          <w:rFonts w:hint="eastAsia"/>
        </w:rPr>
      </w:pPr>
      <w:bookmarkStart w:id="13" w:name="_Toc350634484"/>
      <w:r>
        <w:br w:type="page"/>
      </w:r>
      <w:r>
        <w:rPr>
          <w:rFonts w:hint="eastAsia"/>
        </w:rPr>
        <w:t>第</w:t>
      </w:r>
      <w:r>
        <w:rPr>
          <w:rFonts w:hint="eastAsia"/>
          <w:b/>
        </w:rPr>
        <w:t>16</w:t>
      </w:r>
      <w:r>
        <w:rPr>
          <w:rFonts w:hint="eastAsia"/>
        </w:rPr>
        <w:t>章</w:t>
      </w:r>
      <w:r>
        <w:rPr>
          <w:rFonts w:hint="eastAsia"/>
        </w:rPr>
        <w:t xml:space="preserve">  </w:t>
      </w:r>
      <w:r>
        <w:rPr>
          <w:rFonts w:hint="eastAsia"/>
        </w:rPr>
        <w:t>不可抗力</w:t>
      </w:r>
      <w:bookmarkEnd w:id="13"/>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16.1 </w:t>
      </w:r>
      <w:r>
        <w:rPr>
          <w:rFonts w:ascii="Times New Roman" w:eastAsia="仿宋_GB2312" w:hAnsi="Times New Roman"/>
          <w:spacing w:val="-4"/>
          <w:kern w:val="28"/>
          <w:sz w:val="30"/>
          <w:szCs w:val="30"/>
        </w:rPr>
        <w:t>若不可抗力的发生完全或部分地妨碍一方履行本协议项下的任何义务，则该方可免除或延迟履行其义务，但前提是：</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1</w:t>
      </w:r>
      <w:r>
        <w:rPr>
          <w:rFonts w:ascii="Times New Roman" w:eastAsia="仿宋_GB2312" w:hAnsi="Times New Roman"/>
          <w:spacing w:val="-4"/>
          <w:kern w:val="28"/>
          <w:sz w:val="30"/>
          <w:szCs w:val="30"/>
        </w:rPr>
        <w:t>）免除或延迟履行的范围和时间不超过消除不可抗力影响的合理需要。</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2</w:t>
      </w:r>
      <w:r>
        <w:rPr>
          <w:rFonts w:ascii="Times New Roman" w:eastAsia="仿宋_GB2312" w:hAnsi="Times New Roman"/>
          <w:spacing w:val="-4"/>
          <w:kern w:val="28"/>
          <w:sz w:val="30"/>
          <w:szCs w:val="30"/>
        </w:rPr>
        <w:t>）受不可抗力影响的一方应继续履行本协议项下未受不可抗力影响的其他义务。</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w:t>
      </w:r>
      <w:r>
        <w:rPr>
          <w:rFonts w:ascii="Times New Roman" w:eastAsia="仿宋_GB2312" w:hAnsi="Times New Roman"/>
          <w:spacing w:val="-4"/>
          <w:kern w:val="28"/>
          <w:sz w:val="30"/>
          <w:szCs w:val="30"/>
        </w:rPr>
        <w:t>3</w:t>
      </w:r>
      <w:r>
        <w:rPr>
          <w:rFonts w:ascii="Times New Roman" w:eastAsia="仿宋_GB2312" w:hAnsi="Times New Roman"/>
          <w:spacing w:val="-4"/>
          <w:kern w:val="28"/>
          <w:sz w:val="30"/>
          <w:szCs w:val="30"/>
        </w:rPr>
        <w:t>）一旦不可抗力结束，该方应尽快恢复履行本协议。</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16.2 </w:t>
      </w:r>
      <w:r>
        <w:rPr>
          <w:rFonts w:ascii="Times New Roman" w:eastAsia="仿宋_GB2312" w:hAnsi="Times New Roman"/>
          <w:spacing w:val="-4"/>
          <w:kern w:val="28"/>
          <w:sz w:val="30"/>
          <w:szCs w:val="30"/>
        </w:rPr>
        <w:t>若任何一方因不可抗力而不能履行本协议，则该方应立即告知另一方，并在</w:t>
      </w:r>
      <w:r>
        <w:rPr>
          <w:rFonts w:ascii="Times New Roman" w:eastAsia="仿宋_GB2312" w:hAnsi="Times New Roman"/>
          <w:spacing w:val="-4"/>
          <w:kern w:val="28"/>
          <w:sz w:val="30"/>
          <w:szCs w:val="30"/>
        </w:rPr>
        <w:t>3</w:t>
      </w:r>
      <w:r>
        <w:rPr>
          <w:rFonts w:ascii="Times New Roman" w:eastAsia="仿宋_GB2312" w:hAnsi="Times New Roman"/>
          <w:spacing w:val="-4"/>
          <w:kern w:val="28"/>
          <w:sz w:val="30"/>
          <w:szCs w:val="30"/>
        </w:rPr>
        <w:t>日内以书面方式正式通知另一方。该通知中应说明不可抗力的发生日期和预计持续的时间、事件性质、对该方履行本协议的影响及该方为减少不可抗力影响所采取的措施。</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应对方要求，受不可抗力影响的一方应在不可抗力发生之日（如遇通信中断，则自通信恢复之日）起</w:t>
      </w:r>
      <w:r>
        <w:rPr>
          <w:rFonts w:ascii="Times New Roman" w:eastAsia="仿宋_GB2312" w:hAnsi="Times New Roman"/>
          <w:spacing w:val="-4"/>
          <w:kern w:val="28"/>
          <w:sz w:val="30"/>
          <w:szCs w:val="30"/>
        </w:rPr>
        <w:t>30</w:t>
      </w:r>
      <w:r>
        <w:rPr>
          <w:rFonts w:ascii="Times New Roman" w:eastAsia="仿宋_GB2312" w:hAnsi="Times New Roman"/>
          <w:spacing w:val="-4"/>
          <w:kern w:val="28"/>
          <w:sz w:val="30"/>
          <w:szCs w:val="30"/>
        </w:rPr>
        <w:t>日内向另一方提供一份不可抗力发生地相应公证机构出具的证明文件。</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 xml:space="preserve">16.3 </w:t>
      </w:r>
      <w:r>
        <w:rPr>
          <w:rFonts w:ascii="Times New Roman" w:eastAsia="仿宋_GB2312" w:hAnsi="Times New Roman"/>
          <w:spacing w:val="-4"/>
          <w:kern w:val="28"/>
          <w:sz w:val="30"/>
          <w:szCs w:val="30"/>
        </w:rPr>
        <w:t>受不可抗力影响的双方应采取合理措施，减少因不可抗力给一方或双方带来的损失。双方应及时协商制定并实施补救计划及合理的替代措施，以减少或消除不可抗力的影响。</w:t>
      </w:r>
    </w:p>
    <w:p w:rsidR="00000000" w:rsidRDefault="00000000">
      <w:pPr>
        <w:pStyle w:val="21"/>
        <w:numPr>
          <w:ilvl w:val="0"/>
          <w:numId w:val="0"/>
        </w:numPr>
        <w:topLinePunct/>
        <w:ind w:firstLineChars="200" w:firstLine="584"/>
        <w:outlineLvl w:val="9"/>
        <w:rPr>
          <w:rFonts w:ascii="Times New Roman" w:eastAsia="仿宋_GB2312" w:hAnsi="Times New Roman"/>
          <w:spacing w:val="-4"/>
          <w:kern w:val="28"/>
          <w:sz w:val="30"/>
          <w:szCs w:val="30"/>
        </w:rPr>
      </w:pPr>
      <w:r>
        <w:rPr>
          <w:rFonts w:ascii="Times New Roman" w:eastAsia="仿宋_GB2312" w:hAnsi="Times New Roman"/>
          <w:spacing w:val="-4"/>
          <w:kern w:val="28"/>
          <w:sz w:val="30"/>
          <w:szCs w:val="30"/>
        </w:rPr>
        <w:t>如果受不可抗力影响的一方未能尽其努力采取合理措施减少不可抗力的影响，则该方应承担由此而扩大的损失。</w:t>
      </w:r>
    </w:p>
    <w:p w:rsidR="00000000" w:rsidRDefault="00000000">
      <w:pPr>
        <w:pStyle w:val="21"/>
        <w:numPr>
          <w:ilvl w:val="0"/>
          <w:numId w:val="0"/>
        </w:numPr>
        <w:topLinePunct/>
        <w:ind w:firstLineChars="200" w:firstLine="584"/>
        <w:jc w:val="left"/>
        <w:outlineLvl w:val="9"/>
        <w:rPr>
          <w:rFonts w:ascii="仿宋_GB2312" w:eastAsia="仿宋_GB2312" w:hAnsi="Times New Roman" w:hint="eastAsia"/>
          <w:spacing w:val="-4"/>
          <w:kern w:val="28"/>
          <w:sz w:val="30"/>
          <w:szCs w:val="30"/>
        </w:rPr>
      </w:pPr>
      <w:r>
        <w:rPr>
          <w:rFonts w:ascii="Times New Roman" w:eastAsia="仿宋_GB2312" w:hAnsi="Times New Roman"/>
          <w:spacing w:val="-4"/>
          <w:kern w:val="28"/>
          <w:sz w:val="30"/>
          <w:szCs w:val="30"/>
        </w:rPr>
        <w:t xml:space="preserve">16.4 </w:t>
      </w:r>
      <w:r>
        <w:rPr>
          <w:rFonts w:ascii="Times New Roman" w:eastAsia="仿宋_GB2312" w:hAnsi="Times New Roman"/>
          <w:spacing w:val="-4"/>
          <w:kern w:val="28"/>
          <w:sz w:val="30"/>
          <w:szCs w:val="30"/>
        </w:rPr>
        <w:t>如果不可抗力阻碍一方履行义务持续超过</w:t>
      </w:r>
      <w:r>
        <w:rPr>
          <w:rFonts w:ascii="Times New Roman" w:eastAsia="仿宋_GB2312" w:hAnsi="Times New Roman"/>
          <w:spacing w:val="-4"/>
          <w:kern w:val="28"/>
          <w:sz w:val="30"/>
          <w:szCs w:val="30"/>
          <w:u w:val="single"/>
        </w:rPr>
        <w:t xml:space="preserve">  </w:t>
      </w:r>
      <w:r>
        <w:rPr>
          <w:rFonts w:ascii="Times New Roman" w:eastAsia="仿宋_GB2312" w:hAnsi="Times New Roman" w:hint="eastAsia"/>
          <w:spacing w:val="-4"/>
          <w:kern w:val="28"/>
          <w:sz w:val="30"/>
          <w:szCs w:val="30"/>
          <w:u w:val="single"/>
        </w:rPr>
        <w:t xml:space="preserve"> </w:t>
      </w:r>
      <w:r>
        <w:rPr>
          <w:rFonts w:ascii="Times New Roman" w:eastAsia="仿宋_GB2312" w:hAnsi="Times New Roman"/>
          <w:spacing w:val="-4"/>
          <w:kern w:val="28"/>
          <w:sz w:val="30"/>
          <w:szCs w:val="30"/>
          <w:u w:val="single"/>
        </w:rPr>
        <w:t xml:space="preserve"> </w:t>
      </w:r>
      <w:r>
        <w:rPr>
          <w:rFonts w:ascii="Times New Roman" w:eastAsia="仿宋_GB2312" w:hAnsi="Times New Roman"/>
          <w:spacing w:val="-4"/>
          <w:kern w:val="28"/>
          <w:sz w:val="30"/>
          <w:szCs w:val="30"/>
        </w:rPr>
        <w:t>日，双方应协商决定继续履行本协议的条件或终止本协议。如果自不可抗力发生</w:t>
      </w:r>
      <w:r>
        <w:rPr>
          <w:rFonts w:ascii="Times New Roman" w:eastAsia="仿宋_GB2312" w:hAnsi="Times New Roman"/>
          <w:spacing w:val="-4"/>
          <w:kern w:val="28"/>
          <w:sz w:val="30"/>
          <w:szCs w:val="30"/>
          <w:u w:val="single"/>
        </w:rPr>
        <w:t xml:space="preserve"> </w:t>
      </w:r>
      <w:r>
        <w:rPr>
          <w:rFonts w:ascii="Times New Roman" w:eastAsia="仿宋_GB2312" w:hAnsi="Times New Roman" w:hint="eastAsia"/>
          <w:spacing w:val="-4"/>
          <w:kern w:val="28"/>
          <w:sz w:val="30"/>
          <w:szCs w:val="30"/>
          <w:u w:val="single"/>
        </w:rPr>
        <w:t xml:space="preserve"> </w:t>
      </w:r>
      <w:r>
        <w:rPr>
          <w:rFonts w:ascii="Times New Roman" w:eastAsia="仿宋_GB2312" w:hAnsi="Times New Roman"/>
          <w:spacing w:val="-4"/>
          <w:kern w:val="28"/>
          <w:sz w:val="30"/>
          <w:szCs w:val="30"/>
          <w:u w:val="single"/>
        </w:rPr>
        <w:t xml:space="preserve">  </w:t>
      </w:r>
      <w:r>
        <w:rPr>
          <w:rFonts w:ascii="Times New Roman" w:eastAsia="仿宋_GB2312" w:hAnsi="Times New Roman"/>
          <w:spacing w:val="-4"/>
          <w:kern w:val="28"/>
          <w:sz w:val="30"/>
          <w:szCs w:val="30"/>
        </w:rPr>
        <w:t>日，双方不能就继续履行协议的条件或终止本协议达成一致意见，任何一方有权通知另一方解除协议。本协议另有约定的除外。</w:t>
      </w:r>
    </w:p>
    <w:p w:rsidR="00000000" w:rsidRDefault="00000000">
      <w:pPr>
        <w:pStyle w:val="d3"/>
        <w:rPr>
          <w:rFonts w:hint="eastAsia"/>
        </w:rPr>
      </w:pPr>
      <w:bookmarkStart w:id="14" w:name="_Toc350634485"/>
      <w:r>
        <w:br w:type="page"/>
      </w:r>
      <w:r>
        <w:rPr>
          <w:rFonts w:hint="eastAsia"/>
        </w:rPr>
        <w:t>第</w:t>
      </w:r>
      <w:r>
        <w:rPr>
          <w:rFonts w:hint="eastAsia"/>
          <w:b/>
        </w:rPr>
        <w:t>17</w:t>
      </w:r>
      <w:r>
        <w:rPr>
          <w:rFonts w:hint="eastAsia"/>
        </w:rPr>
        <w:t>章</w:t>
      </w:r>
      <w:r>
        <w:rPr>
          <w:rFonts w:hint="eastAsia"/>
        </w:rPr>
        <w:t xml:space="preserve">  </w:t>
      </w:r>
      <w:r>
        <w:rPr>
          <w:rFonts w:hint="eastAsia"/>
        </w:rPr>
        <w:t>违约责任</w:t>
      </w:r>
      <w:bookmarkEnd w:id="14"/>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17.1 </w:t>
      </w:r>
      <w:r>
        <w:rPr>
          <w:rFonts w:ascii="Times New Roman" w:eastAsia="仿宋_GB2312" w:hAnsi="Times New Roman"/>
          <w:kern w:val="28"/>
          <w:sz w:val="30"/>
          <w:szCs w:val="30"/>
        </w:rPr>
        <w:t>任何一方违反本协议约定条款视为违约，另一方有权要求违约方承担违约责任。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17.2 </w:t>
      </w:r>
      <w:r>
        <w:rPr>
          <w:rFonts w:ascii="Times New Roman" w:eastAsia="仿宋_GB2312" w:hAnsi="Times New Roman"/>
          <w:kern w:val="28"/>
          <w:sz w:val="30"/>
          <w:szCs w:val="30"/>
        </w:rPr>
        <w:t>甲方有下列违约行为之一的，应按第</w:t>
      </w:r>
      <w:r>
        <w:rPr>
          <w:rFonts w:ascii="Times New Roman" w:eastAsia="仿宋_GB2312" w:hAnsi="Times New Roman"/>
          <w:kern w:val="28"/>
          <w:sz w:val="30"/>
          <w:szCs w:val="30"/>
        </w:rPr>
        <w:t>17.3</w:t>
      </w:r>
      <w:r>
        <w:rPr>
          <w:rFonts w:ascii="Times New Roman" w:eastAsia="仿宋_GB2312" w:hAnsi="Times New Roman"/>
          <w:kern w:val="28"/>
          <w:sz w:val="30"/>
          <w:szCs w:val="30"/>
        </w:rPr>
        <w:t>条所列方式向乙方承担违约责任：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）未履行第</w:t>
      </w:r>
      <w:r>
        <w:rPr>
          <w:rFonts w:ascii="Times New Roman" w:eastAsia="仿宋_GB2312" w:hAnsi="Times New Roman"/>
          <w:kern w:val="28"/>
          <w:sz w:val="30"/>
          <w:szCs w:val="30"/>
        </w:rPr>
        <w:t>3</w:t>
      </w:r>
      <w:r>
        <w:rPr>
          <w:rFonts w:ascii="Times New Roman" w:eastAsia="仿宋_GB2312" w:hAnsi="Times New Roman"/>
          <w:kern w:val="28"/>
          <w:sz w:val="30"/>
          <w:szCs w:val="30"/>
        </w:rPr>
        <w:t>章约定的义务，给乙方造成直接经济损失。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）违反第</w:t>
      </w:r>
      <w:r>
        <w:rPr>
          <w:rFonts w:ascii="Times New Roman" w:eastAsia="仿宋_GB2312" w:hAnsi="Times New Roman"/>
          <w:kern w:val="28"/>
          <w:sz w:val="30"/>
          <w:szCs w:val="30"/>
        </w:rPr>
        <w:t>4.10</w:t>
      </w:r>
      <w:r>
        <w:rPr>
          <w:rFonts w:ascii="Times New Roman" w:eastAsia="仿宋_GB2312" w:hAnsi="Times New Roman"/>
          <w:kern w:val="28"/>
          <w:sz w:val="30"/>
          <w:szCs w:val="30"/>
        </w:rPr>
        <w:t>条、第</w:t>
      </w:r>
      <w:r>
        <w:rPr>
          <w:rFonts w:ascii="Times New Roman" w:eastAsia="仿宋_GB2312" w:hAnsi="Times New Roman"/>
          <w:kern w:val="28"/>
          <w:sz w:val="30"/>
          <w:szCs w:val="30"/>
        </w:rPr>
        <w:t>5.3</w:t>
      </w:r>
      <w:r>
        <w:rPr>
          <w:rFonts w:ascii="Times New Roman" w:eastAsia="仿宋_GB2312" w:hAnsi="Times New Roman"/>
          <w:kern w:val="28"/>
          <w:sz w:val="30"/>
          <w:szCs w:val="30"/>
        </w:rPr>
        <w:t>条、第</w:t>
      </w:r>
      <w:r>
        <w:rPr>
          <w:rFonts w:ascii="Times New Roman" w:eastAsia="仿宋_GB2312" w:hAnsi="Times New Roman"/>
          <w:kern w:val="28"/>
          <w:sz w:val="30"/>
          <w:szCs w:val="30"/>
        </w:rPr>
        <w:t>5.4</w:t>
      </w:r>
      <w:r>
        <w:rPr>
          <w:rFonts w:ascii="Times New Roman" w:eastAsia="仿宋_GB2312" w:hAnsi="Times New Roman"/>
          <w:kern w:val="28"/>
          <w:sz w:val="30"/>
          <w:szCs w:val="30"/>
        </w:rPr>
        <w:t>条、第</w:t>
      </w:r>
      <w:r>
        <w:rPr>
          <w:rFonts w:ascii="Times New Roman" w:eastAsia="仿宋_GB2312" w:hAnsi="Times New Roman"/>
          <w:kern w:val="28"/>
          <w:sz w:val="30"/>
          <w:szCs w:val="30"/>
        </w:rPr>
        <w:t>6.2</w:t>
      </w:r>
      <w:r>
        <w:rPr>
          <w:rFonts w:ascii="Times New Roman" w:eastAsia="仿宋_GB2312" w:hAnsi="Times New Roman"/>
          <w:kern w:val="28"/>
          <w:sz w:val="30"/>
          <w:szCs w:val="30"/>
        </w:rPr>
        <w:t>条的约定，导致储能电站不能按期充</w:t>
      </w:r>
      <w:r>
        <w:rPr>
          <w:rFonts w:ascii="Times New Roman" w:eastAsia="仿宋_GB2312" w:hAnsi="Times New Roman"/>
          <w:kern w:val="28"/>
          <w:sz w:val="30"/>
          <w:szCs w:val="30"/>
        </w:rPr>
        <w:t>/</w:t>
      </w:r>
      <w:r>
        <w:rPr>
          <w:rFonts w:ascii="Times New Roman" w:eastAsia="仿宋_GB2312" w:hAnsi="Times New Roman"/>
          <w:kern w:val="28"/>
          <w:sz w:val="30"/>
          <w:szCs w:val="30"/>
        </w:rPr>
        <w:t>放电、不能正常充</w:t>
      </w:r>
      <w:r>
        <w:rPr>
          <w:rFonts w:ascii="Times New Roman" w:eastAsia="仿宋_GB2312" w:hAnsi="Times New Roman"/>
          <w:kern w:val="28"/>
          <w:sz w:val="30"/>
          <w:szCs w:val="30"/>
        </w:rPr>
        <w:t>/</w:t>
      </w:r>
      <w:r>
        <w:rPr>
          <w:rFonts w:ascii="Times New Roman" w:eastAsia="仿宋_GB2312" w:hAnsi="Times New Roman"/>
          <w:kern w:val="28"/>
          <w:sz w:val="30"/>
          <w:szCs w:val="30"/>
        </w:rPr>
        <w:t>放电或给乙方造成直接经济损失。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）违反电力系统调度规程，给乙方造成直接经济损失。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）电力调度机构要求储能电站超出其运行能力或本协议约定进行调峰、调频、调压等辅助服务，给乙方造成直接经济损失。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）电网一、二次设备因甲方原因整定或控制错误，给乙方造成直接经济损失。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）因甲方责任，发生第</w:t>
      </w:r>
      <w:r>
        <w:rPr>
          <w:rFonts w:ascii="Times New Roman" w:eastAsia="仿宋_GB2312" w:hAnsi="Times New Roman"/>
          <w:kern w:val="28"/>
          <w:sz w:val="30"/>
          <w:szCs w:val="30"/>
        </w:rPr>
        <w:t>9.4.3</w:t>
      </w:r>
      <w:r>
        <w:rPr>
          <w:rFonts w:ascii="Times New Roman" w:eastAsia="仿宋_GB2312" w:hAnsi="Times New Roman"/>
          <w:kern w:val="28"/>
          <w:sz w:val="30"/>
          <w:szCs w:val="30"/>
        </w:rPr>
        <w:t>款所述情形，给乙方造成直接经济损失。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）因甲方处理不当，在执行第</w:t>
      </w:r>
      <w:r>
        <w:rPr>
          <w:rFonts w:ascii="Times New Roman" w:eastAsia="仿宋_GB2312" w:hAnsi="Times New Roman"/>
          <w:kern w:val="28"/>
          <w:sz w:val="30"/>
          <w:szCs w:val="30"/>
        </w:rPr>
        <w:t>15.3.1</w:t>
      </w:r>
      <w:r>
        <w:rPr>
          <w:rFonts w:ascii="Times New Roman" w:eastAsia="仿宋_GB2312" w:hAnsi="Times New Roman"/>
          <w:kern w:val="28"/>
          <w:sz w:val="30"/>
          <w:szCs w:val="30"/>
        </w:rPr>
        <w:t>款的约定时，给乙方造成直接经济损失。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）因甲方原因造成继电保护及安全自动装置、调度自动化系统、调度通信系统故障，给乙方造成直接经济损失。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）其他因甲方处理不当，给乙方造成直接经济损失。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）双方约定甲方应当承担的其他违约责任：</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17.3 </w:t>
      </w:r>
      <w:r>
        <w:rPr>
          <w:rFonts w:ascii="Times New Roman" w:eastAsia="仿宋_GB2312" w:hAnsi="Times New Roman"/>
          <w:kern w:val="28"/>
          <w:sz w:val="30"/>
          <w:szCs w:val="30"/>
        </w:rPr>
        <w:t>甲方每违约一次，应按下列方式承担违约责任：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）一次性向乙方支付违约金</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万元</w:t>
      </w:r>
      <w:r>
        <w:rPr>
          <w:rFonts w:ascii="Times New Roman" w:eastAsia="仿宋_GB2312" w:hAnsi="Times New Roman"/>
          <w:sz w:val="30"/>
          <w:szCs w:val="30"/>
          <w:vertAlign w:val="superscript"/>
        </w:rPr>
        <w:footnoteReference w:id="16"/>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）给乙方造成直接经济损失且按本条第（</w:t>
      </w:r>
      <w:r>
        <w:rPr>
          <w:rFonts w:ascii="Times New Roman" w:eastAsia="仿宋_GB2312" w:hAnsi="Times New Roman"/>
          <w:kern w:val="28"/>
          <w:sz w:val="30"/>
          <w:szCs w:val="30"/>
        </w:rPr>
        <w:t>1</w:t>
      </w:r>
      <w:r>
        <w:rPr>
          <w:rFonts w:ascii="Times New Roman" w:eastAsia="仿宋_GB2312" w:hAnsi="Times New Roman"/>
          <w:kern w:val="28"/>
          <w:sz w:val="30"/>
          <w:szCs w:val="30"/>
        </w:rPr>
        <w:t>）项约定支付的一次性违约金不足以补偿的，应补足乙方设备修复及恢复正常运行的直接费用。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）给乙方造成电量损失的，按照双方签订的相关合同的有关约定处理。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17.4 </w:t>
      </w:r>
      <w:r>
        <w:rPr>
          <w:rFonts w:ascii="Times New Roman" w:eastAsia="仿宋_GB2312" w:hAnsi="Times New Roman"/>
          <w:kern w:val="28"/>
          <w:sz w:val="30"/>
          <w:szCs w:val="30"/>
        </w:rPr>
        <w:t>乙方有下列违约行为之一的，应按第</w:t>
      </w:r>
      <w:r>
        <w:rPr>
          <w:rFonts w:ascii="Times New Roman" w:eastAsia="仿宋_GB2312" w:hAnsi="Times New Roman"/>
          <w:kern w:val="28"/>
          <w:sz w:val="30"/>
          <w:szCs w:val="30"/>
        </w:rPr>
        <w:t>17.5</w:t>
      </w:r>
      <w:r>
        <w:rPr>
          <w:rFonts w:ascii="Times New Roman" w:eastAsia="仿宋_GB2312" w:hAnsi="Times New Roman"/>
          <w:kern w:val="28"/>
          <w:sz w:val="30"/>
          <w:szCs w:val="30"/>
        </w:rPr>
        <w:t>条所列方式向甲方承担违约责任：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）未履行第</w:t>
      </w:r>
      <w:r>
        <w:rPr>
          <w:rFonts w:ascii="Times New Roman" w:eastAsia="仿宋_GB2312" w:hAnsi="Times New Roman"/>
          <w:kern w:val="28"/>
          <w:sz w:val="30"/>
          <w:szCs w:val="30"/>
        </w:rPr>
        <w:t>3</w:t>
      </w:r>
      <w:r>
        <w:rPr>
          <w:rFonts w:ascii="Times New Roman" w:eastAsia="仿宋_GB2312" w:hAnsi="Times New Roman"/>
          <w:kern w:val="28"/>
          <w:sz w:val="30"/>
          <w:szCs w:val="30"/>
        </w:rPr>
        <w:t>章约定的义务，给甲方造成直接经济损失。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）未按照第</w:t>
      </w:r>
      <w:r>
        <w:rPr>
          <w:rFonts w:ascii="Times New Roman" w:eastAsia="仿宋_GB2312" w:hAnsi="Times New Roman"/>
          <w:kern w:val="28"/>
          <w:sz w:val="30"/>
          <w:szCs w:val="30"/>
        </w:rPr>
        <w:t>4</w:t>
      </w:r>
      <w:r>
        <w:rPr>
          <w:rFonts w:ascii="Times New Roman" w:eastAsia="仿宋_GB2312" w:hAnsi="Times New Roman"/>
          <w:kern w:val="28"/>
          <w:sz w:val="30"/>
          <w:szCs w:val="30"/>
        </w:rPr>
        <w:t>章的有关约定完成并网准备工作，给甲方带来直接经济损失。</w:t>
      </w:r>
    </w:p>
    <w:p w:rsidR="00000000" w:rsidRDefault="00000000">
      <w:pPr>
        <w:pStyle w:val="21"/>
        <w:numPr>
          <w:ilvl w:val="0"/>
          <w:numId w:val="0"/>
        </w:numPr>
        <w:topLinePunct/>
        <w:ind w:firstLineChars="200" w:firstLine="600"/>
        <w:outlineLvl w:val="9"/>
        <w:rPr>
          <w:rFonts w:ascii="Times New Roman" w:eastAsia="仿宋_GB2312" w:hAnsi="Times New Roman"/>
          <w:spacing w:val="6"/>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违反第</w:t>
      </w:r>
      <w:r>
        <w:rPr>
          <w:rFonts w:ascii="Times New Roman" w:eastAsia="仿宋_GB2312" w:hAnsi="Times New Roman"/>
          <w:spacing w:val="6"/>
          <w:kern w:val="28"/>
          <w:sz w:val="30"/>
          <w:szCs w:val="30"/>
        </w:rPr>
        <w:t>5.2</w:t>
      </w:r>
      <w:r>
        <w:rPr>
          <w:rFonts w:ascii="Times New Roman" w:eastAsia="仿宋_GB2312" w:hAnsi="Times New Roman"/>
          <w:spacing w:val="6"/>
          <w:kern w:val="28"/>
          <w:sz w:val="30"/>
          <w:szCs w:val="30"/>
        </w:rPr>
        <w:t>条、第</w:t>
      </w:r>
      <w:r>
        <w:rPr>
          <w:rFonts w:ascii="Times New Roman" w:eastAsia="仿宋_GB2312" w:hAnsi="Times New Roman"/>
          <w:spacing w:val="6"/>
          <w:kern w:val="28"/>
          <w:sz w:val="30"/>
          <w:szCs w:val="30"/>
        </w:rPr>
        <w:t>5.4</w:t>
      </w:r>
      <w:r>
        <w:rPr>
          <w:rFonts w:ascii="Times New Roman" w:eastAsia="仿宋_GB2312" w:hAnsi="Times New Roman"/>
          <w:spacing w:val="6"/>
          <w:kern w:val="28"/>
          <w:sz w:val="30"/>
          <w:szCs w:val="30"/>
        </w:rPr>
        <w:t>条的约定，给甲方造成直接经济损失。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）违反第</w:t>
      </w:r>
      <w:r>
        <w:rPr>
          <w:rFonts w:ascii="Times New Roman" w:eastAsia="仿宋_GB2312" w:hAnsi="Times New Roman"/>
          <w:kern w:val="28"/>
          <w:sz w:val="30"/>
          <w:szCs w:val="30"/>
        </w:rPr>
        <w:t>6.1</w:t>
      </w:r>
      <w:r>
        <w:rPr>
          <w:rFonts w:ascii="Times New Roman" w:eastAsia="仿宋_GB2312" w:hAnsi="Times New Roman"/>
          <w:kern w:val="28"/>
          <w:sz w:val="30"/>
          <w:szCs w:val="30"/>
        </w:rPr>
        <w:t>条、第</w:t>
      </w:r>
      <w:r>
        <w:rPr>
          <w:rFonts w:ascii="Times New Roman" w:eastAsia="仿宋_GB2312" w:hAnsi="Times New Roman"/>
          <w:kern w:val="28"/>
          <w:sz w:val="30"/>
          <w:szCs w:val="30"/>
        </w:rPr>
        <w:t>7.1.1</w:t>
      </w:r>
      <w:r>
        <w:rPr>
          <w:rFonts w:ascii="Times New Roman" w:eastAsia="仿宋_GB2312" w:hAnsi="Times New Roman"/>
          <w:kern w:val="28"/>
          <w:sz w:val="30"/>
          <w:szCs w:val="30"/>
        </w:rPr>
        <w:t>款的约定。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）因乙方原因造成与电网运行有关的储能电站一、二次设备异常或故障，给甲方造成直接经济损失。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6</w:t>
      </w:r>
      <w:r>
        <w:rPr>
          <w:rFonts w:ascii="Times New Roman" w:eastAsia="仿宋_GB2312" w:hAnsi="Times New Roman"/>
          <w:kern w:val="28"/>
          <w:sz w:val="30"/>
          <w:szCs w:val="30"/>
        </w:rPr>
        <w:t>）未按照第</w:t>
      </w:r>
      <w:r>
        <w:rPr>
          <w:rFonts w:ascii="Times New Roman" w:eastAsia="仿宋_GB2312" w:hAnsi="Times New Roman"/>
          <w:kern w:val="28"/>
          <w:sz w:val="30"/>
          <w:szCs w:val="30"/>
        </w:rPr>
        <w:t>7.4</w:t>
      </w:r>
      <w:r>
        <w:rPr>
          <w:rFonts w:ascii="Times New Roman" w:eastAsia="仿宋_GB2312" w:hAnsi="Times New Roman"/>
          <w:kern w:val="28"/>
          <w:sz w:val="30"/>
          <w:szCs w:val="30"/>
        </w:rPr>
        <w:t>条的约定参与电力系统调峰、调频、调压、备用等辅助服务。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7</w:t>
      </w:r>
      <w:r>
        <w:rPr>
          <w:rFonts w:ascii="Times New Roman" w:eastAsia="仿宋_GB2312" w:hAnsi="Times New Roman"/>
          <w:kern w:val="28"/>
          <w:sz w:val="30"/>
          <w:szCs w:val="30"/>
        </w:rPr>
        <w:t>）</w:t>
      </w:r>
      <w:r>
        <w:rPr>
          <w:rFonts w:ascii="Times New Roman" w:eastAsia="仿宋_GB2312" w:hAnsi="Times New Roman"/>
          <w:spacing w:val="-6"/>
          <w:kern w:val="28"/>
          <w:sz w:val="30"/>
          <w:szCs w:val="30"/>
        </w:rPr>
        <w:t>因乙方</w:t>
      </w:r>
      <w:r>
        <w:rPr>
          <w:rFonts w:ascii="Times New Roman" w:eastAsia="仿宋_GB2312" w:hAnsi="Times New Roman" w:hint="eastAsia"/>
          <w:spacing w:val="-6"/>
          <w:kern w:val="28"/>
          <w:sz w:val="30"/>
          <w:szCs w:val="30"/>
        </w:rPr>
        <w:t>非客观</w:t>
      </w:r>
      <w:r>
        <w:rPr>
          <w:rFonts w:ascii="Times New Roman" w:eastAsia="仿宋_GB2312" w:hAnsi="Times New Roman"/>
          <w:spacing w:val="-6"/>
          <w:kern w:val="28"/>
          <w:sz w:val="30"/>
          <w:szCs w:val="30"/>
        </w:rPr>
        <w:t>原因导致检修期限变动，给甲方造成直接经济损失。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8</w:t>
      </w:r>
      <w:r>
        <w:rPr>
          <w:rFonts w:ascii="Times New Roman" w:eastAsia="仿宋_GB2312" w:hAnsi="Times New Roman"/>
          <w:kern w:val="28"/>
          <w:sz w:val="30"/>
          <w:szCs w:val="30"/>
        </w:rPr>
        <w:t>）不如实向电力调度机构反映储能电站设备（如储能电池、变流器及电气设备等）和有关设施的真实情况。</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9</w:t>
      </w:r>
      <w:r>
        <w:rPr>
          <w:rFonts w:ascii="Times New Roman" w:eastAsia="仿宋_GB2312" w:hAnsi="Times New Roman"/>
          <w:kern w:val="28"/>
          <w:sz w:val="30"/>
          <w:szCs w:val="30"/>
        </w:rPr>
        <w:t>）储能电站继电保护及安全自动装置未达到第</w:t>
      </w:r>
      <w:r>
        <w:rPr>
          <w:rFonts w:ascii="Times New Roman" w:eastAsia="仿宋_GB2312" w:hAnsi="Times New Roman"/>
          <w:kern w:val="28"/>
          <w:sz w:val="30"/>
          <w:szCs w:val="30"/>
        </w:rPr>
        <w:t>11.4</w:t>
      </w:r>
      <w:r>
        <w:rPr>
          <w:rFonts w:ascii="Times New Roman" w:eastAsia="仿宋_GB2312" w:hAnsi="Times New Roman"/>
          <w:kern w:val="28"/>
          <w:sz w:val="30"/>
          <w:szCs w:val="30"/>
        </w:rPr>
        <w:t>条约定指标，或由于乙方原因引起其继电保护及安全自动装置故障或不正确动作，导致事故及事故扩大，给甲方造成直接经济损失。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10</w:t>
      </w:r>
      <w:r>
        <w:rPr>
          <w:rFonts w:ascii="Times New Roman" w:eastAsia="仿宋_GB2312" w:hAnsi="Times New Roman"/>
          <w:kern w:val="28"/>
          <w:sz w:val="30"/>
          <w:szCs w:val="30"/>
        </w:rPr>
        <w:t>）储能电站电力调度自动化系统未达到第</w:t>
      </w:r>
      <w:r>
        <w:rPr>
          <w:rFonts w:ascii="Times New Roman" w:eastAsia="仿宋_GB2312" w:hAnsi="Times New Roman"/>
          <w:kern w:val="28"/>
          <w:sz w:val="30"/>
          <w:szCs w:val="30"/>
        </w:rPr>
        <w:t>12.4</w:t>
      </w:r>
      <w:r>
        <w:rPr>
          <w:rFonts w:ascii="Times New Roman" w:eastAsia="仿宋_GB2312" w:hAnsi="Times New Roman"/>
          <w:kern w:val="28"/>
          <w:sz w:val="30"/>
          <w:szCs w:val="30"/>
        </w:rPr>
        <w:t>条约定指标，或由于乙方原因引起储能电站电力调度自动化系统故障，导致事故或事故扩大，给甲方造成直接经济损失。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11</w:t>
      </w:r>
      <w:r>
        <w:rPr>
          <w:rFonts w:ascii="Times New Roman" w:eastAsia="仿宋_GB2312" w:hAnsi="Times New Roman"/>
          <w:kern w:val="28"/>
          <w:sz w:val="30"/>
          <w:szCs w:val="30"/>
        </w:rPr>
        <w:t>）储能电站调度通信系统未达到第</w:t>
      </w:r>
      <w:r>
        <w:rPr>
          <w:rFonts w:ascii="Times New Roman" w:eastAsia="仿宋_GB2312" w:hAnsi="Times New Roman"/>
          <w:kern w:val="28"/>
          <w:sz w:val="30"/>
          <w:szCs w:val="30"/>
        </w:rPr>
        <w:t>13.5</w:t>
      </w:r>
      <w:r>
        <w:rPr>
          <w:rFonts w:ascii="Times New Roman" w:eastAsia="仿宋_GB2312" w:hAnsi="Times New Roman"/>
          <w:kern w:val="28"/>
          <w:sz w:val="30"/>
          <w:szCs w:val="30"/>
        </w:rPr>
        <w:t>条约定指标，或由于乙方原因引起储能电站电力调度通信系统故障，导致事故或事故扩大，给甲方造成直接经济损失。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12</w:t>
      </w:r>
      <w:r>
        <w:rPr>
          <w:rFonts w:ascii="Times New Roman" w:eastAsia="仿宋_GB2312" w:hAnsi="Times New Roman"/>
          <w:kern w:val="28"/>
          <w:sz w:val="30"/>
          <w:szCs w:val="30"/>
        </w:rPr>
        <w:t>）违反第</w:t>
      </w:r>
      <w:r>
        <w:rPr>
          <w:rFonts w:ascii="Times New Roman" w:eastAsia="仿宋_GB2312" w:hAnsi="Times New Roman"/>
          <w:kern w:val="28"/>
          <w:sz w:val="30"/>
          <w:szCs w:val="30"/>
        </w:rPr>
        <w:t>10.1</w:t>
      </w:r>
      <w:r>
        <w:rPr>
          <w:rFonts w:ascii="Times New Roman" w:eastAsia="仿宋_GB2312" w:hAnsi="Times New Roman"/>
          <w:kern w:val="28"/>
          <w:sz w:val="30"/>
          <w:szCs w:val="30"/>
        </w:rPr>
        <w:t>条、第</w:t>
      </w:r>
      <w:r>
        <w:rPr>
          <w:rFonts w:ascii="Times New Roman" w:eastAsia="仿宋_GB2312" w:hAnsi="Times New Roman"/>
          <w:kern w:val="28"/>
          <w:sz w:val="30"/>
          <w:szCs w:val="30"/>
        </w:rPr>
        <w:t>10.3</w:t>
      </w:r>
      <w:r>
        <w:rPr>
          <w:rFonts w:ascii="Times New Roman" w:eastAsia="仿宋_GB2312" w:hAnsi="Times New Roman"/>
          <w:kern w:val="28"/>
          <w:sz w:val="30"/>
          <w:szCs w:val="30"/>
        </w:rPr>
        <w:t>条、第</w:t>
      </w:r>
      <w:r>
        <w:rPr>
          <w:rFonts w:ascii="Times New Roman" w:eastAsia="仿宋_GB2312" w:hAnsi="Times New Roman"/>
          <w:kern w:val="28"/>
          <w:sz w:val="30"/>
          <w:szCs w:val="30"/>
        </w:rPr>
        <w:t>10.4</w:t>
      </w:r>
      <w:r>
        <w:rPr>
          <w:rFonts w:ascii="Times New Roman" w:eastAsia="仿宋_GB2312" w:hAnsi="Times New Roman"/>
          <w:kern w:val="28"/>
          <w:sz w:val="30"/>
          <w:szCs w:val="30"/>
        </w:rPr>
        <w:t>条、第</w:t>
      </w:r>
      <w:r>
        <w:rPr>
          <w:rFonts w:ascii="Times New Roman" w:eastAsia="仿宋_GB2312" w:hAnsi="Times New Roman"/>
          <w:kern w:val="28"/>
          <w:sz w:val="30"/>
          <w:szCs w:val="30"/>
        </w:rPr>
        <w:t>14.1</w:t>
      </w:r>
      <w:r>
        <w:rPr>
          <w:rFonts w:ascii="Times New Roman" w:eastAsia="仿宋_GB2312" w:hAnsi="Times New Roman"/>
          <w:kern w:val="28"/>
          <w:sz w:val="30"/>
          <w:szCs w:val="30"/>
        </w:rPr>
        <w:t>条、第</w:t>
      </w:r>
      <w:r>
        <w:rPr>
          <w:rFonts w:ascii="Times New Roman" w:eastAsia="仿宋_GB2312" w:hAnsi="Times New Roman"/>
          <w:kern w:val="28"/>
          <w:sz w:val="30"/>
          <w:szCs w:val="30"/>
        </w:rPr>
        <w:t>14.3</w:t>
      </w:r>
      <w:r>
        <w:rPr>
          <w:rFonts w:ascii="Times New Roman" w:eastAsia="仿宋_GB2312" w:hAnsi="Times New Roman"/>
          <w:kern w:val="28"/>
          <w:sz w:val="30"/>
          <w:szCs w:val="30"/>
        </w:rPr>
        <w:t>条、第</w:t>
      </w:r>
      <w:r>
        <w:rPr>
          <w:rFonts w:ascii="Times New Roman" w:eastAsia="仿宋_GB2312" w:hAnsi="Times New Roman"/>
          <w:kern w:val="28"/>
          <w:sz w:val="30"/>
          <w:szCs w:val="30"/>
        </w:rPr>
        <w:t>14.4</w:t>
      </w:r>
      <w:r>
        <w:rPr>
          <w:rFonts w:ascii="Times New Roman" w:eastAsia="仿宋_GB2312" w:hAnsi="Times New Roman"/>
          <w:kern w:val="28"/>
          <w:sz w:val="30"/>
          <w:szCs w:val="30"/>
        </w:rPr>
        <w:t>条、第</w:t>
      </w:r>
      <w:r>
        <w:rPr>
          <w:rFonts w:ascii="Times New Roman" w:eastAsia="仿宋_GB2312" w:hAnsi="Times New Roman"/>
          <w:kern w:val="28"/>
          <w:sz w:val="30"/>
          <w:szCs w:val="30"/>
        </w:rPr>
        <w:t>14.5</w:t>
      </w:r>
      <w:r>
        <w:rPr>
          <w:rFonts w:ascii="Times New Roman" w:eastAsia="仿宋_GB2312" w:hAnsi="Times New Roman"/>
          <w:kern w:val="28"/>
          <w:sz w:val="30"/>
          <w:szCs w:val="30"/>
        </w:rPr>
        <w:t>条、第</w:t>
      </w:r>
      <w:r>
        <w:rPr>
          <w:rFonts w:ascii="Times New Roman" w:eastAsia="仿宋_GB2312" w:hAnsi="Times New Roman"/>
          <w:kern w:val="28"/>
          <w:sz w:val="30"/>
          <w:szCs w:val="30"/>
        </w:rPr>
        <w:t>14.6</w:t>
      </w:r>
      <w:r>
        <w:rPr>
          <w:rFonts w:ascii="Times New Roman" w:eastAsia="仿宋_GB2312" w:hAnsi="Times New Roman"/>
          <w:kern w:val="28"/>
          <w:sz w:val="30"/>
          <w:szCs w:val="30"/>
        </w:rPr>
        <w:t>条、第</w:t>
      </w:r>
      <w:r>
        <w:rPr>
          <w:rFonts w:ascii="Times New Roman" w:eastAsia="仿宋_GB2312" w:hAnsi="Times New Roman"/>
          <w:kern w:val="28"/>
          <w:sz w:val="30"/>
          <w:szCs w:val="30"/>
        </w:rPr>
        <w:t>14.7</w:t>
      </w:r>
      <w:r>
        <w:rPr>
          <w:rFonts w:ascii="Times New Roman" w:eastAsia="仿宋_GB2312" w:hAnsi="Times New Roman"/>
          <w:kern w:val="28"/>
          <w:sz w:val="30"/>
          <w:szCs w:val="30"/>
        </w:rPr>
        <w:t>条、第</w:t>
      </w:r>
      <w:r>
        <w:rPr>
          <w:rFonts w:ascii="Times New Roman" w:eastAsia="仿宋_GB2312" w:hAnsi="Times New Roman"/>
          <w:kern w:val="28"/>
          <w:sz w:val="30"/>
          <w:szCs w:val="30"/>
        </w:rPr>
        <w:t>14.8</w:t>
      </w:r>
      <w:r>
        <w:rPr>
          <w:rFonts w:ascii="Times New Roman" w:eastAsia="仿宋_GB2312" w:hAnsi="Times New Roman"/>
          <w:kern w:val="28"/>
          <w:sz w:val="30"/>
          <w:szCs w:val="30"/>
        </w:rPr>
        <w:t>条的约定，存在安全隐患或可能造成电力监控系统异常、故障，给甲方造成直接经济损失。</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13</w:t>
      </w:r>
      <w:r>
        <w:rPr>
          <w:rFonts w:ascii="Times New Roman" w:eastAsia="仿宋_GB2312" w:hAnsi="Times New Roman"/>
          <w:kern w:val="28"/>
          <w:sz w:val="30"/>
          <w:szCs w:val="30"/>
        </w:rPr>
        <w:t>）双方约定乙方应当承担的其他违约责任：</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17.5 </w:t>
      </w:r>
      <w:r>
        <w:rPr>
          <w:rFonts w:ascii="Times New Roman" w:eastAsia="仿宋_GB2312" w:hAnsi="Times New Roman"/>
          <w:kern w:val="28"/>
          <w:sz w:val="30"/>
          <w:szCs w:val="30"/>
        </w:rPr>
        <w:t>乙方每违约一次，应按下列方式承担违约责任：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）一次性向甲方支付违约金</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万元。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）给甲方造成直接经济损失且按本条第（</w:t>
      </w:r>
      <w:r>
        <w:rPr>
          <w:rFonts w:ascii="Times New Roman" w:eastAsia="仿宋_GB2312" w:hAnsi="Times New Roman"/>
          <w:kern w:val="28"/>
          <w:sz w:val="30"/>
          <w:szCs w:val="30"/>
        </w:rPr>
        <w:t>1</w:t>
      </w:r>
      <w:r>
        <w:rPr>
          <w:rFonts w:ascii="Times New Roman" w:eastAsia="仿宋_GB2312" w:hAnsi="Times New Roman"/>
          <w:kern w:val="28"/>
          <w:sz w:val="30"/>
          <w:szCs w:val="30"/>
        </w:rPr>
        <w:t>）项约定支付的一次性违约金不足以补偿的，应补足甲方设备修复及恢复正常运行的直接费用。</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）给甲方造成电量损失的，按照双方签订的相关合同的有关约定处理。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17.6 </w:t>
      </w:r>
      <w:r>
        <w:rPr>
          <w:rFonts w:ascii="Times New Roman" w:eastAsia="仿宋_GB2312" w:hAnsi="Times New Roman"/>
          <w:kern w:val="28"/>
          <w:sz w:val="30"/>
          <w:szCs w:val="30"/>
        </w:rPr>
        <w:t>乙方有下列严重违约行为之一的，甲方可采取强制措施，直至对违约储能电站实施解列。乙方无权就此类解列后造成的损失向甲方提出索赔。</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储能电站未经电力调度机构同意擅自并网或解列。</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）在紧急情况下，储能电站违反第</w:t>
      </w:r>
      <w:r>
        <w:rPr>
          <w:rFonts w:ascii="Times New Roman" w:eastAsia="仿宋_GB2312" w:hAnsi="Times New Roman"/>
          <w:kern w:val="28"/>
          <w:sz w:val="30"/>
          <w:szCs w:val="30"/>
        </w:rPr>
        <w:t>7.1.1</w:t>
      </w:r>
      <w:r>
        <w:rPr>
          <w:rFonts w:ascii="Times New Roman" w:eastAsia="仿宋_GB2312" w:hAnsi="Times New Roman"/>
          <w:kern w:val="28"/>
          <w:sz w:val="30"/>
          <w:szCs w:val="30"/>
        </w:rPr>
        <w:t>款的约定。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）违反第</w:t>
      </w:r>
      <w:r>
        <w:rPr>
          <w:rFonts w:ascii="Times New Roman" w:eastAsia="仿宋_GB2312" w:hAnsi="Times New Roman"/>
          <w:kern w:val="28"/>
          <w:sz w:val="30"/>
          <w:szCs w:val="30"/>
        </w:rPr>
        <w:t>10.1</w:t>
      </w:r>
      <w:r>
        <w:rPr>
          <w:rFonts w:ascii="Times New Roman" w:eastAsia="仿宋_GB2312" w:hAnsi="Times New Roman"/>
          <w:kern w:val="28"/>
          <w:sz w:val="30"/>
          <w:szCs w:val="30"/>
        </w:rPr>
        <w:t>条、第</w:t>
      </w:r>
      <w:r>
        <w:rPr>
          <w:rFonts w:ascii="Times New Roman" w:eastAsia="仿宋_GB2312" w:hAnsi="Times New Roman"/>
          <w:kern w:val="28"/>
          <w:sz w:val="30"/>
          <w:szCs w:val="30"/>
        </w:rPr>
        <w:t>10.3</w:t>
      </w:r>
      <w:r>
        <w:rPr>
          <w:rFonts w:ascii="Times New Roman" w:eastAsia="仿宋_GB2312" w:hAnsi="Times New Roman"/>
          <w:kern w:val="28"/>
          <w:sz w:val="30"/>
          <w:szCs w:val="30"/>
        </w:rPr>
        <w:t>条、第</w:t>
      </w:r>
      <w:r>
        <w:rPr>
          <w:rFonts w:ascii="Times New Roman" w:eastAsia="仿宋_GB2312" w:hAnsi="Times New Roman"/>
          <w:kern w:val="28"/>
          <w:sz w:val="30"/>
          <w:szCs w:val="30"/>
        </w:rPr>
        <w:t>10.4</w:t>
      </w:r>
      <w:r>
        <w:rPr>
          <w:rFonts w:ascii="Times New Roman" w:eastAsia="仿宋_GB2312" w:hAnsi="Times New Roman"/>
          <w:kern w:val="28"/>
          <w:sz w:val="30"/>
          <w:szCs w:val="30"/>
        </w:rPr>
        <w:t>条、第</w:t>
      </w:r>
      <w:r>
        <w:rPr>
          <w:rFonts w:ascii="Times New Roman" w:eastAsia="仿宋_GB2312" w:hAnsi="Times New Roman"/>
          <w:kern w:val="28"/>
          <w:sz w:val="30"/>
          <w:szCs w:val="30"/>
        </w:rPr>
        <w:t>14.1</w:t>
      </w:r>
      <w:r>
        <w:rPr>
          <w:rFonts w:ascii="Times New Roman" w:eastAsia="仿宋_GB2312" w:hAnsi="Times New Roman"/>
          <w:kern w:val="28"/>
          <w:sz w:val="30"/>
          <w:szCs w:val="30"/>
        </w:rPr>
        <w:t>条、第</w:t>
      </w:r>
      <w:r>
        <w:rPr>
          <w:rFonts w:ascii="Times New Roman" w:eastAsia="仿宋_GB2312" w:hAnsi="Times New Roman"/>
          <w:kern w:val="28"/>
          <w:sz w:val="30"/>
          <w:szCs w:val="30"/>
        </w:rPr>
        <w:t>14.3</w:t>
      </w:r>
      <w:r>
        <w:rPr>
          <w:rFonts w:ascii="Times New Roman" w:eastAsia="仿宋_GB2312" w:hAnsi="Times New Roman"/>
          <w:kern w:val="28"/>
          <w:sz w:val="30"/>
          <w:szCs w:val="30"/>
        </w:rPr>
        <w:t>条、第</w:t>
      </w:r>
      <w:r>
        <w:rPr>
          <w:rFonts w:ascii="Times New Roman" w:eastAsia="仿宋_GB2312" w:hAnsi="Times New Roman"/>
          <w:kern w:val="28"/>
          <w:sz w:val="30"/>
          <w:szCs w:val="30"/>
        </w:rPr>
        <w:t>14.4</w:t>
      </w:r>
      <w:r>
        <w:rPr>
          <w:rFonts w:ascii="Times New Roman" w:eastAsia="仿宋_GB2312" w:hAnsi="Times New Roman"/>
          <w:kern w:val="28"/>
          <w:sz w:val="30"/>
          <w:szCs w:val="30"/>
        </w:rPr>
        <w:t>条、第</w:t>
      </w:r>
      <w:r>
        <w:rPr>
          <w:rFonts w:ascii="Times New Roman" w:eastAsia="仿宋_GB2312" w:hAnsi="Times New Roman"/>
          <w:kern w:val="28"/>
          <w:sz w:val="30"/>
          <w:szCs w:val="30"/>
        </w:rPr>
        <w:t>14.5</w:t>
      </w:r>
      <w:r>
        <w:rPr>
          <w:rFonts w:ascii="Times New Roman" w:eastAsia="仿宋_GB2312" w:hAnsi="Times New Roman"/>
          <w:kern w:val="28"/>
          <w:sz w:val="30"/>
          <w:szCs w:val="30"/>
        </w:rPr>
        <w:t>条、第</w:t>
      </w:r>
      <w:r>
        <w:rPr>
          <w:rFonts w:ascii="Times New Roman" w:eastAsia="仿宋_GB2312" w:hAnsi="Times New Roman"/>
          <w:kern w:val="28"/>
          <w:sz w:val="30"/>
          <w:szCs w:val="30"/>
        </w:rPr>
        <w:t>14.6</w:t>
      </w:r>
      <w:r>
        <w:rPr>
          <w:rFonts w:ascii="Times New Roman" w:eastAsia="仿宋_GB2312" w:hAnsi="Times New Roman"/>
          <w:kern w:val="28"/>
          <w:sz w:val="30"/>
          <w:szCs w:val="30"/>
        </w:rPr>
        <w:t>条、第</w:t>
      </w:r>
      <w:r>
        <w:rPr>
          <w:rFonts w:ascii="Times New Roman" w:eastAsia="仿宋_GB2312" w:hAnsi="Times New Roman"/>
          <w:kern w:val="28"/>
          <w:sz w:val="30"/>
          <w:szCs w:val="30"/>
        </w:rPr>
        <w:t>14.7</w:t>
      </w:r>
      <w:r>
        <w:rPr>
          <w:rFonts w:ascii="Times New Roman" w:eastAsia="仿宋_GB2312" w:hAnsi="Times New Roman"/>
          <w:kern w:val="28"/>
          <w:sz w:val="30"/>
          <w:szCs w:val="30"/>
        </w:rPr>
        <w:t>条的约定，存在安全隐患或可能造成并网机组及电网发生异常、故障。</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4</w:t>
      </w:r>
      <w:r>
        <w:rPr>
          <w:rFonts w:ascii="Times New Roman" w:eastAsia="仿宋_GB2312" w:hAnsi="Times New Roman"/>
          <w:kern w:val="28"/>
          <w:sz w:val="30"/>
          <w:szCs w:val="30"/>
        </w:rPr>
        <w:t>）在紧急情况下，储能电站不如实向电力调度机构反映储能电站设备（如电力监控系统安全防护、储能电池、变流器及电气设备等）和有关设施的真实情况。</w:t>
      </w:r>
    </w:p>
    <w:p w:rsidR="00000000" w:rsidRDefault="00000000">
      <w:pPr>
        <w:pStyle w:val="21"/>
        <w:numPr>
          <w:ilvl w:val="0"/>
          <w:numId w:val="0"/>
        </w:numPr>
        <w:topLinePunct/>
        <w:ind w:firstLineChars="200" w:firstLine="600"/>
        <w:jc w:val="left"/>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5</w:t>
      </w:r>
      <w:r>
        <w:rPr>
          <w:rFonts w:ascii="Times New Roman" w:eastAsia="仿宋_GB2312" w:hAnsi="Times New Roman"/>
          <w:kern w:val="28"/>
          <w:sz w:val="30"/>
          <w:szCs w:val="30"/>
        </w:rPr>
        <w:t>）双方约定的其他严重违约行为：</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17.7 </w:t>
      </w:r>
      <w:r>
        <w:rPr>
          <w:rFonts w:ascii="Times New Roman" w:eastAsia="仿宋_GB2312" w:hAnsi="Times New Roman"/>
          <w:kern w:val="28"/>
          <w:sz w:val="30"/>
          <w:szCs w:val="30"/>
        </w:rPr>
        <w:t>除本协议另有约定外，一旦发生违约行为，守约方应立即通知违约方停止违约行为，并尽快向违约方发出一份要求其纠正违约行为和请求其按照本协议的约定承担违约责任的书面通知。</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17.8 </w:t>
      </w:r>
      <w:r>
        <w:rPr>
          <w:rFonts w:ascii="Times New Roman" w:eastAsia="仿宋_GB2312" w:hAnsi="Times New Roman"/>
          <w:kern w:val="28"/>
          <w:sz w:val="30"/>
          <w:szCs w:val="30"/>
        </w:rPr>
        <w:t>违约方应立即采取措施纠正其违约行为，并按照本协议的约定确认违约行为，承担违约责任。</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1</w:t>
      </w:r>
      <w:r>
        <w:rPr>
          <w:rFonts w:ascii="Times New Roman" w:eastAsia="仿宋_GB2312" w:hAnsi="Times New Roman"/>
          <w:kern w:val="28"/>
          <w:sz w:val="30"/>
          <w:szCs w:val="30"/>
        </w:rPr>
        <w:t>）一次性违约金应在违约行为确认后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日内支付。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2</w:t>
      </w:r>
      <w:r>
        <w:rPr>
          <w:rFonts w:ascii="Times New Roman" w:eastAsia="仿宋_GB2312" w:hAnsi="Times New Roman"/>
          <w:kern w:val="28"/>
          <w:sz w:val="30"/>
          <w:szCs w:val="30"/>
        </w:rPr>
        <w:t>）直接经济损失超过一次性违约金部分应在损失认定后</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日内支付。</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w:t>
      </w:r>
      <w:r>
        <w:rPr>
          <w:rFonts w:ascii="Times New Roman" w:eastAsia="仿宋_GB2312" w:hAnsi="Times New Roman"/>
          <w:kern w:val="28"/>
          <w:sz w:val="30"/>
          <w:szCs w:val="30"/>
        </w:rPr>
        <w:t>3</w:t>
      </w:r>
      <w:r>
        <w:rPr>
          <w:rFonts w:ascii="Times New Roman" w:eastAsia="仿宋_GB2312" w:hAnsi="Times New Roman"/>
          <w:kern w:val="28"/>
          <w:sz w:val="30"/>
          <w:szCs w:val="30"/>
        </w:rPr>
        <w:t>）造成电量违约的，按照双方签订的相关合同的有关约定处理。</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sectPr w:rsidR="00000000">
          <w:pgSz w:w="11906" w:h="16838"/>
          <w:pgMar w:top="1701" w:right="1134" w:bottom="1247" w:left="1361" w:header="0" w:footer="1418" w:gutter="0"/>
          <w:cols w:space="720"/>
          <w:titlePg/>
          <w:docGrid w:type="lines" w:linePitch="312"/>
        </w:sectPr>
      </w:pPr>
      <w:r>
        <w:rPr>
          <w:rFonts w:ascii="Times New Roman" w:eastAsia="仿宋_GB2312" w:hAnsi="Times New Roman"/>
          <w:kern w:val="28"/>
          <w:sz w:val="30"/>
          <w:szCs w:val="30"/>
        </w:rPr>
        <w:t xml:space="preserve">17.9 </w:t>
      </w:r>
      <w:r>
        <w:rPr>
          <w:rFonts w:ascii="Times New Roman" w:eastAsia="仿宋_GB2312" w:hAnsi="Times New Roman"/>
          <w:kern w:val="28"/>
          <w:sz w:val="30"/>
          <w:szCs w:val="30"/>
        </w:rPr>
        <w:t>在本协议规定的履行期限届满之前，任何一方明确表示或以自己的行为表明不履行协议义务的，另一方可要求对方承担违约责任。</w:t>
      </w:r>
    </w:p>
    <w:p w:rsidR="00000000" w:rsidRDefault="00000000">
      <w:pPr>
        <w:pStyle w:val="d3"/>
        <w:rPr>
          <w:rFonts w:hint="eastAsia"/>
        </w:rPr>
      </w:pPr>
      <w:bookmarkStart w:id="15" w:name="_Toc350634486"/>
      <w:r>
        <w:rPr>
          <w:rFonts w:hint="eastAsia"/>
        </w:rPr>
        <w:t>第</w:t>
      </w:r>
      <w:r>
        <w:rPr>
          <w:rFonts w:hint="eastAsia"/>
          <w:b/>
        </w:rPr>
        <w:t>18</w:t>
      </w:r>
      <w:r>
        <w:rPr>
          <w:rFonts w:hint="eastAsia"/>
        </w:rPr>
        <w:t>章</w:t>
      </w:r>
      <w:r>
        <w:rPr>
          <w:rFonts w:hint="eastAsia"/>
        </w:rPr>
        <w:t xml:space="preserve">  </w:t>
      </w:r>
      <w:r>
        <w:rPr>
          <w:rFonts w:hint="eastAsia"/>
        </w:rPr>
        <w:t>协议的生效和期限</w:t>
      </w:r>
      <w:bookmarkEnd w:id="15"/>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18.1 </w:t>
      </w:r>
      <w:r>
        <w:rPr>
          <w:rFonts w:ascii="Times New Roman" w:eastAsia="仿宋_GB2312" w:hAnsi="Times New Roman"/>
          <w:kern w:val="28"/>
          <w:sz w:val="30"/>
          <w:szCs w:val="30"/>
        </w:rPr>
        <w:t>在满足以下条件时本协议生效：（</w:t>
      </w:r>
      <w:r>
        <w:rPr>
          <w:rFonts w:ascii="Times New Roman" w:eastAsia="仿宋_GB2312" w:hAnsi="Times New Roman"/>
          <w:kern w:val="28"/>
          <w:sz w:val="30"/>
          <w:szCs w:val="30"/>
        </w:rPr>
        <w:t>1</w:t>
      </w:r>
      <w:r>
        <w:rPr>
          <w:rFonts w:ascii="Times New Roman" w:eastAsia="仿宋_GB2312" w:hAnsi="Times New Roman"/>
          <w:kern w:val="28"/>
          <w:sz w:val="30"/>
          <w:szCs w:val="30"/>
        </w:rPr>
        <w:t>）储能电站并网所需的各项政府批文均已签署且生效；若属于特许权招标的项目，该项目特许权协议已生效。并网条件均已满足本协议相关条款。（</w:t>
      </w:r>
      <w:r>
        <w:rPr>
          <w:rFonts w:ascii="Times New Roman" w:eastAsia="仿宋_GB2312" w:hAnsi="Times New Roman"/>
          <w:kern w:val="28"/>
          <w:sz w:val="30"/>
          <w:szCs w:val="30"/>
        </w:rPr>
        <w:t>2</w:t>
      </w:r>
      <w:r>
        <w:rPr>
          <w:rFonts w:ascii="Times New Roman" w:eastAsia="仿宋_GB2312" w:hAnsi="Times New Roman"/>
          <w:kern w:val="28"/>
          <w:sz w:val="30"/>
          <w:szCs w:val="30"/>
        </w:rPr>
        <w:t>）</w:t>
      </w:r>
      <w:r>
        <w:rPr>
          <w:rFonts w:ascii="Times New Roman" w:eastAsia="仿宋_GB2312" w:hAnsi="Times New Roman"/>
          <w:spacing w:val="-4"/>
          <w:kern w:val="28"/>
          <w:sz w:val="30"/>
          <w:szCs w:val="30"/>
        </w:rPr>
        <w:t>本协议经双方法定代表人或委托代理人签字并加盖公章或合同专用章。</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    18.2 </w:t>
      </w:r>
      <w:r>
        <w:rPr>
          <w:rFonts w:ascii="Times New Roman" w:eastAsia="仿宋_GB2312" w:hAnsi="Times New Roman"/>
          <w:kern w:val="28"/>
          <w:sz w:val="30"/>
          <w:szCs w:val="30"/>
        </w:rPr>
        <w:t>本协议期限，自</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日至</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年</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月</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日止。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18.3 </w:t>
      </w:r>
      <w:r>
        <w:rPr>
          <w:rFonts w:ascii="Times New Roman" w:eastAsia="仿宋_GB2312" w:hAnsi="Times New Roman"/>
          <w:kern w:val="28"/>
          <w:sz w:val="30"/>
          <w:szCs w:val="30"/>
        </w:rPr>
        <w:t>本协议期限届满前</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日，若双方无异议，本协议到期后自动延期</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年，延期次数不限；若任何一方存有异议，应在合同期限届满前</w:t>
      </w:r>
      <w:r>
        <w:rPr>
          <w:rFonts w:ascii="Times New Roman" w:eastAsia="仿宋_GB2312" w:hAnsi="Times New Roman"/>
          <w:spacing w:val="-8"/>
          <w:kern w:val="28"/>
          <w:sz w:val="30"/>
          <w:szCs w:val="30"/>
          <w:u w:val="single"/>
        </w:rPr>
        <w:t xml:space="preserve">       </w:t>
      </w:r>
      <w:r>
        <w:rPr>
          <w:rFonts w:ascii="Times New Roman" w:eastAsia="仿宋_GB2312" w:hAnsi="Times New Roman"/>
          <w:kern w:val="28"/>
          <w:sz w:val="30"/>
          <w:szCs w:val="30"/>
        </w:rPr>
        <w:t>日书面通知对方，并在协议期限届满前进行协商，若协商不成，本协议期限届满后自动终止。</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18.4 </w:t>
      </w:r>
      <w:r>
        <w:rPr>
          <w:rFonts w:ascii="Times New Roman" w:eastAsia="仿宋_GB2312" w:hAnsi="Times New Roman"/>
          <w:kern w:val="28"/>
          <w:sz w:val="30"/>
          <w:szCs w:val="30"/>
        </w:rPr>
        <w:t>对于协议文本内容需要修改的情况，在本协议</w:t>
      </w:r>
      <w:r>
        <w:rPr>
          <w:rFonts w:ascii="Times New Roman" w:eastAsia="仿宋_GB2312" w:hAnsi="Times New Roman"/>
          <w:kern w:val="28"/>
          <w:sz w:val="30"/>
          <w:szCs w:val="30"/>
        </w:rPr>
        <w:t>18.2</w:t>
      </w:r>
      <w:r>
        <w:rPr>
          <w:rFonts w:ascii="Times New Roman" w:eastAsia="仿宋_GB2312" w:hAnsi="Times New Roman"/>
          <w:kern w:val="28"/>
          <w:sz w:val="30"/>
          <w:szCs w:val="30"/>
        </w:rPr>
        <w:t>条规定时间或</w:t>
      </w:r>
      <w:r>
        <w:rPr>
          <w:rFonts w:ascii="Times New Roman" w:eastAsia="仿宋_GB2312" w:hAnsi="Times New Roman"/>
          <w:kern w:val="28"/>
          <w:sz w:val="30"/>
          <w:szCs w:val="30"/>
        </w:rPr>
        <w:t>18.3</w:t>
      </w:r>
      <w:r>
        <w:rPr>
          <w:rFonts w:ascii="Times New Roman" w:eastAsia="仿宋_GB2312" w:hAnsi="Times New Roman"/>
          <w:kern w:val="28"/>
          <w:sz w:val="30"/>
          <w:szCs w:val="30"/>
        </w:rPr>
        <w:t>条最近一个延期时间期满前</w:t>
      </w:r>
      <w:r>
        <w:rPr>
          <w:rFonts w:ascii="Times New Roman" w:eastAsia="仿宋_GB2312" w:hAnsi="Times New Roman"/>
          <w:kern w:val="28"/>
          <w:sz w:val="30"/>
          <w:szCs w:val="30"/>
        </w:rPr>
        <w:t>3</w:t>
      </w:r>
      <w:r>
        <w:rPr>
          <w:rFonts w:ascii="Times New Roman" w:eastAsia="仿宋_GB2312" w:hAnsi="Times New Roman"/>
          <w:kern w:val="28"/>
          <w:sz w:val="30"/>
          <w:szCs w:val="30"/>
        </w:rPr>
        <w:t>个月，双方应就续签本协议的有关事宜进行商谈。</w:t>
      </w:r>
    </w:p>
    <w:p w:rsidR="00000000" w:rsidRDefault="00000000">
      <w:pPr>
        <w:pStyle w:val="d3"/>
        <w:rPr>
          <w:rFonts w:hint="eastAsia"/>
        </w:rPr>
      </w:pPr>
      <w:bookmarkStart w:id="16" w:name="_Toc350634487"/>
      <w:r>
        <w:br w:type="page"/>
      </w:r>
      <w:r>
        <w:rPr>
          <w:rFonts w:hint="eastAsia"/>
        </w:rPr>
        <w:t>第</w:t>
      </w:r>
      <w:r>
        <w:rPr>
          <w:rFonts w:hint="eastAsia"/>
          <w:b/>
        </w:rPr>
        <w:t>19</w:t>
      </w:r>
      <w:r>
        <w:rPr>
          <w:rFonts w:hint="eastAsia"/>
        </w:rPr>
        <w:t>章</w:t>
      </w:r>
      <w:r>
        <w:rPr>
          <w:rFonts w:hint="eastAsia"/>
        </w:rPr>
        <w:t xml:space="preserve">  </w:t>
      </w:r>
      <w:r>
        <w:rPr>
          <w:rFonts w:hint="eastAsia"/>
        </w:rPr>
        <w:t>协议的变更、转让和解除</w:t>
      </w:r>
      <w:bookmarkEnd w:id="16"/>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19.1 </w:t>
      </w:r>
      <w:r>
        <w:rPr>
          <w:rFonts w:ascii="Times New Roman" w:eastAsia="仿宋_GB2312" w:hAnsi="Times New Roman"/>
          <w:kern w:val="28"/>
          <w:sz w:val="30"/>
          <w:szCs w:val="30"/>
        </w:rPr>
        <w:t>本协议的任何变更、修改和补充必须以书面形式进行。生效条件同第</w:t>
      </w:r>
      <w:r>
        <w:rPr>
          <w:rFonts w:ascii="Times New Roman" w:eastAsia="仿宋_GB2312" w:hAnsi="Times New Roman"/>
          <w:kern w:val="28"/>
          <w:sz w:val="30"/>
          <w:szCs w:val="30"/>
        </w:rPr>
        <w:t>18.1</w:t>
      </w:r>
      <w:r>
        <w:rPr>
          <w:rFonts w:ascii="Times New Roman" w:eastAsia="仿宋_GB2312" w:hAnsi="Times New Roman"/>
          <w:kern w:val="28"/>
          <w:sz w:val="30"/>
          <w:szCs w:val="30"/>
        </w:rPr>
        <w:t>条。</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19.2 </w:t>
      </w:r>
      <w:r>
        <w:rPr>
          <w:rFonts w:ascii="Times New Roman" w:eastAsia="仿宋_GB2312" w:hAnsi="Times New Roman"/>
          <w:kern w:val="28"/>
          <w:sz w:val="30"/>
          <w:szCs w:val="30"/>
        </w:rPr>
        <w:t>双方明确表示，未经对方书面同意，均无权向第三方转让本协议项下所有或部分的权利或义务。因一方所有或大部分资产转移给另一实体，而致其无法履行本</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的，</w:t>
      </w:r>
      <w:r>
        <w:rPr>
          <w:rFonts w:ascii="Times New Roman" w:eastAsia="仿宋_GB2312" w:hAnsi="Times New Roman" w:hint="eastAsia"/>
          <w:kern w:val="28"/>
          <w:sz w:val="30"/>
          <w:szCs w:val="30"/>
        </w:rPr>
        <w:t>协议</w:t>
      </w:r>
      <w:r>
        <w:rPr>
          <w:rFonts w:ascii="Times New Roman" w:eastAsia="仿宋_GB2312" w:hAnsi="Times New Roman"/>
          <w:kern w:val="28"/>
          <w:sz w:val="30"/>
          <w:szCs w:val="30"/>
        </w:rPr>
        <w:t>一方应在该情况发生后</w:t>
      </w:r>
      <w:r>
        <w:rPr>
          <w:rFonts w:ascii="Times New Roman" w:eastAsia="仿宋_GB2312" w:hAnsi="Times New Roman"/>
          <w:kern w:val="28"/>
          <w:sz w:val="30"/>
          <w:szCs w:val="30"/>
          <w:u w:val="single"/>
        </w:rPr>
        <w:t xml:space="preserve">  </w:t>
      </w:r>
      <w:r>
        <w:rPr>
          <w:rFonts w:ascii="Times New Roman" w:eastAsia="仿宋_GB2312" w:hAnsi="Times New Roman" w:hint="eastAsia"/>
          <w:kern w:val="28"/>
          <w:sz w:val="30"/>
          <w:szCs w:val="30"/>
          <w:u w:val="single"/>
        </w:rPr>
        <w:t xml:space="preserve"> </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个工作日内通知对方，双方协商一致后，达成转让协议。</w:t>
      </w:r>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19.3 </w:t>
      </w:r>
      <w:r>
        <w:rPr>
          <w:rFonts w:ascii="Times New Roman" w:eastAsia="仿宋_GB2312" w:hAnsi="Times New Roman"/>
          <w:kern w:val="28"/>
          <w:sz w:val="30"/>
          <w:szCs w:val="30"/>
        </w:rPr>
        <w:t>在本协议的有效期限内，有下列情形之一的，双方同意对本协议进行相应调整和修改：</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1</w:t>
      </w:r>
      <w:r>
        <w:rPr>
          <w:kern w:val="28"/>
          <w:sz w:val="30"/>
          <w:szCs w:val="30"/>
        </w:rPr>
        <w:t>）国家有关法律、法规、规章以及政策变动对本协议履行造成重大影响的。</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2</w:t>
      </w:r>
      <w:r>
        <w:rPr>
          <w:kern w:val="28"/>
          <w:sz w:val="30"/>
          <w:szCs w:val="30"/>
        </w:rPr>
        <w:t>）本协议内容与能源监管机构颁布实施的有关强制性规则、办法、规定等相抵触。</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3</w:t>
      </w:r>
      <w:r>
        <w:rPr>
          <w:kern w:val="28"/>
          <w:sz w:val="30"/>
          <w:szCs w:val="30"/>
        </w:rPr>
        <w:t>）</w:t>
      </w:r>
      <w:r>
        <w:rPr>
          <w:spacing w:val="-6"/>
          <w:kern w:val="28"/>
          <w:sz w:val="30"/>
          <w:szCs w:val="30"/>
        </w:rPr>
        <w:t>双方约定的其他情形</w:t>
      </w:r>
      <w:r>
        <w:rPr>
          <w:kern w:val="28"/>
          <w:sz w:val="30"/>
          <w:szCs w:val="30"/>
        </w:rPr>
        <w:t>：</w:t>
      </w:r>
      <w:r>
        <w:rPr>
          <w:kern w:val="28"/>
          <w:sz w:val="30"/>
          <w:szCs w:val="30"/>
          <w:u w:val="single"/>
        </w:rPr>
        <w:t xml:space="preserve">　　　　　　　　　　　　　</w:t>
      </w:r>
      <w:r>
        <w:rPr>
          <w:kern w:val="28"/>
          <w:sz w:val="30"/>
          <w:szCs w:val="30"/>
        </w:rPr>
        <w:t>。</w:t>
      </w:r>
    </w:p>
    <w:p w:rsidR="00000000" w:rsidRDefault="00000000">
      <w:pPr>
        <w:pStyle w:val="21"/>
        <w:numPr>
          <w:ilvl w:val="0"/>
          <w:numId w:val="0"/>
        </w:numPr>
        <w:topLinePunct/>
        <w:spacing w:line="600" w:lineRule="exa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19.4 </w:t>
      </w:r>
      <w:r>
        <w:rPr>
          <w:rFonts w:ascii="Times New Roman" w:eastAsia="仿宋_GB2312" w:hAnsi="Times New Roman"/>
          <w:kern w:val="28"/>
          <w:sz w:val="30"/>
          <w:szCs w:val="30"/>
        </w:rPr>
        <w:t>协议解除</w:t>
      </w:r>
    </w:p>
    <w:p w:rsidR="00000000" w:rsidRDefault="00000000">
      <w:pPr>
        <w:topLinePunct/>
        <w:spacing w:line="600" w:lineRule="exact"/>
        <w:ind w:firstLineChars="200" w:firstLine="644"/>
        <w:rPr>
          <w:spacing w:val="11"/>
          <w:kern w:val="28"/>
          <w:sz w:val="30"/>
          <w:szCs w:val="30"/>
        </w:rPr>
      </w:pPr>
      <w:r>
        <w:rPr>
          <w:spacing w:val="11"/>
          <w:kern w:val="28"/>
          <w:sz w:val="30"/>
          <w:szCs w:val="30"/>
        </w:rPr>
        <w:t>如任何一方发生下列事件之一的，则另一方有权在发出解除通</w:t>
      </w:r>
    </w:p>
    <w:p w:rsidR="00000000" w:rsidRDefault="00000000">
      <w:pPr>
        <w:topLinePunct/>
        <w:spacing w:line="600" w:lineRule="exact"/>
        <w:rPr>
          <w:kern w:val="28"/>
          <w:sz w:val="30"/>
          <w:szCs w:val="30"/>
        </w:rPr>
      </w:pPr>
      <w:r>
        <w:rPr>
          <w:kern w:val="28"/>
          <w:sz w:val="30"/>
          <w:szCs w:val="30"/>
        </w:rPr>
        <w:t>知</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日后终止本协议：</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1</w:t>
      </w:r>
      <w:r>
        <w:rPr>
          <w:kern w:val="28"/>
          <w:sz w:val="30"/>
          <w:szCs w:val="30"/>
        </w:rPr>
        <w:t>）一方破产、清算或被吊销营业执照。</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2</w:t>
      </w:r>
      <w:r>
        <w:rPr>
          <w:kern w:val="28"/>
          <w:sz w:val="30"/>
          <w:szCs w:val="30"/>
        </w:rPr>
        <w:t>）一方与另一方合并或将其所有或大部分资产转移给另一实体，而该存续的企业不能承担其在本协议项下的所有义务。</w:t>
      </w:r>
    </w:p>
    <w:p w:rsidR="00000000" w:rsidRDefault="00000000">
      <w:pPr>
        <w:topLinePunct/>
        <w:spacing w:line="600" w:lineRule="exact"/>
        <w:ind w:firstLineChars="200" w:firstLine="600"/>
        <w:rPr>
          <w:kern w:val="28"/>
          <w:sz w:val="30"/>
          <w:szCs w:val="30"/>
        </w:rPr>
      </w:pPr>
      <w:r>
        <w:rPr>
          <w:kern w:val="28"/>
          <w:sz w:val="30"/>
          <w:szCs w:val="30"/>
        </w:rPr>
        <w:t>（</w:t>
      </w:r>
      <w:r>
        <w:rPr>
          <w:kern w:val="28"/>
          <w:sz w:val="30"/>
          <w:szCs w:val="30"/>
        </w:rPr>
        <w:t>3</w:t>
      </w:r>
      <w:r>
        <w:rPr>
          <w:kern w:val="28"/>
          <w:sz w:val="30"/>
          <w:szCs w:val="30"/>
        </w:rPr>
        <w:t>）</w:t>
      </w:r>
      <w:r>
        <w:rPr>
          <w:spacing w:val="-4"/>
          <w:kern w:val="28"/>
          <w:sz w:val="30"/>
          <w:szCs w:val="30"/>
        </w:rPr>
        <w:t>双方约定的其他解除协议的事项</w:t>
      </w:r>
      <w:r>
        <w:rPr>
          <w:kern w:val="28"/>
          <w:sz w:val="30"/>
          <w:szCs w:val="30"/>
        </w:rPr>
        <w:t>：</w:t>
      </w:r>
      <w:r>
        <w:rPr>
          <w:kern w:val="28"/>
          <w:sz w:val="30"/>
          <w:szCs w:val="30"/>
          <w:u w:val="single"/>
        </w:rPr>
        <w:t xml:space="preserve">　　　　　　　　</w:t>
      </w:r>
      <w:r>
        <w:rPr>
          <w:kern w:val="28"/>
          <w:sz w:val="30"/>
          <w:szCs w:val="30"/>
        </w:rPr>
        <w:t>。</w:t>
      </w:r>
    </w:p>
    <w:p w:rsidR="00000000" w:rsidRDefault="00000000">
      <w:pPr>
        <w:pStyle w:val="d3"/>
        <w:rPr>
          <w:rFonts w:hint="eastAsia"/>
        </w:rPr>
      </w:pPr>
      <w:bookmarkStart w:id="17" w:name="_Toc350634488"/>
      <w:r>
        <w:br w:type="page"/>
      </w:r>
      <w:r>
        <w:rPr>
          <w:rFonts w:hint="eastAsia"/>
        </w:rPr>
        <w:t>第</w:t>
      </w:r>
      <w:r>
        <w:rPr>
          <w:rFonts w:hint="eastAsia"/>
          <w:b/>
        </w:rPr>
        <w:t>20</w:t>
      </w:r>
      <w:r>
        <w:rPr>
          <w:rFonts w:hint="eastAsia"/>
        </w:rPr>
        <w:t>章</w:t>
      </w:r>
      <w:r>
        <w:rPr>
          <w:rFonts w:hint="eastAsia"/>
        </w:rPr>
        <w:t xml:space="preserve">  </w:t>
      </w:r>
      <w:r>
        <w:rPr>
          <w:rFonts w:hint="eastAsia"/>
        </w:rPr>
        <w:t>争议的解决</w:t>
      </w:r>
      <w:bookmarkEnd w:id="17"/>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20.1 </w:t>
      </w:r>
      <w:r>
        <w:rPr>
          <w:rFonts w:ascii="Times New Roman" w:eastAsia="仿宋_GB2312" w:hAnsi="Times New Roman"/>
          <w:kern w:val="28"/>
          <w:sz w:val="30"/>
          <w:szCs w:val="30"/>
        </w:rPr>
        <w:t>凡因执行本协议所发生的与本协议有关的一切争议，双方应协</w:t>
      </w:r>
      <w:r>
        <w:rPr>
          <w:rFonts w:ascii="Times New Roman" w:eastAsia="仿宋_GB2312" w:hAnsi="Times New Roman"/>
          <w:spacing w:val="6"/>
          <w:kern w:val="28"/>
          <w:sz w:val="30"/>
          <w:szCs w:val="30"/>
        </w:rPr>
        <w:t>商解决，也可提请能源监管机构调解。协商或调解不成的，选择以下</w:t>
      </w:r>
    </w:p>
    <w:p w:rsidR="00000000" w:rsidRDefault="00000000">
      <w:pPr>
        <w:pStyle w:val="21"/>
        <w:numPr>
          <w:ilvl w:val="0"/>
          <w:numId w:val="0"/>
        </w:numPr>
        <w:topLinePunct/>
        <w:outlineLvl w:val="9"/>
        <w:rPr>
          <w:rFonts w:ascii="Times New Roman" w:eastAsia="仿宋_GB2312" w:hAnsi="Times New Roman"/>
          <w:kern w:val="28"/>
          <w:sz w:val="30"/>
          <w:szCs w:val="30"/>
        </w:rPr>
      </w:pPr>
      <w:r>
        <w:rPr>
          <w:rFonts w:ascii="Times New Roman" w:eastAsia="仿宋_GB2312" w:hAnsi="Times New Roman"/>
          <w:kern w:val="28"/>
          <w:sz w:val="30"/>
          <w:szCs w:val="30"/>
        </w:rPr>
        <w:t>第</w:t>
      </w:r>
      <w:r>
        <w:rPr>
          <w:rFonts w:ascii="Times New Roman" w:eastAsia="仿宋_GB2312" w:hAnsi="Times New Roman"/>
          <w:kern w:val="28"/>
          <w:sz w:val="30"/>
          <w:szCs w:val="30"/>
          <w:u w:val="single"/>
        </w:rPr>
        <w:t xml:space="preserve">       </w:t>
      </w:r>
      <w:r>
        <w:rPr>
          <w:rFonts w:ascii="Times New Roman" w:eastAsia="仿宋_GB2312" w:hAnsi="Times New Roman"/>
          <w:kern w:val="28"/>
          <w:sz w:val="30"/>
          <w:szCs w:val="30"/>
        </w:rPr>
        <w:t>条处理</w:t>
      </w:r>
      <w:r>
        <w:rPr>
          <w:rStyle w:val="af9"/>
          <w:rFonts w:eastAsia="仿宋_GB2312"/>
          <w:kern w:val="28"/>
          <w:sz w:val="30"/>
          <w:szCs w:val="30"/>
        </w:rPr>
        <w:footnoteReference w:id="17"/>
      </w:r>
      <w:r>
        <w:rPr>
          <w:rFonts w:ascii="Times New Roman" w:eastAsia="仿宋_GB2312" w:hAnsi="Times New Roman"/>
          <w:kern w:val="28"/>
          <w:sz w:val="30"/>
          <w:szCs w:val="30"/>
        </w:rPr>
        <w:t>：</w:t>
      </w:r>
    </w:p>
    <w:p w:rsidR="00000000" w:rsidRDefault="00000000">
      <w:pPr>
        <w:topLinePunct/>
        <w:ind w:firstLineChars="200" w:firstLine="600"/>
        <w:rPr>
          <w:kern w:val="28"/>
          <w:sz w:val="30"/>
          <w:szCs w:val="30"/>
        </w:rPr>
      </w:pPr>
      <w:r>
        <w:rPr>
          <w:kern w:val="28"/>
          <w:sz w:val="30"/>
          <w:szCs w:val="30"/>
        </w:rPr>
        <w:t>（</w:t>
      </w:r>
      <w:r>
        <w:rPr>
          <w:kern w:val="28"/>
          <w:sz w:val="30"/>
          <w:szCs w:val="30"/>
        </w:rPr>
        <w:t>1</w:t>
      </w:r>
      <w:r>
        <w:rPr>
          <w:kern w:val="28"/>
          <w:sz w:val="30"/>
          <w:szCs w:val="30"/>
        </w:rPr>
        <w:t>）双方同意提请</w:t>
      </w:r>
      <w:r>
        <w:rPr>
          <w:kern w:val="28"/>
          <w:sz w:val="30"/>
          <w:szCs w:val="30"/>
          <w:u w:val="single"/>
        </w:rPr>
        <w:t xml:space="preserve">　</w:t>
      </w:r>
      <w:r>
        <w:rPr>
          <w:kern w:val="28"/>
          <w:sz w:val="30"/>
          <w:szCs w:val="30"/>
          <w:u w:val="single"/>
        </w:rPr>
        <w:t xml:space="preserve">      </w:t>
      </w:r>
      <w:r>
        <w:rPr>
          <w:kern w:val="28"/>
          <w:sz w:val="30"/>
          <w:szCs w:val="30"/>
        </w:rPr>
        <w:t>仲裁委员会，请求按照其仲裁规则进行仲裁。仲裁裁决是终局的，对双方均具有法律约束力。</w:t>
      </w:r>
    </w:p>
    <w:p w:rsidR="00000000" w:rsidRDefault="00000000">
      <w:pPr>
        <w:topLinePunct/>
        <w:ind w:firstLineChars="200" w:firstLine="600"/>
        <w:rPr>
          <w:rFonts w:ascii="仿宋_GB2312" w:hint="eastAsia"/>
          <w:kern w:val="28"/>
          <w:sz w:val="30"/>
          <w:szCs w:val="30"/>
        </w:rPr>
      </w:pPr>
      <w:r>
        <w:rPr>
          <w:kern w:val="28"/>
          <w:sz w:val="30"/>
          <w:szCs w:val="30"/>
        </w:rPr>
        <w:t>（</w:t>
      </w:r>
      <w:r>
        <w:rPr>
          <w:kern w:val="28"/>
          <w:sz w:val="30"/>
          <w:szCs w:val="30"/>
        </w:rPr>
        <w:t>2</w:t>
      </w:r>
      <w:r>
        <w:rPr>
          <w:kern w:val="28"/>
          <w:sz w:val="30"/>
          <w:szCs w:val="30"/>
        </w:rPr>
        <w:t>）任何一方依法提请</w:t>
      </w:r>
      <w:r>
        <w:rPr>
          <w:kern w:val="28"/>
          <w:sz w:val="30"/>
          <w:szCs w:val="30"/>
          <w:u w:val="single"/>
        </w:rPr>
        <w:t xml:space="preserve">　</w:t>
      </w:r>
      <w:r>
        <w:rPr>
          <w:kern w:val="28"/>
          <w:sz w:val="30"/>
          <w:szCs w:val="30"/>
          <w:u w:val="single"/>
        </w:rPr>
        <w:t xml:space="preserve">      </w:t>
      </w:r>
      <w:r>
        <w:rPr>
          <w:kern w:val="28"/>
          <w:sz w:val="30"/>
          <w:szCs w:val="30"/>
        </w:rPr>
        <w:t>人民法院通过诉讼程序解决。</w:t>
      </w:r>
    </w:p>
    <w:p w:rsidR="00000000" w:rsidRDefault="00000000">
      <w:pPr>
        <w:pStyle w:val="d3"/>
        <w:rPr>
          <w:rFonts w:hint="eastAsia"/>
        </w:rPr>
      </w:pPr>
      <w:bookmarkStart w:id="18" w:name="_Toc350634489"/>
      <w:r>
        <w:br w:type="page"/>
      </w:r>
      <w:r>
        <w:rPr>
          <w:rFonts w:hint="eastAsia"/>
        </w:rPr>
        <w:t>第</w:t>
      </w:r>
      <w:r>
        <w:rPr>
          <w:rFonts w:hint="eastAsia"/>
          <w:b/>
        </w:rPr>
        <w:t>21</w:t>
      </w:r>
      <w:r>
        <w:rPr>
          <w:rFonts w:hint="eastAsia"/>
        </w:rPr>
        <w:t>章</w:t>
      </w:r>
      <w:r>
        <w:rPr>
          <w:rFonts w:hint="eastAsia"/>
        </w:rPr>
        <w:t xml:space="preserve">  </w:t>
      </w:r>
      <w:r>
        <w:rPr>
          <w:rFonts w:hint="eastAsia"/>
        </w:rPr>
        <w:t>适用法律</w:t>
      </w:r>
      <w:bookmarkEnd w:id="18"/>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21.1 </w:t>
      </w:r>
      <w:r>
        <w:rPr>
          <w:rFonts w:ascii="Times New Roman" w:eastAsia="仿宋_GB2312" w:hAnsi="Times New Roman"/>
          <w:kern w:val="28"/>
          <w:sz w:val="30"/>
          <w:szCs w:val="30"/>
        </w:rPr>
        <w:t>本协议的订立、效力、解释、履行和争议的解决均适用中华人民共和国法律。</w:t>
      </w:r>
    </w:p>
    <w:p w:rsidR="00000000" w:rsidRDefault="00000000">
      <w:pPr>
        <w:pStyle w:val="d3"/>
        <w:rPr>
          <w:rFonts w:hint="eastAsia"/>
        </w:rPr>
      </w:pPr>
      <w:bookmarkStart w:id="19" w:name="_Toc350634490"/>
      <w:r>
        <w:br w:type="page"/>
      </w:r>
      <w:r>
        <w:rPr>
          <w:rFonts w:hint="eastAsia"/>
        </w:rPr>
        <w:t>第</w:t>
      </w:r>
      <w:r>
        <w:rPr>
          <w:rFonts w:hint="eastAsia"/>
          <w:b/>
        </w:rPr>
        <w:t>22</w:t>
      </w:r>
      <w:r>
        <w:rPr>
          <w:rFonts w:hint="eastAsia"/>
        </w:rPr>
        <w:t>章</w:t>
      </w:r>
      <w:r>
        <w:rPr>
          <w:rFonts w:hint="eastAsia"/>
        </w:rPr>
        <w:t xml:space="preserve">  </w:t>
      </w:r>
      <w:r>
        <w:rPr>
          <w:rFonts w:hint="eastAsia"/>
        </w:rPr>
        <w:t>其他</w:t>
      </w:r>
      <w:bookmarkEnd w:id="19"/>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22.1 </w:t>
      </w:r>
      <w:r>
        <w:rPr>
          <w:rFonts w:ascii="Times New Roman" w:eastAsia="仿宋_GB2312" w:hAnsi="Times New Roman"/>
          <w:kern w:val="28"/>
          <w:sz w:val="30"/>
          <w:szCs w:val="30"/>
        </w:rPr>
        <w:t>保密</w:t>
      </w:r>
    </w:p>
    <w:p w:rsidR="00000000" w:rsidRDefault="00000000">
      <w:pPr>
        <w:topLinePunct/>
        <w:ind w:firstLineChars="200" w:firstLine="584"/>
        <w:rPr>
          <w:spacing w:val="-4"/>
          <w:kern w:val="28"/>
          <w:sz w:val="30"/>
          <w:szCs w:val="30"/>
        </w:rPr>
      </w:pPr>
      <w:r>
        <w:rPr>
          <w:spacing w:val="-4"/>
          <w:kern w:val="28"/>
          <w:sz w:val="30"/>
          <w:szCs w:val="30"/>
        </w:rPr>
        <w:t>双方保证对从另一方取得且无法自公开渠道获得的资料和文件予以保密。未经该资料和文件的原提供方同意，另一方不得向任何第三方泄露该资料和文件的全部或部分内容。但国家另有规定的除外。</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22.2 </w:t>
      </w:r>
      <w:r>
        <w:rPr>
          <w:rFonts w:ascii="Times New Roman" w:eastAsia="仿宋_GB2312" w:hAnsi="Times New Roman"/>
          <w:kern w:val="28"/>
          <w:sz w:val="30"/>
          <w:szCs w:val="30"/>
        </w:rPr>
        <w:t>协议附件</w:t>
      </w:r>
      <w:r>
        <w:rPr>
          <w:rStyle w:val="af9"/>
          <w:rFonts w:eastAsia="仿宋_GB2312"/>
          <w:kern w:val="28"/>
          <w:sz w:val="30"/>
          <w:szCs w:val="30"/>
        </w:rPr>
        <w:footnoteReference w:id="18"/>
      </w:r>
    </w:p>
    <w:p w:rsidR="00000000" w:rsidRDefault="00000000">
      <w:pPr>
        <w:topLinePunct/>
        <w:ind w:firstLineChars="200" w:firstLine="600"/>
        <w:rPr>
          <w:kern w:val="28"/>
          <w:sz w:val="30"/>
          <w:szCs w:val="30"/>
        </w:rPr>
      </w:pPr>
      <w:r>
        <w:rPr>
          <w:kern w:val="28"/>
          <w:sz w:val="30"/>
          <w:szCs w:val="30"/>
        </w:rPr>
        <w:t>附件</w:t>
      </w:r>
      <w:r>
        <w:rPr>
          <w:kern w:val="28"/>
          <w:sz w:val="30"/>
          <w:szCs w:val="30"/>
        </w:rPr>
        <w:t>1</w:t>
      </w:r>
      <w:r>
        <w:rPr>
          <w:kern w:val="28"/>
          <w:sz w:val="30"/>
          <w:szCs w:val="30"/>
        </w:rPr>
        <w:t>：并网点图示</w:t>
      </w:r>
    </w:p>
    <w:p w:rsidR="00000000" w:rsidRDefault="00000000">
      <w:pPr>
        <w:topLinePunct/>
        <w:ind w:firstLineChars="200" w:firstLine="600"/>
        <w:rPr>
          <w:kern w:val="28"/>
          <w:sz w:val="30"/>
          <w:szCs w:val="30"/>
        </w:rPr>
      </w:pPr>
      <w:r>
        <w:rPr>
          <w:kern w:val="28"/>
          <w:sz w:val="30"/>
          <w:szCs w:val="30"/>
        </w:rPr>
        <w:t>附件</w:t>
      </w:r>
      <w:r>
        <w:rPr>
          <w:kern w:val="28"/>
          <w:sz w:val="30"/>
          <w:szCs w:val="30"/>
        </w:rPr>
        <w:t>2</w:t>
      </w:r>
      <w:r>
        <w:rPr>
          <w:kern w:val="28"/>
          <w:sz w:val="30"/>
          <w:szCs w:val="30"/>
        </w:rPr>
        <w:t>：储能电站技术参数</w:t>
      </w:r>
    </w:p>
    <w:p w:rsidR="00000000" w:rsidRDefault="00000000">
      <w:pPr>
        <w:topLinePunct/>
        <w:ind w:firstLineChars="200" w:firstLine="600"/>
        <w:rPr>
          <w:kern w:val="28"/>
          <w:sz w:val="30"/>
          <w:szCs w:val="30"/>
        </w:rPr>
      </w:pPr>
      <w:r>
        <w:rPr>
          <w:kern w:val="28"/>
          <w:sz w:val="30"/>
          <w:szCs w:val="30"/>
        </w:rPr>
        <w:t>附件</w:t>
      </w:r>
      <w:r>
        <w:rPr>
          <w:kern w:val="28"/>
          <w:sz w:val="30"/>
          <w:szCs w:val="30"/>
        </w:rPr>
        <w:t>3</w:t>
      </w:r>
      <w:r>
        <w:rPr>
          <w:kern w:val="28"/>
          <w:sz w:val="30"/>
          <w:szCs w:val="30"/>
        </w:rPr>
        <w:t>：储能电站设备调度管辖范围划分</w:t>
      </w:r>
    </w:p>
    <w:p w:rsidR="00000000" w:rsidRDefault="00000000">
      <w:pPr>
        <w:topLinePunct/>
        <w:ind w:firstLineChars="200" w:firstLine="600"/>
        <w:rPr>
          <w:kern w:val="28"/>
          <w:sz w:val="30"/>
          <w:szCs w:val="30"/>
        </w:rPr>
      </w:pPr>
      <w:r>
        <w:rPr>
          <w:kern w:val="28"/>
          <w:sz w:val="30"/>
          <w:szCs w:val="30"/>
        </w:rPr>
        <w:t>本协议的附件是本协议不可缺少的组成部分，与本协议具有同等法律效力。当协议正文与附件之间产生解释分歧时，首先应依据争议事项的性质，以与争议点最相关的和对该争议点处理更深入的内容为准。如果采用上述原则后分歧和矛盾仍然存在，则由双方本着诚实信用的原则按协议目的协商确定。</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22.3 </w:t>
      </w:r>
      <w:r>
        <w:rPr>
          <w:rFonts w:ascii="Times New Roman" w:eastAsia="仿宋_GB2312" w:hAnsi="Times New Roman"/>
          <w:kern w:val="28"/>
          <w:sz w:val="30"/>
          <w:szCs w:val="30"/>
        </w:rPr>
        <w:t>协议全部</w:t>
      </w:r>
    </w:p>
    <w:p w:rsidR="00000000" w:rsidRDefault="00000000">
      <w:pPr>
        <w:topLinePunct/>
        <w:ind w:firstLineChars="200" w:firstLine="600"/>
        <w:rPr>
          <w:kern w:val="28"/>
          <w:sz w:val="30"/>
          <w:szCs w:val="30"/>
        </w:rPr>
      </w:pPr>
      <w:r>
        <w:rPr>
          <w:kern w:val="28"/>
          <w:sz w:val="30"/>
          <w:szCs w:val="30"/>
        </w:rPr>
        <w:t>本协议及其附件构成双方就本协议标的达成的全部协议，并且取代所有双方在此之前就本协议所进行的任何讨论、谈判、合同和协议。</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22.4 </w:t>
      </w:r>
      <w:r>
        <w:rPr>
          <w:rFonts w:ascii="Times New Roman" w:eastAsia="仿宋_GB2312" w:hAnsi="Times New Roman"/>
          <w:kern w:val="28"/>
          <w:sz w:val="30"/>
          <w:szCs w:val="30"/>
        </w:rPr>
        <w:t>通知与送达</w:t>
      </w:r>
    </w:p>
    <w:p w:rsidR="00000000" w:rsidRDefault="00000000">
      <w:pPr>
        <w:topLinePunct/>
        <w:ind w:firstLineChars="200" w:firstLine="600"/>
        <w:rPr>
          <w:kern w:val="28"/>
          <w:sz w:val="30"/>
          <w:szCs w:val="30"/>
        </w:rPr>
      </w:pPr>
      <w:r>
        <w:rPr>
          <w:kern w:val="28"/>
          <w:sz w:val="30"/>
          <w:szCs w:val="30"/>
        </w:rPr>
        <w:t>任何与本协议有关的通知、文件均须以书面方式进行。通过挂号信、快递或当面送交的，经收件方签字确认即被认为送达；若以传真方式发出，则被确认已接收即视为送达。所有通知、文件均在送达或接收后方能生效。所有通知应发往本协议提供的下列地址。当一方书面通知另一方变更地址时，应发往变更后的地址。</w:t>
      </w:r>
    </w:p>
    <w:p w:rsidR="00000000" w:rsidRDefault="00000000">
      <w:pPr>
        <w:topLinePunct/>
        <w:ind w:firstLineChars="200" w:firstLine="600"/>
        <w:rPr>
          <w:kern w:val="28"/>
          <w:sz w:val="30"/>
          <w:szCs w:val="30"/>
        </w:rPr>
      </w:pPr>
      <w:r>
        <w:rPr>
          <w:kern w:val="28"/>
          <w:sz w:val="30"/>
          <w:szCs w:val="30"/>
        </w:rPr>
        <w:t>甲方：</w:t>
      </w:r>
    </w:p>
    <w:p w:rsidR="00000000" w:rsidRDefault="00000000">
      <w:pPr>
        <w:topLinePunct/>
        <w:ind w:firstLineChars="200" w:firstLine="600"/>
        <w:rPr>
          <w:kern w:val="28"/>
          <w:sz w:val="30"/>
          <w:szCs w:val="30"/>
        </w:rPr>
      </w:pPr>
      <w:r>
        <w:rPr>
          <w:kern w:val="28"/>
          <w:sz w:val="30"/>
          <w:szCs w:val="30"/>
        </w:rPr>
        <w:t>收件人：</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 xml:space="preserve">          </w:t>
      </w:r>
      <w:r>
        <w:rPr>
          <w:kern w:val="28"/>
          <w:sz w:val="30"/>
          <w:szCs w:val="30"/>
        </w:rPr>
        <w:t>传真：</w:t>
      </w:r>
      <w:r>
        <w:rPr>
          <w:kern w:val="28"/>
          <w:sz w:val="30"/>
          <w:szCs w:val="30"/>
          <w:u w:val="single"/>
        </w:rPr>
        <w:t xml:space="preserve">          </w:t>
      </w:r>
      <w:r>
        <w:rPr>
          <w:kern w:val="28"/>
          <w:sz w:val="30"/>
          <w:szCs w:val="30"/>
        </w:rPr>
        <w:t>邮编：</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            </w:t>
      </w:r>
      <w:r>
        <w:rPr>
          <w:kern w:val="28"/>
          <w:sz w:val="30"/>
          <w:szCs w:val="30"/>
        </w:rPr>
        <w:t>通信地址：</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乙方：</w:t>
      </w:r>
    </w:p>
    <w:p w:rsidR="00000000" w:rsidRDefault="00000000">
      <w:pPr>
        <w:topLinePunct/>
        <w:ind w:firstLineChars="200" w:firstLine="600"/>
        <w:rPr>
          <w:kern w:val="28"/>
          <w:sz w:val="30"/>
          <w:szCs w:val="30"/>
        </w:rPr>
      </w:pPr>
      <w:r>
        <w:rPr>
          <w:kern w:val="28"/>
          <w:sz w:val="30"/>
          <w:szCs w:val="30"/>
        </w:rPr>
        <w:t>收件人：</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电话：</w:t>
      </w:r>
      <w:r>
        <w:rPr>
          <w:kern w:val="28"/>
          <w:sz w:val="30"/>
          <w:szCs w:val="30"/>
          <w:u w:val="single"/>
        </w:rPr>
        <w:t xml:space="preserve">          </w:t>
      </w:r>
      <w:r>
        <w:rPr>
          <w:kern w:val="28"/>
          <w:sz w:val="30"/>
          <w:szCs w:val="30"/>
        </w:rPr>
        <w:t>传真：</w:t>
      </w:r>
      <w:r>
        <w:rPr>
          <w:kern w:val="28"/>
          <w:sz w:val="30"/>
          <w:szCs w:val="30"/>
          <w:u w:val="single"/>
        </w:rPr>
        <w:t xml:space="preserve">          </w:t>
      </w:r>
      <w:r>
        <w:rPr>
          <w:kern w:val="28"/>
          <w:sz w:val="30"/>
          <w:szCs w:val="30"/>
        </w:rPr>
        <w:t>邮编：</w:t>
      </w:r>
      <w:r>
        <w:rPr>
          <w:kern w:val="28"/>
          <w:sz w:val="30"/>
          <w:szCs w:val="30"/>
          <w:u w:val="single"/>
        </w:rPr>
        <w:t xml:space="preserve">            </w:t>
      </w:r>
    </w:p>
    <w:p w:rsidR="00000000" w:rsidRDefault="00000000">
      <w:pPr>
        <w:topLinePunct/>
        <w:ind w:firstLineChars="200" w:firstLine="600"/>
        <w:rPr>
          <w:kern w:val="28"/>
          <w:sz w:val="30"/>
          <w:szCs w:val="30"/>
        </w:rPr>
      </w:pPr>
      <w:r>
        <w:rPr>
          <w:kern w:val="28"/>
          <w:sz w:val="30"/>
          <w:szCs w:val="30"/>
        </w:rPr>
        <w:t>电子邮件：</w:t>
      </w:r>
      <w:r>
        <w:rPr>
          <w:kern w:val="28"/>
          <w:sz w:val="30"/>
          <w:szCs w:val="30"/>
          <w:u w:val="single"/>
        </w:rPr>
        <w:t xml:space="preserve">            </w:t>
      </w:r>
      <w:r>
        <w:rPr>
          <w:kern w:val="28"/>
          <w:sz w:val="30"/>
          <w:szCs w:val="30"/>
        </w:rPr>
        <w:t>通信地址：</w:t>
      </w:r>
      <w:r>
        <w:rPr>
          <w:kern w:val="28"/>
          <w:sz w:val="30"/>
          <w:szCs w:val="30"/>
          <w:u w:val="single"/>
        </w:rPr>
        <w:t xml:space="preserve">            </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22.5 </w:t>
      </w:r>
      <w:r>
        <w:rPr>
          <w:rFonts w:ascii="Times New Roman" w:eastAsia="仿宋_GB2312" w:hAnsi="Times New Roman"/>
          <w:kern w:val="28"/>
          <w:sz w:val="30"/>
          <w:szCs w:val="30"/>
        </w:rPr>
        <w:t>不放弃权利</w:t>
      </w:r>
    </w:p>
    <w:p w:rsidR="00000000" w:rsidRDefault="00000000">
      <w:pPr>
        <w:topLinePunct/>
        <w:ind w:firstLineChars="200" w:firstLine="600"/>
        <w:rPr>
          <w:kern w:val="28"/>
          <w:sz w:val="30"/>
          <w:szCs w:val="30"/>
        </w:rPr>
      </w:pPr>
      <w:r>
        <w:rPr>
          <w:kern w:val="28"/>
          <w:sz w:val="30"/>
          <w:szCs w:val="30"/>
        </w:rPr>
        <w:t>任何一方未通过书面方式声明放弃其在本协议项下的任何权利，则不应被视为其弃权。任何一方未行使其在本协议项下的任何权利，均不应被视为对任何上述权利的放弃或对今后任何上述权利的放弃。</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22.6 </w:t>
      </w:r>
      <w:r>
        <w:rPr>
          <w:rFonts w:ascii="Times New Roman" w:eastAsia="仿宋_GB2312" w:hAnsi="Times New Roman"/>
          <w:kern w:val="28"/>
          <w:sz w:val="30"/>
          <w:szCs w:val="30"/>
        </w:rPr>
        <w:t>继续有效</w:t>
      </w:r>
    </w:p>
    <w:p w:rsidR="00000000" w:rsidRDefault="00000000">
      <w:pPr>
        <w:topLinePunct/>
        <w:ind w:firstLineChars="200" w:firstLine="584"/>
        <w:rPr>
          <w:spacing w:val="-4"/>
          <w:kern w:val="28"/>
          <w:sz w:val="30"/>
          <w:szCs w:val="30"/>
        </w:rPr>
      </w:pPr>
      <w:r>
        <w:rPr>
          <w:spacing w:val="-4"/>
          <w:kern w:val="28"/>
          <w:sz w:val="30"/>
          <w:szCs w:val="30"/>
        </w:rPr>
        <w:t>本协议中有关争议解决和保密的条款在本协议终止后仍然有效。</w:t>
      </w:r>
    </w:p>
    <w:p w:rsidR="00000000" w:rsidRDefault="00000000">
      <w:pPr>
        <w:pStyle w:val="21"/>
        <w:numPr>
          <w:ilvl w:val="0"/>
          <w:numId w:val="0"/>
        </w:numPr>
        <w:topLinePunct/>
        <w:ind w:firstLineChars="200" w:firstLine="600"/>
        <w:outlineLvl w:val="9"/>
        <w:rPr>
          <w:rFonts w:ascii="Times New Roman" w:eastAsia="仿宋_GB2312" w:hAnsi="Times New Roman"/>
          <w:kern w:val="28"/>
          <w:sz w:val="30"/>
          <w:szCs w:val="30"/>
        </w:rPr>
      </w:pPr>
      <w:r>
        <w:rPr>
          <w:rFonts w:ascii="Times New Roman" w:eastAsia="仿宋_GB2312" w:hAnsi="Times New Roman"/>
          <w:kern w:val="28"/>
          <w:sz w:val="30"/>
          <w:szCs w:val="30"/>
        </w:rPr>
        <w:t xml:space="preserve">22.7 </w:t>
      </w:r>
      <w:r>
        <w:rPr>
          <w:rFonts w:ascii="Times New Roman" w:eastAsia="仿宋_GB2312" w:hAnsi="Times New Roman"/>
          <w:kern w:val="28"/>
          <w:sz w:val="30"/>
          <w:szCs w:val="30"/>
        </w:rPr>
        <w:t>协议文本</w:t>
      </w:r>
    </w:p>
    <w:p w:rsidR="00000000" w:rsidRDefault="00000000">
      <w:pPr>
        <w:topLinePunct/>
        <w:ind w:firstLineChars="200" w:firstLine="600"/>
        <w:rPr>
          <w:kern w:val="28"/>
          <w:sz w:val="30"/>
          <w:szCs w:val="30"/>
        </w:rPr>
      </w:pPr>
      <w:r>
        <w:rPr>
          <w:kern w:val="28"/>
          <w:sz w:val="30"/>
          <w:szCs w:val="30"/>
        </w:rPr>
        <w:t>本协议共</w:t>
      </w:r>
      <w:r>
        <w:rPr>
          <w:kern w:val="28"/>
          <w:sz w:val="30"/>
          <w:szCs w:val="30"/>
          <w:u w:val="single"/>
        </w:rPr>
        <w:t xml:space="preserve">    </w:t>
      </w:r>
      <w:r>
        <w:rPr>
          <w:kern w:val="28"/>
          <w:sz w:val="30"/>
          <w:szCs w:val="30"/>
        </w:rPr>
        <w:t>页，一式</w:t>
      </w:r>
      <w:r>
        <w:rPr>
          <w:kern w:val="28"/>
          <w:sz w:val="30"/>
          <w:szCs w:val="30"/>
          <w:u w:val="single"/>
        </w:rPr>
        <w:t xml:space="preserve">    </w:t>
      </w:r>
      <w:r>
        <w:rPr>
          <w:kern w:val="28"/>
          <w:sz w:val="30"/>
          <w:szCs w:val="30"/>
        </w:rPr>
        <w:t>份，双方各执</w:t>
      </w:r>
      <w:r>
        <w:rPr>
          <w:kern w:val="28"/>
          <w:sz w:val="30"/>
          <w:szCs w:val="30"/>
          <w:u w:val="single"/>
        </w:rPr>
        <w:t xml:space="preserve">    </w:t>
      </w:r>
      <w:r>
        <w:rPr>
          <w:kern w:val="28"/>
          <w:sz w:val="30"/>
          <w:szCs w:val="30"/>
        </w:rPr>
        <w:t>份，</w:t>
      </w:r>
      <w:r>
        <w:rPr>
          <w:sz w:val="30"/>
          <w:szCs w:val="30"/>
        </w:rPr>
        <w:t>按照能源监管机构要求方式送能源监管机构</w:t>
      </w:r>
      <w:r>
        <w:rPr>
          <w:kern w:val="28"/>
          <w:sz w:val="30"/>
          <w:szCs w:val="30"/>
          <w:u w:val="single"/>
        </w:rPr>
        <w:t xml:space="preserve">           </w:t>
      </w:r>
      <w:r>
        <w:rPr>
          <w:rStyle w:val="af9"/>
          <w:rFonts w:eastAsia="仿宋_GB2312"/>
          <w:kern w:val="28"/>
          <w:sz w:val="30"/>
          <w:szCs w:val="30"/>
        </w:rPr>
        <w:footnoteReference w:id="19"/>
      </w:r>
      <w:r>
        <w:rPr>
          <w:kern w:val="28"/>
          <w:sz w:val="30"/>
          <w:szCs w:val="30"/>
        </w:rPr>
        <w:t>备案。</w:t>
      </w:r>
    </w:p>
    <w:p w:rsidR="00000000" w:rsidRDefault="00000000">
      <w:pPr>
        <w:topLinePunct/>
        <w:ind w:firstLineChars="200" w:firstLine="600"/>
        <w:rPr>
          <w:kern w:val="28"/>
          <w:sz w:val="30"/>
          <w:szCs w:val="30"/>
        </w:rPr>
      </w:pPr>
      <w:r>
        <w:rPr>
          <w:kern w:val="28"/>
          <w:sz w:val="30"/>
          <w:szCs w:val="30"/>
        </w:rPr>
        <w:t xml:space="preserve">22.8 </w:t>
      </w:r>
      <w:r>
        <w:rPr>
          <w:kern w:val="28"/>
          <w:sz w:val="30"/>
          <w:szCs w:val="30"/>
        </w:rPr>
        <w:t>特别约定：</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甲方（盖章）：</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乙方（盖章）：</w:t>
      </w:r>
    </w:p>
    <w:p w:rsidR="00000000" w:rsidRDefault="00000000">
      <w:pPr>
        <w:topLinePunct/>
        <w:ind w:firstLineChars="200" w:firstLine="600"/>
        <w:rPr>
          <w:kern w:val="28"/>
          <w:sz w:val="30"/>
          <w:szCs w:val="30"/>
        </w:rPr>
      </w:pPr>
      <w:r>
        <w:rPr>
          <w:kern w:val="28"/>
          <w:sz w:val="30"/>
          <w:szCs w:val="30"/>
        </w:rPr>
        <w:t>法定代表人：</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rFonts w:hint="eastAsia"/>
          <w:kern w:val="28"/>
          <w:sz w:val="30"/>
          <w:szCs w:val="30"/>
        </w:rPr>
        <w:t xml:space="preserve">   </w:t>
      </w:r>
      <w:r>
        <w:rPr>
          <w:kern w:val="28"/>
          <w:sz w:val="30"/>
          <w:szCs w:val="30"/>
        </w:rPr>
        <w:t>法定代表人：</w:t>
      </w:r>
    </w:p>
    <w:p w:rsidR="00000000" w:rsidRDefault="00000000">
      <w:pPr>
        <w:topLinePunct/>
        <w:ind w:firstLineChars="200" w:firstLine="600"/>
        <w:rPr>
          <w:kern w:val="28"/>
          <w:sz w:val="30"/>
          <w:szCs w:val="30"/>
        </w:rPr>
      </w:pPr>
      <w:r>
        <w:rPr>
          <w:kern w:val="28"/>
          <w:sz w:val="30"/>
          <w:szCs w:val="30"/>
        </w:rPr>
        <w:t>或</w:t>
      </w:r>
      <w:r>
        <w:rPr>
          <w:kern w:val="28"/>
          <w:sz w:val="30"/>
          <w:szCs w:val="30"/>
        </w:rPr>
        <w:t xml:space="preserve">                       </w:t>
      </w:r>
      <w:r>
        <w:rPr>
          <w:rFonts w:hint="eastAsia"/>
          <w:kern w:val="28"/>
          <w:sz w:val="30"/>
          <w:szCs w:val="30"/>
        </w:rPr>
        <w:t xml:space="preserve">  </w:t>
      </w:r>
      <w:r>
        <w:rPr>
          <w:kern w:val="28"/>
          <w:sz w:val="30"/>
          <w:szCs w:val="30"/>
        </w:rPr>
        <w:t>或</w:t>
      </w:r>
    </w:p>
    <w:p w:rsidR="00000000" w:rsidRDefault="00000000">
      <w:pPr>
        <w:topLinePunct/>
        <w:ind w:firstLineChars="200" w:firstLine="600"/>
        <w:rPr>
          <w:kern w:val="28"/>
          <w:sz w:val="30"/>
          <w:szCs w:val="30"/>
        </w:rPr>
      </w:pPr>
      <w:r>
        <w:rPr>
          <w:kern w:val="28"/>
          <w:sz w:val="30"/>
          <w:szCs w:val="30"/>
        </w:rPr>
        <w:t>委托代理人：</w:t>
      </w:r>
      <w:r>
        <w:rPr>
          <w:kern w:val="28"/>
          <w:sz w:val="30"/>
          <w:szCs w:val="30"/>
        </w:rPr>
        <w:tab/>
      </w:r>
      <w:r>
        <w:rPr>
          <w:kern w:val="28"/>
          <w:sz w:val="30"/>
          <w:szCs w:val="30"/>
        </w:rPr>
        <w:tab/>
      </w:r>
      <w:r>
        <w:rPr>
          <w:kern w:val="28"/>
          <w:sz w:val="30"/>
          <w:szCs w:val="30"/>
        </w:rPr>
        <w:tab/>
      </w:r>
      <w:r>
        <w:rPr>
          <w:kern w:val="28"/>
          <w:sz w:val="30"/>
          <w:szCs w:val="30"/>
        </w:rPr>
        <w:tab/>
      </w:r>
      <w:r>
        <w:rPr>
          <w:kern w:val="28"/>
          <w:sz w:val="30"/>
          <w:szCs w:val="30"/>
        </w:rPr>
        <w:tab/>
      </w:r>
      <w:r>
        <w:rPr>
          <w:rFonts w:hint="eastAsia"/>
          <w:kern w:val="28"/>
          <w:sz w:val="30"/>
          <w:szCs w:val="30"/>
        </w:rPr>
        <w:t xml:space="preserve">   </w:t>
      </w:r>
      <w:r>
        <w:rPr>
          <w:kern w:val="28"/>
          <w:sz w:val="30"/>
          <w:szCs w:val="30"/>
        </w:rPr>
        <w:t>委托代理人：</w:t>
      </w:r>
    </w:p>
    <w:p w:rsidR="00000000" w:rsidRDefault="00000000">
      <w:pPr>
        <w:topLinePunct/>
        <w:ind w:firstLineChars="200" w:firstLine="600"/>
        <w:rPr>
          <w:kern w:val="28"/>
          <w:sz w:val="30"/>
          <w:szCs w:val="30"/>
        </w:rPr>
      </w:pPr>
    </w:p>
    <w:p w:rsidR="00000000" w:rsidRDefault="00000000">
      <w:pPr>
        <w:topLinePunct/>
        <w:ind w:firstLineChars="200" w:firstLine="600"/>
        <w:rPr>
          <w:kern w:val="28"/>
          <w:sz w:val="30"/>
          <w:szCs w:val="30"/>
        </w:rPr>
      </w:pPr>
      <w:r>
        <w:rPr>
          <w:kern w:val="28"/>
          <w:sz w:val="30"/>
          <w:szCs w:val="30"/>
        </w:rPr>
        <w:t>签字日期：</w:t>
      </w:r>
      <w:r>
        <w:rPr>
          <w:kern w:val="28"/>
          <w:sz w:val="30"/>
          <w:szCs w:val="30"/>
          <w:u w:val="single"/>
        </w:rPr>
        <w:t xml:space="preserve">   </w:t>
      </w:r>
      <w:r>
        <w:rPr>
          <w:kern w:val="28"/>
          <w:sz w:val="30"/>
          <w:szCs w:val="30"/>
        </w:rPr>
        <w:t>年</w:t>
      </w:r>
      <w:r>
        <w:rPr>
          <w:kern w:val="28"/>
          <w:sz w:val="30"/>
          <w:szCs w:val="30"/>
          <w:u w:val="single"/>
        </w:rPr>
        <w:t xml:space="preserve">  </w:t>
      </w:r>
      <w:r>
        <w:rPr>
          <w:kern w:val="28"/>
          <w:sz w:val="30"/>
          <w:szCs w:val="30"/>
        </w:rPr>
        <w:t>月</w:t>
      </w:r>
      <w:r>
        <w:rPr>
          <w:kern w:val="28"/>
          <w:sz w:val="30"/>
          <w:szCs w:val="30"/>
          <w:u w:val="single"/>
        </w:rPr>
        <w:t xml:space="preserve">  </w:t>
      </w:r>
      <w:r>
        <w:rPr>
          <w:kern w:val="28"/>
          <w:sz w:val="30"/>
          <w:szCs w:val="30"/>
        </w:rPr>
        <w:t>日</w:t>
      </w:r>
      <w:r>
        <w:rPr>
          <w:kern w:val="28"/>
          <w:sz w:val="30"/>
          <w:szCs w:val="30"/>
        </w:rPr>
        <w:tab/>
      </w:r>
      <w:r>
        <w:rPr>
          <w:rFonts w:hint="eastAsia"/>
          <w:kern w:val="28"/>
          <w:sz w:val="30"/>
          <w:szCs w:val="30"/>
        </w:rPr>
        <w:t xml:space="preserve">   </w:t>
      </w:r>
      <w:r>
        <w:rPr>
          <w:kern w:val="28"/>
          <w:sz w:val="30"/>
          <w:szCs w:val="30"/>
        </w:rPr>
        <w:t>签字日期：</w:t>
      </w:r>
      <w:r>
        <w:rPr>
          <w:kern w:val="28"/>
          <w:sz w:val="30"/>
          <w:szCs w:val="30"/>
          <w:u w:val="single"/>
        </w:rPr>
        <w:t xml:space="preserve">   </w:t>
      </w:r>
      <w:r>
        <w:rPr>
          <w:kern w:val="28"/>
          <w:sz w:val="30"/>
          <w:szCs w:val="30"/>
        </w:rPr>
        <w:t>年</w:t>
      </w:r>
      <w:r>
        <w:rPr>
          <w:kern w:val="28"/>
          <w:sz w:val="30"/>
          <w:szCs w:val="30"/>
          <w:u w:val="single"/>
        </w:rPr>
        <w:t xml:space="preserve">  </w:t>
      </w:r>
      <w:r>
        <w:rPr>
          <w:kern w:val="28"/>
          <w:sz w:val="30"/>
          <w:szCs w:val="30"/>
        </w:rPr>
        <w:t>月</w:t>
      </w:r>
      <w:r>
        <w:rPr>
          <w:kern w:val="28"/>
          <w:sz w:val="30"/>
          <w:szCs w:val="30"/>
          <w:u w:val="single"/>
        </w:rPr>
        <w:t xml:space="preserve">  </w:t>
      </w:r>
      <w:r>
        <w:rPr>
          <w:kern w:val="28"/>
          <w:sz w:val="30"/>
          <w:szCs w:val="30"/>
        </w:rPr>
        <w:t>日</w:t>
      </w:r>
    </w:p>
    <w:p w:rsidR="00000000" w:rsidRDefault="00000000">
      <w:pPr>
        <w:topLinePunct/>
        <w:ind w:firstLineChars="200" w:firstLine="600"/>
        <w:rPr>
          <w:kern w:val="28"/>
          <w:sz w:val="30"/>
          <w:szCs w:val="30"/>
        </w:rPr>
      </w:pPr>
      <w:r>
        <w:rPr>
          <w:kern w:val="28"/>
          <w:sz w:val="30"/>
          <w:szCs w:val="30"/>
        </w:rPr>
        <w:t>签字地点：</w:t>
      </w:r>
      <w:r>
        <w:rPr>
          <w:kern w:val="28"/>
          <w:sz w:val="30"/>
          <w:szCs w:val="30"/>
          <w:u w:val="single"/>
        </w:rPr>
        <w:t xml:space="preserve">            </w:t>
      </w:r>
      <w:r>
        <w:rPr>
          <w:kern w:val="28"/>
          <w:sz w:val="30"/>
          <w:szCs w:val="30"/>
        </w:rPr>
        <w:t xml:space="preserve">  </w:t>
      </w:r>
      <w:r>
        <w:rPr>
          <w:kern w:val="28"/>
          <w:sz w:val="30"/>
          <w:szCs w:val="30"/>
        </w:rPr>
        <w:tab/>
      </w:r>
      <w:r>
        <w:rPr>
          <w:kern w:val="28"/>
          <w:sz w:val="30"/>
          <w:szCs w:val="30"/>
        </w:rPr>
        <w:t>签字地点：</w:t>
      </w:r>
      <w:r>
        <w:rPr>
          <w:kern w:val="28"/>
          <w:sz w:val="30"/>
          <w:szCs w:val="30"/>
          <w:u w:val="single"/>
        </w:rPr>
        <w:t xml:space="preserve">              </w:t>
      </w:r>
    </w:p>
    <w:p w:rsidR="00000000" w:rsidRDefault="00000000">
      <w:pPr>
        <w:pStyle w:val="d4"/>
        <w:spacing w:line="960" w:lineRule="auto"/>
        <w:rPr>
          <w:rFonts w:ascii="方正小标宋_GBK" w:eastAsia="方正小标宋_GBK" w:hint="eastAsia"/>
        </w:rPr>
      </w:pPr>
      <w:r>
        <w:rPr>
          <w:rFonts w:ascii="方正小标宋_GBK" w:eastAsia="方正小标宋_GBK" w:hint="eastAsia"/>
        </w:rPr>
        <w:br w:type="page"/>
      </w:r>
      <w:bookmarkStart w:id="20" w:name="_Toc350634491"/>
      <w:r>
        <w:rPr>
          <w:rFonts w:ascii="Times New Roman" w:eastAsia="黑体"/>
        </w:rPr>
        <w:t>附件</w:t>
      </w:r>
      <w:r>
        <w:rPr>
          <w:rFonts w:ascii="Times New Roman" w:eastAsia="黑体"/>
        </w:rPr>
        <w:t>1</w:t>
      </w:r>
      <w:r>
        <w:rPr>
          <w:rFonts w:ascii="Times New Roman" w:eastAsia="黑体"/>
        </w:rPr>
        <w:t>：并网点图示</w:t>
      </w:r>
      <w:bookmarkEnd w:id="20"/>
    </w:p>
    <w:p w:rsidR="00000000" w:rsidRDefault="00000000">
      <w:pPr>
        <w:topLinePunct/>
        <w:ind w:firstLineChars="200" w:firstLine="600"/>
        <w:rPr>
          <w:kern w:val="28"/>
          <w:sz w:val="30"/>
          <w:szCs w:val="30"/>
        </w:rPr>
      </w:pPr>
      <w:r>
        <w:rPr>
          <w:kern w:val="28"/>
          <w:sz w:val="30"/>
          <w:szCs w:val="30"/>
        </w:rPr>
        <w:t xml:space="preserve">1. </w:t>
      </w:r>
      <w:r>
        <w:rPr>
          <w:kern w:val="28"/>
          <w:sz w:val="30"/>
          <w:szCs w:val="30"/>
        </w:rPr>
        <w:t>标明并网点设备及装置、产权所有方、运行维护方、调度方（略）</w:t>
      </w:r>
    </w:p>
    <w:p w:rsidR="00000000" w:rsidRDefault="00000000">
      <w:pPr>
        <w:topLinePunct/>
        <w:ind w:firstLineChars="200" w:firstLine="600"/>
        <w:rPr>
          <w:kern w:val="28"/>
          <w:sz w:val="30"/>
          <w:szCs w:val="30"/>
        </w:rPr>
      </w:pPr>
      <w:r>
        <w:rPr>
          <w:kern w:val="28"/>
          <w:sz w:val="30"/>
          <w:szCs w:val="30"/>
        </w:rPr>
        <w:t xml:space="preserve">2. </w:t>
      </w:r>
      <w:r>
        <w:rPr>
          <w:kern w:val="28"/>
          <w:sz w:val="30"/>
          <w:szCs w:val="30"/>
        </w:rPr>
        <w:t>图中属甲方的区域及设备（略）</w:t>
      </w:r>
    </w:p>
    <w:p w:rsidR="00000000" w:rsidRDefault="00000000">
      <w:pPr>
        <w:topLinePunct/>
        <w:ind w:firstLineChars="200" w:firstLine="600"/>
        <w:rPr>
          <w:kern w:val="28"/>
          <w:sz w:val="32"/>
          <w:szCs w:val="32"/>
        </w:rPr>
      </w:pPr>
      <w:r>
        <w:rPr>
          <w:kern w:val="28"/>
          <w:sz w:val="30"/>
          <w:szCs w:val="30"/>
        </w:rPr>
        <w:t xml:space="preserve">3. </w:t>
      </w:r>
      <w:r>
        <w:rPr>
          <w:kern w:val="28"/>
          <w:sz w:val="30"/>
          <w:szCs w:val="30"/>
        </w:rPr>
        <w:t>图中属乙方的区域及设备（略）</w:t>
      </w:r>
    </w:p>
    <w:p w:rsidR="00000000" w:rsidRDefault="00000000">
      <w:pPr>
        <w:pStyle w:val="d4"/>
        <w:spacing w:line="960" w:lineRule="auto"/>
        <w:rPr>
          <w:rFonts w:ascii="方正小标宋_GBK" w:eastAsia="方正小标宋_GBK" w:hint="eastAsia"/>
        </w:rPr>
      </w:pPr>
      <w:r>
        <w:br w:type="page"/>
      </w:r>
      <w:bookmarkStart w:id="21" w:name="_Toc350634492"/>
      <w:r>
        <w:rPr>
          <w:rFonts w:ascii="Times New Roman" w:eastAsia="黑体"/>
        </w:rPr>
        <w:t>附件</w:t>
      </w:r>
      <w:r>
        <w:rPr>
          <w:rFonts w:ascii="Times New Roman" w:eastAsia="黑体"/>
        </w:rPr>
        <w:t>2</w:t>
      </w:r>
      <w:r>
        <w:rPr>
          <w:rFonts w:ascii="Times New Roman" w:eastAsia="黑体"/>
        </w:rPr>
        <w:t>：储能电站技术参数</w:t>
      </w:r>
      <w:bookmarkEnd w:id="21"/>
    </w:p>
    <w:p w:rsidR="00000000" w:rsidRDefault="00000000">
      <w:pPr>
        <w:numPr>
          <w:ilvl w:val="0"/>
          <w:numId w:val="22"/>
        </w:numPr>
        <w:topLinePunct/>
        <w:spacing w:line="360" w:lineRule="auto"/>
        <w:ind w:firstLineChars="200" w:firstLine="600"/>
        <w:rPr>
          <w:kern w:val="28"/>
          <w:sz w:val="30"/>
          <w:szCs w:val="30"/>
        </w:rPr>
      </w:pPr>
      <w:r>
        <w:rPr>
          <w:kern w:val="28"/>
          <w:sz w:val="30"/>
          <w:szCs w:val="30"/>
        </w:rPr>
        <w:t>储能电站参数</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3"/>
        <w:gridCol w:w="2880"/>
        <w:gridCol w:w="1755"/>
        <w:gridCol w:w="2948"/>
      </w:tblGrid>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序号</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名称</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单位</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数值或内容</w:t>
            </w:r>
          </w:p>
        </w:tc>
      </w:tr>
      <w:tr w:rsidR="00000000">
        <w:trPr>
          <w:jc w:val="center"/>
        </w:trPr>
        <w:tc>
          <w:tcPr>
            <w:tcW w:w="8336" w:type="dxa"/>
            <w:gridSpan w:val="4"/>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基本情况</w:t>
            </w: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1</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设计配置情况</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兆瓦</w:t>
            </w:r>
            <w:r>
              <w:rPr>
                <w:kern w:val="0"/>
                <w:sz w:val="24"/>
              </w:rPr>
              <w:t>×</w:t>
            </w:r>
            <w:r>
              <w:rPr>
                <w:kern w:val="0"/>
                <w:sz w:val="24"/>
              </w:rPr>
              <w:t>时</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2</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目前配置情况</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兆瓦</w:t>
            </w:r>
            <w:r>
              <w:rPr>
                <w:kern w:val="0"/>
                <w:sz w:val="24"/>
              </w:rPr>
              <w:t>×</w:t>
            </w:r>
            <w:r>
              <w:rPr>
                <w:kern w:val="0"/>
                <w:sz w:val="24"/>
              </w:rPr>
              <w:t>时</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3</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设计配置明细</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储能单元数</w:t>
            </w:r>
            <w:r>
              <w:rPr>
                <w:kern w:val="0"/>
                <w:sz w:val="24"/>
              </w:rPr>
              <w:t>×</w:t>
            </w:r>
            <w:r>
              <w:rPr>
                <w:kern w:val="0"/>
                <w:sz w:val="24"/>
              </w:rPr>
              <w:t>兆瓦</w:t>
            </w:r>
            <w:r>
              <w:rPr>
                <w:kern w:val="0"/>
                <w:sz w:val="24"/>
              </w:rPr>
              <w:t>×</w:t>
            </w:r>
            <w:r>
              <w:rPr>
                <w:kern w:val="0"/>
                <w:sz w:val="24"/>
              </w:rPr>
              <w:t>时</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4</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目前配置明细</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储能单元数</w:t>
            </w:r>
            <w:r>
              <w:rPr>
                <w:kern w:val="0"/>
                <w:sz w:val="24"/>
              </w:rPr>
              <w:t>×</w:t>
            </w:r>
            <w:r>
              <w:rPr>
                <w:kern w:val="0"/>
                <w:sz w:val="24"/>
              </w:rPr>
              <w:t>兆瓦</w:t>
            </w:r>
            <w:r>
              <w:rPr>
                <w:kern w:val="0"/>
                <w:sz w:val="24"/>
              </w:rPr>
              <w:t>×</w:t>
            </w:r>
            <w:r>
              <w:rPr>
                <w:kern w:val="0"/>
                <w:sz w:val="24"/>
              </w:rPr>
              <w:t>时</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5</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设计储能单元数</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台</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6</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目前储能单元数</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台</w:t>
            </w: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7</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储能电站无功补偿容量</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8</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储能介质类型</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8336" w:type="dxa"/>
            <w:gridSpan w:val="4"/>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储能单元情况</w:t>
            </w: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1</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PCS</w:t>
            </w:r>
            <w:r>
              <w:rPr>
                <w:kern w:val="0"/>
                <w:sz w:val="24"/>
              </w:rPr>
              <w:t>型号</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2</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PCS</w:t>
            </w:r>
            <w:r>
              <w:rPr>
                <w:kern w:val="0"/>
                <w:sz w:val="24"/>
              </w:rPr>
              <w:t>制造商</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3</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电池型号</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r w:rsidR="00000000">
        <w:trPr>
          <w:jc w:val="center"/>
        </w:trPr>
        <w:tc>
          <w:tcPr>
            <w:tcW w:w="753"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4</w:t>
            </w:r>
          </w:p>
        </w:tc>
        <w:tc>
          <w:tcPr>
            <w:tcW w:w="2880"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r>
              <w:rPr>
                <w:kern w:val="0"/>
                <w:sz w:val="24"/>
              </w:rPr>
              <w:t>电池生产商</w:t>
            </w:r>
          </w:p>
        </w:tc>
        <w:tc>
          <w:tcPr>
            <w:tcW w:w="1755"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c>
          <w:tcPr>
            <w:tcW w:w="2948" w:type="dxa"/>
            <w:tcMar>
              <w:top w:w="15" w:type="dxa"/>
              <w:left w:w="15" w:type="dxa"/>
              <w:right w:w="15" w:type="dxa"/>
            </w:tcMar>
            <w:vAlign w:val="center"/>
          </w:tcPr>
          <w:p w:rsidR="00000000" w:rsidRDefault="00000000">
            <w:pPr>
              <w:widowControl/>
              <w:wordWrap w:val="0"/>
              <w:adjustRightInd w:val="0"/>
              <w:snapToGrid w:val="0"/>
              <w:jc w:val="center"/>
              <w:textAlignment w:val="center"/>
              <w:rPr>
                <w:sz w:val="24"/>
              </w:rPr>
            </w:pPr>
          </w:p>
        </w:tc>
      </w:tr>
    </w:tbl>
    <w:p w:rsidR="00000000" w:rsidRDefault="00000000">
      <w:pPr>
        <w:topLinePunct/>
        <w:ind w:firstLineChars="200" w:firstLine="640"/>
        <w:rPr>
          <w:kern w:val="28"/>
          <w:sz w:val="30"/>
          <w:szCs w:val="30"/>
        </w:rPr>
      </w:pPr>
      <w:r>
        <w:rPr>
          <w:kern w:val="28"/>
          <w:sz w:val="32"/>
          <w:szCs w:val="32"/>
        </w:rPr>
        <w:t xml:space="preserve">  </w:t>
      </w:r>
      <w:r>
        <w:rPr>
          <w:kern w:val="28"/>
          <w:sz w:val="30"/>
          <w:szCs w:val="30"/>
        </w:rPr>
        <w:t>其他参数：</w:t>
      </w:r>
      <w:r>
        <w:rPr>
          <w:kern w:val="28"/>
          <w:sz w:val="30"/>
          <w:szCs w:val="30"/>
          <w:u w:val="single"/>
        </w:rPr>
        <w:t xml:space="preserve">                    </w:t>
      </w:r>
      <w:r>
        <w:rPr>
          <w:kern w:val="28"/>
          <w:sz w:val="30"/>
          <w:szCs w:val="30"/>
        </w:rPr>
        <w:t>。</w:t>
      </w:r>
    </w:p>
    <w:p w:rsidR="00000000" w:rsidRDefault="00000000">
      <w:pPr>
        <w:topLinePunct/>
        <w:ind w:firstLineChars="200" w:firstLine="600"/>
        <w:rPr>
          <w:kern w:val="28"/>
          <w:sz w:val="30"/>
          <w:szCs w:val="30"/>
        </w:rPr>
      </w:pPr>
      <w:r>
        <w:rPr>
          <w:kern w:val="28"/>
          <w:sz w:val="30"/>
          <w:szCs w:val="30"/>
        </w:rPr>
        <w:t xml:space="preserve">2. </w:t>
      </w:r>
      <w:r>
        <w:rPr>
          <w:kern w:val="28"/>
          <w:sz w:val="30"/>
          <w:szCs w:val="30"/>
        </w:rPr>
        <w:t>储能电站并入甲方电网的并网线路</w:t>
      </w:r>
    </w:p>
    <w:p w:rsidR="00000000" w:rsidRDefault="00000000">
      <w:pPr>
        <w:topLinePunct/>
        <w:ind w:firstLineChars="200" w:firstLine="600"/>
        <w:rPr>
          <w:kern w:val="28"/>
          <w:sz w:val="30"/>
          <w:szCs w:val="30"/>
        </w:rPr>
      </w:pPr>
      <w:r>
        <w:rPr>
          <w:kern w:val="28"/>
          <w:sz w:val="30"/>
          <w:szCs w:val="30"/>
        </w:rPr>
        <w:t>线路名称：</w:t>
      </w:r>
      <w:r>
        <w:rPr>
          <w:kern w:val="28"/>
          <w:sz w:val="30"/>
          <w:szCs w:val="30"/>
          <w:u w:val="single"/>
        </w:rPr>
        <w:t xml:space="preserve">    </w:t>
      </w:r>
      <w:r>
        <w:rPr>
          <w:kern w:val="28"/>
          <w:sz w:val="30"/>
          <w:szCs w:val="30"/>
        </w:rPr>
        <w:t>kV</w:t>
      </w:r>
      <w:r>
        <w:rPr>
          <w:kern w:val="28"/>
          <w:sz w:val="30"/>
          <w:szCs w:val="30"/>
          <w:u w:val="single"/>
        </w:rPr>
        <w:t xml:space="preserve">    </w:t>
      </w:r>
      <w:r>
        <w:rPr>
          <w:kern w:val="28"/>
          <w:sz w:val="30"/>
          <w:szCs w:val="30"/>
        </w:rPr>
        <w:t>线、</w:t>
      </w:r>
      <w:r>
        <w:rPr>
          <w:kern w:val="28"/>
          <w:sz w:val="30"/>
          <w:szCs w:val="30"/>
          <w:u w:val="single"/>
        </w:rPr>
        <w:t xml:space="preserve">    </w:t>
      </w:r>
      <w:r>
        <w:rPr>
          <w:kern w:val="28"/>
          <w:sz w:val="30"/>
          <w:szCs w:val="30"/>
        </w:rPr>
        <w:t>kV</w:t>
      </w:r>
      <w:r>
        <w:rPr>
          <w:kern w:val="28"/>
          <w:sz w:val="30"/>
          <w:szCs w:val="30"/>
          <w:u w:val="single"/>
        </w:rPr>
        <w:t xml:space="preserve">    </w:t>
      </w:r>
      <w:r>
        <w:rPr>
          <w:kern w:val="28"/>
          <w:sz w:val="30"/>
          <w:szCs w:val="30"/>
        </w:rPr>
        <w:t>线、</w:t>
      </w:r>
      <w:r>
        <w:rPr>
          <w:kern w:val="28"/>
          <w:sz w:val="30"/>
          <w:szCs w:val="30"/>
          <w:u w:val="single"/>
        </w:rPr>
        <w:t xml:space="preserve">    </w:t>
      </w:r>
      <w:r>
        <w:rPr>
          <w:kern w:val="28"/>
          <w:sz w:val="30"/>
          <w:szCs w:val="30"/>
        </w:rPr>
        <w:t>kV</w:t>
      </w:r>
      <w:r>
        <w:rPr>
          <w:kern w:val="28"/>
          <w:sz w:val="30"/>
          <w:szCs w:val="30"/>
          <w:u w:val="single"/>
        </w:rPr>
        <w:t xml:space="preserve">    </w:t>
      </w:r>
      <w:r>
        <w:rPr>
          <w:kern w:val="28"/>
          <w:sz w:val="30"/>
          <w:szCs w:val="30"/>
        </w:rPr>
        <w:t>线。</w:t>
      </w:r>
    </w:p>
    <w:p w:rsidR="00000000" w:rsidRDefault="00000000">
      <w:pPr>
        <w:topLinePunct/>
        <w:ind w:firstLineChars="200" w:firstLine="600"/>
        <w:rPr>
          <w:kern w:val="28"/>
          <w:sz w:val="30"/>
          <w:szCs w:val="30"/>
        </w:rPr>
      </w:pPr>
      <w:r>
        <w:rPr>
          <w:kern w:val="28"/>
          <w:sz w:val="30"/>
          <w:szCs w:val="30"/>
        </w:rPr>
        <w:t xml:space="preserve">3. </w:t>
      </w:r>
      <w:r>
        <w:rPr>
          <w:kern w:val="28"/>
          <w:sz w:val="30"/>
          <w:szCs w:val="30"/>
        </w:rPr>
        <w:t>乙方根据设备的设计参数以及并网调试结果，准确提供储能电站的其他技术参数</w:t>
      </w:r>
      <w:r>
        <w:rPr>
          <w:rStyle w:val="af9"/>
          <w:rFonts w:eastAsia="仿宋_GB2312"/>
          <w:kern w:val="28"/>
          <w:sz w:val="30"/>
          <w:szCs w:val="30"/>
        </w:rPr>
        <w:footnoteReference w:id="20"/>
      </w:r>
      <w:r>
        <w:rPr>
          <w:kern w:val="28"/>
          <w:sz w:val="30"/>
          <w:szCs w:val="30"/>
        </w:rPr>
        <w:t>。</w:t>
      </w:r>
    </w:p>
    <w:p w:rsidR="00000000" w:rsidRDefault="00000000">
      <w:pPr>
        <w:topLinePunct/>
        <w:ind w:firstLineChars="200" w:firstLine="600"/>
        <w:jc w:val="left"/>
        <w:rPr>
          <w:kern w:val="28"/>
          <w:sz w:val="30"/>
          <w:szCs w:val="30"/>
        </w:rPr>
      </w:pPr>
      <w:r>
        <w:rPr>
          <w:kern w:val="28"/>
          <w:sz w:val="30"/>
          <w:szCs w:val="30"/>
        </w:rPr>
        <w:t xml:space="preserve">3.1 </w:t>
      </w:r>
      <w:r>
        <w:rPr>
          <w:kern w:val="28"/>
          <w:sz w:val="30"/>
          <w:szCs w:val="30"/>
        </w:rPr>
        <w:t>储能电站功率控制的充</w:t>
      </w:r>
      <w:r>
        <w:rPr>
          <w:kern w:val="28"/>
          <w:sz w:val="30"/>
          <w:szCs w:val="30"/>
        </w:rPr>
        <w:t>/</w:t>
      </w:r>
      <w:r>
        <w:rPr>
          <w:kern w:val="28"/>
          <w:sz w:val="30"/>
          <w:szCs w:val="30"/>
        </w:rPr>
        <w:t>放电响应时间不大于</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秒，充</w:t>
      </w:r>
      <w:r>
        <w:rPr>
          <w:kern w:val="28"/>
          <w:sz w:val="30"/>
          <w:szCs w:val="30"/>
        </w:rPr>
        <w:t>/</w:t>
      </w:r>
      <w:r>
        <w:rPr>
          <w:kern w:val="28"/>
          <w:sz w:val="30"/>
          <w:szCs w:val="30"/>
        </w:rPr>
        <w:t>放电调节时间不大于</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秒，充电到放电转换时间、放电到充电转换时间不大于</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秒。</w:t>
      </w:r>
    </w:p>
    <w:p w:rsidR="00000000" w:rsidRDefault="00000000">
      <w:pPr>
        <w:topLinePunct/>
        <w:ind w:firstLineChars="200" w:firstLine="600"/>
        <w:jc w:val="left"/>
        <w:rPr>
          <w:kern w:val="28"/>
          <w:sz w:val="30"/>
          <w:szCs w:val="30"/>
        </w:rPr>
      </w:pPr>
      <w:r>
        <w:rPr>
          <w:kern w:val="28"/>
          <w:sz w:val="30"/>
          <w:szCs w:val="30"/>
        </w:rPr>
        <w:t xml:space="preserve">3.2 </w:t>
      </w:r>
      <w:r>
        <w:rPr>
          <w:kern w:val="28"/>
          <w:sz w:val="30"/>
          <w:szCs w:val="30"/>
        </w:rPr>
        <w:t>全站实际出力曲线与调度指令或计划曲线偏差不大于</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rPr>
        <w:t>%</w:t>
      </w:r>
      <w:r>
        <w:rPr>
          <w:kern w:val="28"/>
          <w:sz w:val="30"/>
          <w:szCs w:val="30"/>
        </w:rPr>
        <w:t>额定功率。</w:t>
      </w:r>
    </w:p>
    <w:p w:rsidR="00000000" w:rsidRDefault="00000000">
      <w:pPr>
        <w:topLinePunct/>
        <w:ind w:firstLineChars="200" w:firstLine="600"/>
        <w:rPr>
          <w:kern w:val="28"/>
          <w:sz w:val="30"/>
          <w:szCs w:val="30"/>
          <w:u w:val="single"/>
        </w:rPr>
      </w:pPr>
      <w:r>
        <w:rPr>
          <w:kern w:val="28"/>
          <w:sz w:val="30"/>
          <w:szCs w:val="30"/>
        </w:rPr>
        <w:t xml:space="preserve">3.3 </w:t>
      </w:r>
      <w:r>
        <w:rPr>
          <w:kern w:val="28"/>
          <w:sz w:val="30"/>
          <w:szCs w:val="30"/>
        </w:rPr>
        <w:t>其他：</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 xml:space="preserve">                     </w:t>
      </w:r>
      <w:r>
        <w:rPr>
          <w:rFonts w:hint="eastAsia"/>
          <w:kern w:val="28"/>
          <w:sz w:val="30"/>
          <w:szCs w:val="30"/>
          <w:u w:val="single"/>
        </w:rPr>
        <w:t xml:space="preserve">               </w:t>
      </w:r>
      <w:r>
        <w:rPr>
          <w:kern w:val="28"/>
          <w:sz w:val="30"/>
          <w:szCs w:val="30"/>
          <w:u w:val="single"/>
        </w:rPr>
        <w:t xml:space="preserve">       </w:t>
      </w:r>
      <w:r>
        <w:rPr>
          <w:rFonts w:hint="eastAsia"/>
          <w:kern w:val="28"/>
          <w:sz w:val="30"/>
          <w:szCs w:val="30"/>
        </w:rPr>
        <w:t>。</w:t>
      </w:r>
    </w:p>
    <w:p w:rsidR="00000000" w:rsidRDefault="00000000">
      <w:pPr>
        <w:topLinePunct/>
        <w:ind w:firstLineChars="200" w:firstLine="600"/>
        <w:rPr>
          <w:rFonts w:hint="eastAsia"/>
          <w:kern w:val="28"/>
          <w:sz w:val="30"/>
          <w:szCs w:val="30"/>
        </w:rPr>
      </w:pPr>
      <w:r>
        <w:rPr>
          <w:kern w:val="28"/>
          <w:sz w:val="30"/>
          <w:szCs w:val="30"/>
        </w:rPr>
        <w:t xml:space="preserve">4. </w:t>
      </w:r>
      <w:r>
        <w:rPr>
          <w:kern w:val="28"/>
          <w:sz w:val="30"/>
          <w:szCs w:val="30"/>
        </w:rPr>
        <w:t>设备制造商加以限制的或不予推荐的运行方式：</w:t>
      </w:r>
      <w:r>
        <w:rPr>
          <w:kern w:val="28"/>
          <w:sz w:val="30"/>
          <w:szCs w:val="30"/>
          <w:u w:val="single"/>
        </w:rP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 xml:space="preserve">                                                       </w:t>
      </w:r>
      <w:r>
        <w:rPr>
          <w:rFonts w:hint="eastAsia"/>
          <w:kern w:val="28"/>
          <w:sz w:val="30"/>
          <w:szCs w:val="30"/>
          <w:u w:val="single"/>
        </w:rPr>
        <w:t xml:space="preserve">     </w:t>
      </w:r>
      <w:r>
        <w:rPr>
          <w:kern w:val="28"/>
          <w:sz w:val="30"/>
          <w:szCs w:val="30"/>
          <w:u w:val="single"/>
        </w:rPr>
        <w:t xml:space="preserve">    </w:t>
      </w:r>
      <w:r>
        <w:rPr>
          <w:kern w:val="28"/>
          <w:sz w:val="30"/>
          <w:szCs w:val="30"/>
          <w:u w:val="single"/>
        </w:rPr>
        <w:br/>
        <w:t xml:space="preserve">                                            </w:t>
      </w:r>
      <w:r>
        <w:rPr>
          <w:rFonts w:hint="eastAsia"/>
          <w:kern w:val="28"/>
          <w:sz w:val="30"/>
          <w:szCs w:val="30"/>
        </w:rPr>
        <w:t>。</w:t>
      </w:r>
    </w:p>
    <w:p w:rsidR="00000000" w:rsidRDefault="00000000">
      <w:pPr>
        <w:topLinePunct/>
        <w:ind w:firstLineChars="200" w:firstLine="600"/>
        <w:rPr>
          <w:kern w:val="28"/>
          <w:sz w:val="30"/>
          <w:szCs w:val="30"/>
        </w:rPr>
      </w:pPr>
      <w:r>
        <w:rPr>
          <w:kern w:val="28"/>
          <w:sz w:val="30"/>
          <w:szCs w:val="30"/>
        </w:rPr>
        <w:t xml:space="preserve">5. </w:t>
      </w:r>
      <w:r>
        <w:rPr>
          <w:kern w:val="28"/>
          <w:sz w:val="30"/>
          <w:szCs w:val="30"/>
        </w:rPr>
        <w:t>储能电站投入商业运行后，如乙方发现运行参数发生变化，不能达到上述第</w:t>
      </w:r>
      <w:r>
        <w:rPr>
          <w:kern w:val="28"/>
          <w:sz w:val="30"/>
          <w:szCs w:val="30"/>
        </w:rPr>
        <w:t>3</w:t>
      </w:r>
      <w:r>
        <w:rPr>
          <w:kern w:val="28"/>
          <w:sz w:val="30"/>
          <w:szCs w:val="30"/>
        </w:rPr>
        <w:t>条已提供的技术指标而需要修改，应向电力调度机构说明，并提交经具备资质的机构确认的测试报告。</w:t>
      </w:r>
    </w:p>
    <w:p w:rsidR="00000000" w:rsidRDefault="00000000">
      <w:pPr>
        <w:pStyle w:val="d4"/>
        <w:spacing w:line="960" w:lineRule="auto"/>
        <w:rPr>
          <w:rFonts w:ascii="Times New Roman"/>
        </w:rPr>
      </w:pPr>
      <w:r>
        <w:br w:type="page"/>
      </w:r>
      <w:bookmarkStart w:id="22" w:name="_Toc350634493"/>
      <w:r>
        <w:rPr>
          <w:rFonts w:ascii="Times New Roman" w:eastAsia="黑体"/>
        </w:rPr>
        <w:t>附件</w:t>
      </w:r>
      <w:r>
        <w:rPr>
          <w:rFonts w:ascii="Times New Roman" w:eastAsia="黑体"/>
        </w:rPr>
        <w:t>3</w:t>
      </w:r>
      <w:r>
        <w:rPr>
          <w:rFonts w:ascii="Times New Roman" w:eastAsia="黑体"/>
        </w:rPr>
        <w:t>：储能电站设备调度管辖范围划分（略）</w:t>
      </w:r>
      <w:bookmarkStart w:id="23" w:name="_Toc350634494"/>
      <w:bookmarkEnd w:id="22"/>
      <w:r>
        <w:rPr>
          <w:rFonts w:ascii="Times New Roman" w:eastAsia="黑体"/>
        </w:rPr>
        <w:t xml:space="preserve"> </w:t>
      </w:r>
      <w:bookmarkStart w:id="24" w:name="_Toc230179065"/>
      <w:bookmarkStart w:id="25" w:name="_Toc207424893"/>
      <w:bookmarkStart w:id="26" w:name="_Toc207424892"/>
      <w:bookmarkStart w:id="27" w:name="_Toc207424891"/>
      <w:bookmarkStart w:id="28" w:name="_Toc234152500"/>
      <w:bookmarkEnd w:id="23"/>
      <w:bookmarkEnd w:id="24"/>
      <w:bookmarkEnd w:id="25"/>
      <w:bookmarkEnd w:id="26"/>
      <w:bookmarkEnd w:id="27"/>
    </w:p>
    <w:p w:rsidR="00000000" w:rsidRDefault="00000000">
      <w:pPr>
        <w:pStyle w:val="d4"/>
        <w:spacing w:line="960" w:lineRule="auto"/>
        <w:jc w:val="both"/>
        <w:rPr>
          <w:rFonts w:hint="eastAsia"/>
        </w:rPr>
      </w:pPr>
    </w:p>
    <w:bookmarkEnd w:id="28"/>
    <w:p w:rsidR="009123C5" w:rsidRDefault="009123C5"/>
    <w:sectPr w:rsidR="009123C5">
      <w:pgSz w:w="11906" w:h="16838"/>
      <w:pgMar w:top="1701" w:right="1134" w:bottom="1247" w:left="1361" w:header="0" w:footer="1418"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23C5" w:rsidRDefault="009123C5">
      <w:r>
        <w:separator/>
      </w:r>
    </w:p>
  </w:endnote>
  <w:endnote w:type="continuationSeparator" w:id="0">
    <w:p w:rsidR="009123C5" w:rsidRDefault="0091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华文细黑">
    <w:altName w:val="STXihei"/>
    <w:panose1 w:val="02010600040101010101"/>
    <w:charset w:val="86"/>
    <w:family w:val="auto"/>
    <w:pitch w:val="variable"/>
    <w:sig w:usb0="00000287" w:usb1="080F0000" w:usb2="00000010" w:usb3="00000000" w:csb0="0004009F" w:csb1="00000000"/>
  </w:font>
  <w:font w:name="仿宋_GB2312">
    <w:altName w:val="微软雅黑"/>
    <w:panose1 w:val="020B0604020202020204"/>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方正小标宋_GBK">
    <w:altName w:val="微软雅黑"/>
    <w:panose1 w:val="020B0604020202020204"/>
    <w:charset w:val="86"/>
    <w:family w:val="script"/>
    <w:pitch w:val="fixed"/>
  </w:font>
  <w:font w:name="EU-F1">
    <w:altName w:val="方正细黑一_GBK"/>
    <w:panose1 w:val="020B0604020202020204"/>
    <w:charset w:val="00"/>
    <w:family w:val="script"/>
    <w:pitch w:val="default"/>
    <w:sig w:usb0="00000001" w:usb1="080E0000" w:usb2="00000010" w:usb3="00000000" w:csb0="00040000" w:csb1="00000000"/>
  </w:font>
  <w:font w:name="方正书宋_GBK">
    <w:altName w:val="微软雅黑"/>
    <w:panose1 w:val="020B0604020202020204"/>
    <w:charset w:val="86"/>
    <w:family w:val="script"/>
    <w:pitch w:val="fixed"/>
  </w:font>
  <w:font w:name="Tahoma">
    <w:panose1 w:val="020B0604030504040204"/>
    <w:charset w:val="00"/>
    <w:family w:val="swiss"/>
    <w:pitch w:val="variable"/>
    <w:sig w:usb0="E1002EFF" w:usb1="C000605B" w:usb2="00000029" w:usb3="00000000" w:csb0="000101FF" w:csb1="00000000"/>
  </w:font>
  <w:font w:name="方正书宋简体">
    <w:altName w:val="方正书宋_GBK"/>
    <w:panose1 w:val="020B0604020202020204"/>
    <w:charset w:val="00"/>
    <w:family w:val="auto"/>
    <w:pitch w:val="default"/>
    <w:sig w:usb0="00000001" w:usb1="080E0000" w:usb2="00000010" w:usb3="00000000" w:csb0="00040000" w:csb1="00000000"/>
  </w:font>
  <w:font w:name="方正小标宋简体">
    <w:altName w:val="微软雅黑"/>
    <w:panose1 w:val="020B0604020202020204"/>
    <w:charset w:val="86"/>
    <w:family w:val="auto"/>
    <w:pitch w:val="default"/>
    <w:sig w:usb0="A00002BF" w:usb1="184F6CFA" w:usb2="00000012" w:usb3="00000000" w:csb0="00040001" w:csb1="00000000"/>
  </w:font>
  <w:font w:name="Times">
    <w:altName w:val="Times New Roman"/>
    <w:panose1 w:val="020B0604020202020204"/>
    <w:charset w:val="00"/>
    <w:family w:val="roman"/>
    <w:pitch w:val="default"/>
    <w:sig w:usb0="E0002EFF" w:usb1="C000785B" w:usb2="00000009" w:usb3="00000000" w:csb0="000001FF" w:csb1="00000000"/>
  </w:font>
  <w:font w:name="方正仿宋_GBK">
    <w:altName w:val="微软雅黑"/>
    <w:panose1 w:val="020B0604020202020204"/>
    <w:charset w:val="86"/>
    <w:family w:val="script"/>
    <w:pitch w:val="fixed"/>
    <w:sig w:usb0="00000001" w:usb1="080E0000" w:usb2="00000010" w:usb3="00000000" w:csb0="00040000" w:csb1="00000000"/>
  </w:font>
  <w:font w:name="楷体_GB2312">
    <w:altName w:val="微软雅黑"/>
    <w:panose1 w:val="020B0604020202020204"/>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rPr>
      <w:t>4</w:t>
    </w:r>
    <w:r>
      <w:rPr>
        <w:rFonts w:ascii="Arial" w:hAnsi="Arial" w:cs="Arial"/>
        <w:sz w:val="24"/>
        <w:szCs w:val="24"/>
      </w:rPr>
      <w:fldChar w:fldCharType="end"/>
    </w:r>
  </w:p>
  <w:p w:rsidR="00000000" w:rsidRDefault="00000000">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lang w:val="en-US" w:eastAsia="zh-CN"/>
      </w:rPr>
      <w:t>48</w:t>
    </w:r>
    <w:r>
      <w:rPr>
        <w:rFonts w:ascii="Arial" w:hAnsi="Arial" w:cs="Arial"/>
        <w:sz w:val="24"/>
        <w:szCs w:val="24"/>
      </w:rPr>
      <w:fldChar w:fldCharType="end"/>
    </w:r>
  </w:p>
  <w:p w:rsidR="00000000" w:rsidRDefault="00000000">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pPr>
      <w:pStyle w:val="ac"/>
      <w:framePr w:wrap="around" w:vAnchor="text" w:hAnchor="margin" w:xAlign="center" w:y="1"/>
      <w:spacing w:beforeLines="80" w:before="192"/>
      <w:rPr>
        <w:rStyle w:val="af7"/>
        <w:rFonts w:ascii="Arial" w:hAnsi="Arial" w:cs="Arial"/>
        <w:sz w:val="24"/>
        <w:szCs w:val="24"/>
      </w:rPr>
    </w:pPr>
    <w:r>
      <w:rPr>
        <w:rFonts w:ascii="Arial" w:hAnsi="Arial" w:cs="Arial"/>
        <w:sz w:val="24"/>
        <w:szCs w:val="24"/>
      </w:rPr>
      <w:fldChar w:fldCharType="begin"/>
    </w:r>
    <w:r>
      <w:rPr>
        <w:rStyle w:val="af7"/>
        <w:rFonts w:ascii="Arial" w:hAnsi="Arial" w:cs="Arial"/>
        <w:sz w:val="24"/>
        <w:szCs w:val="24"/>
      </w:rPr>
      <w:instrText xml:space="preserve">PAGE  </w:instrText>
    </w:r>
    <w:r>
      <w:rPr>
        <w:rFonts w:ascii="Arial" w:hAnsi="Arial" w:cs="Arial"/>
        <w:sz w:val="24"/>
        <w:szCs w:val="24"/>
      </w:rPr>
      <w:fldChar w:fldCharType="separate"/>
    </w:r>
    <w:r>
      <w:rPr>
        <w:rStyle w:val="af7"/>
        <w:rFonts w:ascii="Arial" w:hAnsi="Arial" w:cs="Arial"/>
        <w:sz w:val="24"/>
        <w:szCs w:val="24"/>
        <w:lang w:val="en-US" w:eastAsia="zh-CN"/>
      </w:rPr>
      <w:t>49</w:t>
    </w:r>
    <w:r>
      <w:rPr>
        <w:rFonts w:ascii="Arial" w:hAnsi="Arial" w:cs="Arial"/>
        <w:sz w:val="24"/>
        <w:szCs w:val="24"/>
      </w:rPr>
      <w:fldChar w:fldCharType="end"/>
    </w:r>
  </w:p>
  <w:p w:rsidR="00000000" w:rsidRDefault="0000000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23C5" w:rsidRDefault="009123C5">
      <w:r>
        <w:separator/>
      </w:r>
    </w:p>
  </w:footnote>
  <w:footnote w:type="continuationSeparator" w:id="0">
    <w:p w:rsidR="009123C5" w:rsidRDefault="009123C5">
      <w:r>
        <w:continuationSeparator/>
      </w:r>
    </w:p>
  </w:footnote>
  <w:footnote w:id="1">
    <w:p w:rsidR="00000000" w:rsidRDefault="00000000">
      <w:pPr>
        <w:pStyle w:val="af0"/>
        <w:ind w:left="620" w:hangingChars="162" w:hanging="340"/>
      </w:pPr>
      <w:r>
        <w:rPr>
          <w:rStyle w:val="af9"/>
        </w:rPr>
        <w:footnoteRef/>
      </w:r>
      <w:r>
        <w:t xml:space="preserve"> </w:t>
      </w:r>
      <w:r>
        <w:rPr>
          <w:rFonts w:hint="eastAsia"/>
        </w:rPr>
        <w:t xml:space="preserve"> </w:t>
      </w:r>
      <w:r>
        <w:t>在正式协议文本中，所列数字、百分比、期间等均应为确定值，以免由此产生争议。</w:t>
      </w:r>
    </w:p>
  </w:footnote>
  <w:footnote w:id="2">
    <w:p w:rsidR="00000000" w:rsidRDefault="00000000">
      <w:pPr>
        <w:pStyle w:val="af0"/>
        <w:ind w:left="620" w:hangingChars="162" w:hanging="340"/>
        <w:rPr>
          <w:rStyle w:val="af9"/>
          <w:rFonts w:hint="eastAsia"/>
        </w:rPr>
      </w:pPr>
      <w:r>
        <w:rPr>
          <w:rStyle w:val="af9"/>
        </w:rPr>
        <w:footnoteRef/>
      </w:r>
      <w:r>
        <w:rPr>
          <w:rFonts w:hint="eastAsia"/>
        </w:rPr>
        <w:t xml:space="preserve"> 《示范文本》中符号“/”表示其左右波浪线上的内容供双方当事人根据实际情况选择（计算公式除外）。</w:t>
      </w:r>
    </w:p>
  </w:footnote>
  <w:footnote w:id="3">
    <w:p w:rsidR="00000000" w:rsidRDefault="00000000">
      <w:pPr>
        <w:pStyle w:val="af0"/>
        <w:ind w:left="620" w:hangingChars="162" w:hanging="340"/>
        <w:rPr>
          <w:rStyle w:val="af9"/>
          <w:rFonts w:hint="eastAsia"/>
        </w:rPr>
      </w:pPr>
      <w:r>
        <w:rPr>
          <w:rStyle w:val="af9"/>
        </w:rPr>
        <w:footnoteRef/>
      </w:r>
      <w:r>
        <w:rPr>
          <w:rStyle w:val="af9"/>
        </w:rPr>
        <w:t xml:space="preserve"> </w:t>
      </w:r>
      <w:r>
        <w:rPr>
          <w:rFonts w:hint="eastAsia"/>
        </w:rPr>
        <w:t xml:space="preserve"> 如果机组核定容量与其铭牌容量不符，则以经国家有关部门认定的核定容量为准。下同。</w:t>
      </w:r>
    </w:p>
  </w:footnote>
  <w:footnote w:id="4">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也称电网调度规程。</w:t>
      </w:r>
    </w:p>
  </w:footnote>
  <w:footnote w:id="5">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此处列举了一些典型的不可抗力，双方可根据当地实际情况选择适用。</w:t>
      </w:r>
    </w:p>
  </w:footnote>
  <w:footnote w:id="6">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spacing w:val="-4"/>
          <w:vertAlign w:val="baseline"/>
        </w:rPr>
        <w:t>指防止设备闪络、电气误操作、继电保护及安全自动装置发生误动或拒动的反事故措施等。下同。</w:t>
      </w:r>
    </w:p>
  </w:footnote>
  <w:footnote w:id="7">
    <w:p w:rsidR="00000000" w:rsidRDefault="00000000">
      <w:pPr>
        <w:pStyle w:val="af0"/>
        <w:ind w:left="574" w:hangingChars="140" w:hanging="294"/>
        <w:rPr>
          <w:rStyle w:val="af9"/>
          <w:rFonts w:hint="eastAsia"/>
          <w:vertAlign w:val="baseline"/>
        </w:rPr>
      </w:pPr>
      <w:r>
        <w:rPr>
          <w:rStyle w:val="af9"/>
        </w:rPr>
        <w:footnoteRef/>
      </w:r>
      <w:r>
        <w:rPr>
          <w:rFonts w:hint="eastAsia"/>
        </w:rPr>
        <w:t xml:space="preserve">  </w:t>
      </w:r>
      <w:r>
        <w:rPr>
          <w:rStyle w:val="af9"/>
          <w:rFonts w:hint="eastAsia"/>
          <w:vertAlign w:val="baseline"/>
        </w:rPr>
        <w:t>业已运行的电能计量装置，由经国家计量管理部门认可、双方确认的电能计量检测机构对电能计量装置的技术性能及管理状况进行技术认定；对于不能满足要求的项目内容，应经双方协商一致，限期完成改造。</w:t>
      </w:r>
    </w:p>
  </w:footnote>
  <w:footnote w:id="8">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对提供资料的时间有特别要求的，双方可另行约定。</w:t>
      </w:r>
    </w:p>
  </w:footnote>
  <w:footnote w:id="9">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经</w:t>
      </w:r>
      <w:r>
        <w:rPr>
          <w:rFonts w:hint="eastAsia"/>
        </w:rPr>
        <w:t>电力调度机构</w:t>
      </w:r>
      <w:r>
        <w:rPr>
          <w:rStyle w:val="af9"/>
          <w:rFonts w:hint="eastAsia"/>
          <w:vertAlign w:val="baseline"/>
        </w:rPr>
        <w:t>同意，也可一次申报。</w:t>
      </w:r>
    </w:p>
  </w:footnote>
  <w:footnote w:id="10">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电力系统调度规程另有规定的，从其规定。</w:t>
      </w:r>
    </w:p>
  </w:footnote>
  <w:footnote w:id="11">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Pr>
        <w:t xml:space="preserve"> </w:t>
      </w:r>
      <w:r>
        <w:rPr>
          <w:rStyle w:val="af9"/>
          <w:rFonts w:hint="eastAsia"/>
          <w:vertAlign w:val="baseline"/>
        </w:rPr>
        <w:t>若双方在协调中出现分歧，应按照局部利益服从整体利益的原则处理。</w:t>
      </w:r>
    </w:p>
  </w:footnote>
  <w:footnote w:id="12">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涉及对方的，须经双方确认。</w:t>
      </w:r>
    </w:p>
  </w:footnote>
  <w:footnote w:id="13">
    <w:p w:rsidR="00000000" w:rsidRDefault="00000000">
      <w:pPr>
        <w:pStyle w:val="af0"/>
        <w:ind w:left="620" w:hangingChars="162" w:hanging="340"/>
        <w:rPr>
          <w:rStyle w:val="af9"/>
          <w:rFonts w:hint="eastAsia"/>
          <w:vertAlign w:val="baseline"/>
        </w:rPr>
      </w:pPr>
      <w:r>
        <w:rPr>
          <w:rStyle w:val="af9"/>
        </w:rPr>
        <w:footnoteRef/>
      </w:r>
      <w:r>
        <w:rPr>
          <w:rStyle w:val="af9"/>
        </w:rPr>
        <w:t xml:space="preserve"> </w:t>
      </w:r>
      <w:r>
        <w:rPr>
          <w:rFonts w:hint="eastAsia"/>
        </w:rPr>
        <w:t xml:space="preserve"> </w:t>
      </w:r>
      <w:r>
        <w:rPr>
          <w:rStyle w:val="af9"/>
          <w:rFonts w:hint="eastAsia"/>
          <w:vertAlign w:val="baseline"/>
        </w:rPr>
        <w:t>录波完好率＝录波完好次数</w:t>
      </w:r>
      <w:r>
        <w:rPr>
          <w:rStyle w:val="af9"/>
          <w:rFonts w:hint="eastAsia"/>
          <w:vertAlign w:val="baseline"/>
        </w:rPr>
        <w:t>/</w:t>
      </w:r>
      <w:r>
        <w:rPr>
          <w:rStyle w:val="af9"/>
          <w:rFonts w:hint="eastAsia"/>
          <w:vertAlign w:val="baseline"/>
        </w:rPr>
        <w:t>应评价的次数。下同。</w:t>
      </w:r>
    </w:p>
  </w:footnote>
  <w:footnote w:id="14">
    <w:p w:rsidR="00000000" w:rsidRDefault="00000000">
      <w:pPr>
        <w:pStyle w:val="af0"/>
        <w:ind w:left="605" w:hangingChars="155" w:hanging="325"/>
        <w:rPr>
          <w:rStyle w:val="af9"/>
          <w:rFonts w:hint="eastAsia"/>
          <w:vertAlign w:val="baseline"/>
        </w:rPr>
      </w:pPr>
      <w:r>
        <w:rPr>
          <w:rStyle w:val="af9"/>
        </w:rPr>
        <w:footnoteRef/>
      </w:r>
      <w:r>
        <w:rPr>
          <w:rStyle w:val="af9"/>
          <w:rFonts w:hint="eastAsia"/>
        </w:rPr>
        <w:t xml:space="preserve"> </w:t>
      </w:r>
      <w:r>
        <w:rPr>
          <w:rFonts w:hint="eastAsia"/>
        </w:rPr>
        <w:t xml:space="preserve"> </w:t>
      </w:r>
      <w:r>
        <w:rPr>
          <w:rStyle w:val="af9"/>
          <w:rFonts w:hint="eastAsia"/>
          <w:vertAlign w:val="baseline"/>
        </w:rPr>
        <w:t>通信电路运行率＝</w:t>
      </w:r>
      <w:r>
        <w:rPr>
          <w:rStyle w:val="af9"/>
          <w:rFonts w:hint="eastAsia"/>
          <w:vertAlign w:val="baseline"/>
        </w:rPr>
        <w:t>{1</w:t>
      </w:r>
      <w:r>
        <w:rPr>
          <w:rStyle w:val="af9"/>
          <w:rFonts w:hint="eastAsia"/>
          <w:vertAlign w:val="baseline"/>
        </w:rPr>
        <w:t>－∑［中断路数（路）×电路故障时间（</w:t>
      </w:r>
      <w:r>
        <w:rPr>
          <w:rStyle w:val="af9"/>
          <w:rFonts w:hint="eastAsia"/>
          <w:vertAlign w:val="baseline"/>
        </w:rPr>
        <w:t>min</w:t>
      </w:r>
      <w:r>
        <w:rPr>
          <w:rStyle w:val="af9"/>
          <w:rFonts w:hint="eastAsia"/>
          <w:vertAlign w:val="baseline"/>
        </w:rPr>
        <w:t>）</w:t>
      </w:r>
      <w:r>
        <w:rPr>
          <w:rFonts w:hint="eastAsia"/>
        </w:rPr>
        <w:t>］</w:t>
      </w:r>
      <w:r>
        <w:rPr>
          <w:rStyle w:val="af9"/>
          <w:rFonts w:hint="eastAsia"/>
          <w:vertAlign w:val="baseline"/>
        </w:rPr>
        <w:t>/</w:t>
      </w:r>
      <w:r>
        <w:rPr>
          <w:rStyle w:val="af9"/>
          <w:rFonts w:hint="eastAsia"/>
          <w:vertAlign w:val="baseline"/>
        </w:rPr>
        <w:t>［实际路数（路）×全月日历时间（</w:t>
      </w:r>
      <w:r>
        <w:rPr>
          <w:rStyle w:val="af9"/>
          <w:rFonts w:hint="eastAsia"/>
          <w:vertAlign w:val="baseline"/>
        </w:rPr>
        <w:t>min</w:t>
      </w:r>
      <w:r>
        <w:rPr>
          <w:rStyle w:val="af9"/>
          <w:rFonts w:hint="eastAsia"/>
          <w:vertAlign w:val="baseline"/>
        </w:rPr>
        <w:t>）］</w:t>
      </w:r>
      <w:r>
        <w:rPr>
          <w:rStyle w:val="af9"/>
          <w:rFonts w:hint="eastAsia"/>
          <w:vertAlign w:val="baseline"/>
        </w:rPr>
        <w:t>}</w:t>
      </w:r>
      <w:r>
        <w:rPr>
          <w:rStyle w:val="af9"/>
          <w:rFonts w:hint="eastAsia"/>
          <w:vertAlign w:val="baseline"/>
        </w:rPr>
        <w:t>×</w:t>
      </w:r>
      <w:r>
        <w:rPr>
          <w:rStyle w:val="af9"/>
          <w:rFonts w:hint="eastAsia"/>
          <w:vertAlign w:val="baseline"/>
        </w:rPr>
        <w:t>100</w:t>
      </w:r>
      <w:r>
        <w:rPr>
          <w:rStyle w:val="af9"/>
          <w:rFonts w:hint="eastAsia"/>
          <w:vertAlign w:val="baseline"/>
        </w:rPr>
        <w:t>％</w:t>
      </w:r>
    </w:p>
  </w:footnote>
  <w:footnote w:id="15">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设备运行率＝</w:t>
      </w:r>
      <w:r>
        <w:rPr>
          <w:rStyle w:val="af9"/>
          <w:rFonts w:hint="eastAsia"/>
          <w:vertAlign w:val="baseline"/>
        </w:rPr>
        <w:t>{1</w:t>
      </w:r>
      <w:r>
        <w:rPr>
          <w:rStyle w:val="af9"/>
          <w:rFonts w:hint="eastAsia"/>
          <w:vertAlign w:val="baseline"/>
        </w:rPr>
        <w:t>－∑［中断路数（路）×本端设备故障时间（</w:t>
      </w:r>
      <w:r>
        <w:rPr>
          <w:rStyle w:val="af9"/>
          <w:rFonts w:hint="eastAsia"/>
          <w:vertAlign w:val="baseline"/>
        </w:rPr>
        <w:t>min</w:t>
      </w:r>
      <w:r>
        <w:rPr>
          <w:rStyle w:val="af9"/>
          <w:rFonts w:hint="eastAsia"/>
          <w:vertAlign w:val="baseline"/>
        </w:rPr>
        <w:t>）</w:t>
      </w:r>
      <w:r>
        <w:rPr>
          <w:rFonts w:hint="eastAsia"/>
        </w:rPr>
        <w:t>］</w:t>
      </w:r>
      <w:r>
        <w:rPr>
          <w:rStyle w:val="af9"/>
          <w:rFonts w:hint="eastAsia"/>
          <w:vertAlign w:val="baseline"/>
        </w:rPr>
        <w:t>/</w:t>
      </w:r>
      <w:r>
        <w:rPr>
          <w:rStyle w:val="af9"/>
          <w:rFonts w:hint="eastAsia"/>
          <w:vertAlign w:val="baseline"/>
        </w:rPr>
        <w:t>［配置路数（路）×全月日历时间（</w:t>
      </w:r>
      <w:r>
        <w:rPr>
          <w:rStyle w:val="af9"/>
          <w:rFonts w:hint="eastAsia"/>
          <w:vertAlign w:val="baseline"/>
        </w:rPr>
        <w:t>min</w:t>
      </w:r>
      <w:r>
        <w:rPr>
          <w:rStyle w:val="af9"/>
          <w:rFonts w:hint="eastAsia"/>
          <w:vertAlign w:val="baseline"/>
        </w:rPr>
        <w:t>）］</w:t>
      </w:r>
      <w:r>
        <w:rPr>
          <w:rStyle w:val="af9"/>
          <w:rFonts w:hint="eastAsia"/>
          <w:vertAlign w:val="baseline"/>
        </w:rPr>
        <w:t>}</w:t>
      </w:r>
      <w:r>
        <w:rPr>
          <w:rStyle w:val="af9"/>
          <w:rFonts w:hint="eastAsia"/>
          <w:vertAlign w:val="baseline"/>
        </w:rPr>
        <w:t>×</w:t>
      </w:r>
      <w:r>
        <w:rPr>
          <w:rStyle w:val="af9"/>
          <w:rFonts w:hint="eastAsia"/>
          <w:vertAlign w:val="baseline"/>
        </w:rPr>
        <w:t>100</w:t>
      </w:r>
      <w:r>
        <w:rPr>
          <w:rStyle w:val="af9"/>
          <w:rFonts w:hint="eastAsia"/>
          <w:vertAlign w:val="baseline"/>
        </w:rPr>
        <w:t>％</w:t>
      </w:r>
    </w:p>
  </w:footnote>
  <w:footnote w:id="16">
    <w:p w:rsidR="00000000" w:rsidRDefault="00000000">
      <w:pPr>
        <w:pStyle w:val="af0"/>
        <w:ind w:left="620" w:hangingChars="162" w:hanging="340"/>
        <w:rPr>
          <w:rStyle w:val="af9"/>
          <w:rFonts w:hint="eastAsia"/>
          <w:vertAlign w:val="baseline"/>
        </w:rPr>
      </w:pPr>
      <w:r>
        <w:rPr>
          <w:rStyle w:val="af9"/>
        </w:rPr>
        <w:footnoteRef/>
      </w:r>
      <w:r>
        <w:rPr>
          <w:rStyle w:val="af9"/>
          <w:rFonts w:hint="eastAsia"/>
        </w:rPr>
        <w:t xml:space="preserve"> </w:t>
      </w:r>
      <w:r>
        <w:rPr>
          <w:rFonts w:hint="eastAsia"/>
        </w:rPr>
        <w:t xml:space="preserve"> </w:t>
      </w:r>
      <w:r>
        <w:rPr>
          <w:rStyle w:val="af9"/>
          <w:rFonts w:hint="eastAsia"/>
          <w:vertAlign w:val="baseline"/>
        </w:rPr>
        <w:t>经双方同意，可选用</w:t>
      </w:r>
      <w:r>
        <w:rPr>
          <w:rFonts w:hint="eastAsia"/>
        </w:rPr>
        <w:t>其他</w:t>
      </w:r>
      <w:r>
        <w:rPr>
          <w:rStyle w:val="af9"/>
          <w:rFonts w:hint="eastAsia"/>
          <w:vertAlign w:val="baseline"/>
        </w:rPr>
        <w:t>形式。下同。</w:t>
      </w:r>
    </w:p>
  </w:footnote>
  <w:footnote w:id="17">
    <w:p w:rsidR="00000000" w:rsidRDefault="00000000">
      <w:pPr>
        <w:pStyle w:val="af0"/>
        <w:ind w:left="620" w:hangingChars="162" w:hanging="340"/>
        <w:rPr>
          <w:rStyle w:val="af9"/>
          <w:rFonts w:hint="eastAsia"/>
          <w:vertAlign w:val="baseline"/>
        </w:rPr>
      </w:pPr>
      <w:r>
        <w:rPr>
          <w:rStyle w:val="af9"/>
        </w:rPr>
        <w:footnoteRef/>
      </w:r>
      <w:r>
        <w:rPr>
          <w:rStyle w:val="af9"/>
        </w:rPr>
        <w:t xml:space="preserve"> </w:t>
      </w:r>
      <w:r>
        <w:rPr>
          <w:rFonts w:hint="eastAsia"/>
        </w:rPr>
        <w:t xml:space="preserve"> </w:t>
      </w:r>
      <w:r>
        <w:rPr>
          <w:rStyle w:val="af9"/>
          <w:rFonts w:hint="eastAsia"/>
          <w:vertAlign w:val="baseline"/>
        </w:rPr>
        <w:t>仅可择一。</w:t>
      </w:r>
    </w:p>
  </w:footnote>
  <w:footnote w:id="18">
    <w:p w:rsidR="00000000" w:rsidRDefault="00000000">
      <w:pPr>
        <w:pStyle w:val="af0"/>
        <w:ind w:left="620" w:hangingChars="162" w:hanging="340"/>
        <w:rPr>
          <w:rStyle w:val="af9"/>
          <w:rFonts w:hint="eastAsia"/>
          <w:vertAlign w:val="baseline"/>
        </w:rPr>
      </w:pPr>
      <w:r>
        <w:rPr>
          <w:rStyle w:val="af9"/>
        </w:rPr>
        <w:footnoteRef/>
      </w:r>
      <w:r>
        <w:rPr>
          <w:rStyle w:val="af9"/>
        </w:rPr>
        <w:t xml:space="preserve"> </w:t>
      </w:r>
      <w:r>
        <w:rPr>
          <w:rFonts w:hint="eastAsia"/>
        </w:rPr>
        <w:t xml:space="preserve"> </w:t>
      </w:r>
      <w:r>
        <w:rPr>
          <w:rStyle w:val="af9"/>
          <w:rFonts w:hint="eastAsia"/>
          <w:vertAlign w:val="baseline"/>
        </w:rPr>
        <w:t>实际签订协议时，附件应完整、准确、清楚，不得省略。</w:t>
      </w:r>
    </w:p>
  </w:footnote>
  <w:footnote w:id="19">
    <w:p w:rsidR="00000000" w:rsidRDefault="00000000">
      <w:pPr>
        <w:pStyle w:val="af0"/>
        <w:ind w:left="620" w:hangingChars="162" w:hanging="340"/>
        <w:rPr>
          <w:rStyle w:val="af9"/>
          <w:rFonts w:hint="eastAsia"/>
          <w:vertAlign w:val="baseline"/>
        </w:rPr>
      </w:pPr>
      <w:r>
        <w:rPr>
          <w:rStyle w:val="af9"/>
        </w:rPr>
        <w:footnoteRef/>
      </w:r>
      <w:r>
        <w:rPr>
          <w:rFonts w:hint="eastAsia"/>
        </w:rPr>
        <w:t xml:space="preserve">  </w:t>
      </w:r>
      <w:r>
        <w:rPr>
          <w:rStyle w:val="af9"/>
          <w:rFonts w:hint="eastAsia"/>
          <w:vertAlign w:val="baseline"/>
        </w:rPr>
        <w:t>指</w:t>
      </w:r>
      <w:r>
        <w:rPr>
          <w:rFonts w:hint="eastAsia"/>
        </w:rPr>
        <w:t>能源监管机构</w:t>
      </w:r>
      <w:r>
        <w:rPr>
          <w:rStyle w:val="af9"/>
          <w:rFonts w:hint="eastAsia"/>
          <w:vertAlign w:val="baseline"/>
        </w:rPr>
        <w:t>设在</w:t>
      </w:r>
      <w:r>
        <w:rPr>
          <w:rFonts w:hint="eastAsia"/>
        </w:rPr>
        <w:t>储能电站</w:t>
      </w:r>
      <w:r>
        <w:rPr>
          <w:rStyle w:val="af9"/>
          <w:rFonts w:hint="eastAsia"/>
          <w:vertAlign w:val="baseline"/>
        </w:rPr>
        <w:t>所在地</w:t>
      </w:r>
      <w:r>
        <w:rPr>
          <w:rFonts w:hint="eastAsia"/>
        </w:rPr>
        <w:t>派出</w:t>
      </w:r>
      <w:r>
        <w:rPr>
          <w:rStyle w:val="af9"/>
          <w:rFonts w:hint="eastAsia"/>
          <w:vertAlign w:val="baseline"/>
        </w:rPr>
        <w:t>机构。</w:t>
      </w:r>
    </w:p>
  </w:footnote>
  <w:footnote w:id="20">
    <w:p w:rsidR="00000000" w:rsidRDefault="00000000">
      <w:pPr>
        <w:pStyle w:val="af0"/>
        <w:ind w:left="637" w:hangingChars="170" w:hanging="357"/>
        <w:rPr>
          <w:rStyle w:val="af9"/>
          <w:rFonts w:hint="eastAsia"/>
          <w:vertAlign w:val="baseline"/>
        </w:rPr>
      </w:pPr>
      <w:r>
        <w:rPr>
          <w:rStyle w:val="af9"/>
        </w:rPr>
        <w:footnoteRef/>
      </w:r>
      <w:r>
        <w:rPr>
          <w:rFonts w:hint="eastAsia"/>
        </w:rPr>
        <w:t xml:space="preserve">  </w:t>
      </w:r>
      <w:r>
        <w:rPr>
          <w:rStyle w:val="af9"/>
          <w:rFonts w:hint="eastAsia"/>
          <w:vertAlign w:val="baseline"/>
        </w:rPr>
        <w:t>如果</w:t>
      </w:r>
      <w:r>
        <w:rPr>
          <w:rFonts w:hint="eastAsia"/>
        </w:rPr>
        <w:t>储能电站</w:t>
      </w:r>
      <w:r>
        <w:rPr>
          <w:rStyle w:val="af9"/>
          <w:rFonts w:hint="eastAsia"/>
          <w:vertAlign w:val="baseline"/>
        </w:rPr>
        <w:t>有不同类型的</w:t>
      </w:r>
      <w:r>
        <w:rPr>
          <w:rFonts w:hint="eastAsia"/>
        </w:rPr>
        <w:t>发电单元</w:t>
      </w:r>
      <w:r>
        <w:rPr>
          <w:rStyle w:val="af9"/>
          <w:rFonts w:hint="eastAsia"/>
          <w:vertAlign w:val="baseline"/>
        </w:rPr>
        <w:t>，则在协议的实际使用过程中，应根据本条所列的内容，将不同机组的技术参数分别写明。</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0B8"/>
    <w:multiLevelType w:val="multilevel"/>
    <w:tmpl w:val="012800B8"/>
    <w:lvl w:ilvl="0">
      <w:start w:val="1"/>
      <w:numFmt w:val="none"/>
      <w:lvlText w:val="图"/>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40A15CD"/>
    <w:multiLevelType w:val="multilevel"/>
    <w:tmpl w:val="040A15CD"/>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87406A2"/>
    <w:multiLevelType w:val="multilevel"/>
    <w:tmpl w:val="087406A2"/>
    <w:lvl w:ilvl="0">
      <w:start w:val="1"/>
      <w:numFmt w:val="none"/>
      <w:lvlText w:val="%1示例"/>
      <w:lvlJc w:val="left"/>
      <w:pPr>
        <w:tabs>
          <w:tab w:val="num" w:pos="1140"/>
        </w:tabs>
        <w:ind w:left="20" w:firstLine="400"/>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9227E31"/>
    <w:multiLevelType w:val="multilevel"/>
    <w:tmpl w:val="09227E31"/>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lvlText w:val="表%2"/>
      <w:lvlJc w:val="left"/>
      <w:pPr>
        <w:tabs>
          <w:tab w:val="num" w:pos="360"/>
        </w:tabs>
        <w:ind w:left="0" w:firstLine="0"/>
      </w:pPr>
      <w:rPr>
        <w:rFonts w:ascii="黑体" w:eastAsia="黑体" w:hAnsi="Times New Roman" w:hint="eastAsia"/>
        <w:b/>
        <w:i w:val="0"/>
        <w:sz w:val="20"/>
      </w:rPr>
    </w:lvl>
    <w:lvl w:ilvl="2">
      <w:start w:val="1"/>
      <w:numFmt w:val="none"/>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4" w15:restartNumberingAfterBreak="0">
    <w:nsid w:val="0AE367E9"/>
    <w:multiLevelType w:val="multilevel"/>
    <w:tmpl w:val="0AE367E9"/>
    <w:lvl w:ilvl="0">
      <w:start w:val="1"/>
      <w:numFmt w:val="none"/>
      <w:lvlText w:val="%1式中："/>
      <w:lvlJc w:val="left"/>
      <w:pPr>
        <w:tabs>
          <w:tab w:val="num" w:pos="918"/>
        </w:tabs>
        <w:ind w:left="0" w:firstLine="198"/>
      </w:pPr>
      <w:rPr>
        <w:rFonts w:ascii="宋体" w:eastAsia="宋体"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528F73F"/>
    <w:multiLevelType w:val="singleLevel"/>
    <w:tmpl w:val="1528F73F"/>
    <w:lvl w:ilvl="0">
      <w:start w:val="1"/>
      <w:numFmt w:val="decimal"/>
      <w:suff w:val="space"/>
      <w:lvlText w:val="%1."/>
      <w:lvlJc w:val="left"/>
    </w:lvl>
  </w:abstractNum>
  <w:abstractNum w:abstractNumId="6" w15:restartNumberingAfterBreak="0">
    <w:nsid w:val="1B136F61"/>
    <w:multiLevelType w:val="multilevel"/>
    <w:tmpl w:val="1B136F61"/>
    <w:lvl w:ilvl="0">
      <w:start w:val="1"/>
      <w:numFmt w:val="none"/>
      <w:lvlText w:val="表"/>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1B802614"/>
    <w:multiLevelType w:val="multilevel"/>
    <w:tmpl w:val="1B802614"/>
    <w:lvl w:ilvl="0">
      <w:start w:val="1"/>
      <w:numFmt w:val="decimal"/>
      <w:lvlText w:val="%1  "/>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264A17CC"/>
    <w:multiLevelType w:val="multilevel"/>
    <w:tmpl w:val="264A17CC"/>
    <w:lvl w:ilvl="0">
      <w:start w:val="1"/>
      <w:numFmt w:val="none"/>
      <w:lvlText w:val="表"/>
      <w:lvlJc w:val="left"/>
      <w:pPr>
        <w:tabs>
          <w:tab w:val="num" w:pos="360"/>
        </w:tabs>
        <w:ind w:left="0" w:firstLine="0"/>
      </w:pPr>
      <w:rPr>
        <w:rFonts w:ascii="宋体" w:eastAsia="宋体" w:hint="eastAsia"/>
        <w:b w:val="0"/>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32215617"/>
    <w:multiLevelType w:val="multilevel"/>
    <w:tmpl w:val="32215617"/>
    <w:lvl w:ilvl="0">
      <w:start w:val="1"/>
      <w:numFmt w:val="decimal"/>
      <w:lvlText w:val="0.%1"/>
      <w:lvlJc w:val="left"/>
      <w:pPr>
        <w:tabs>
          <w:tab w:val="num" w:pos="360"/>
        </w:tabs>
        <w:ind w:left="0" w:firstLine="0"/>
      </w:pPr>
      <w:rPr>
        <w:rFonts w:ascii="黑体" w:eastAsia="黑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w:lvlJc w:val="left"/>
      <w:pPr>
        <w:tabs>
          <w:tab w:val="num" w:pos="720"/>
        </w:tabs>
        <w:ind w:left="0" w:firstLine="0"/>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0" w15:restartNumberingAfterBreak="0">
    <w:nsid w:val="407E65F9"/>
    <w:multiLevelType w:val="multilevel"/>
    <w:tmpl w:val="407E65F9"/>
    <w:lvl w:ilvl="0">
      <w:start w:val="1"/>
      <w:numFmt w:val="none"/>
      <w:lvlText w:val="%1·　"/>
      <w:lvlJc w:val="left"/>
      <w:pPr>
        <w:tabs>
          <w:tab w:val="num" w:pos="1140"/>
        </w:tabs>
        <w:ind w:left="737" w:hanging="317"/>
      </w:pPr>
      <w:rPr>
        <w:rFonts w:ascii="宋体" w:eastAsia="宋体" w:hAnsi="Times New Roman" w:hint="eastAsia"/>
        <w:b w:val="0"/>
        <w:i w:val="0"/>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41A64E98"/>
    <w:multiLevelType w:val="multilevel"/>
    <w:tmpl w:val="41A64E98"/>
    <w:lvl w:ilvl="0">
      <w:start w:val="1"/>
      <w:numFmt w:val="decimal"/>
      <w:lvlText w:val="0.%1"/>
      <w:lvlJc w:val="left"/>
      <w:pPr>
        <w:tabs>
          <w:tab w:val="num" w:pos="360"/>
        </w:tabs>
        <w:ind w:left="0" w:firstLine="0"/>
      </w:pPr>
      <w:rPr>
        <w:rFonts w:ascii="宋体" w:eastAsia="宋体" w:hAnsi="Times New Roman" w:hint="eastAsia"/>
        <w:b/>
        <w:i w:val="0"/>
        <w:sz w:val="21"/>
      </w:rPr>
    </w:lvl>
    <w:lvl w:ilvl="1">
      <w:start w:val="1"/>
      <w:numFmt w:val="decimal"/>
      <w:lvlText w:val="0.%1.%2"/>
      <w:lvlJc w:val="left"/>
      <w:pPr>
        <w:tabs>
          <w:tab w:val="num" w:pos="720"/>
        </w:tabs>
        <w:ind w:left="0" w:firstLine="0"/>
      </w:pPr>
      <w:rPr>
        <w:rFonts w:ascii="黑体" w:eastAsia="黑体" w:hAnsi="Times New Roman" w:hint="eastAsia"/>
        <w:b/>
        <w:i w:val="0"/>
        <w:sz w:val="21"/>
      </w:rPr>
    </w:lvl>
    <w:lvl w:ilvl="2">
      <w:start w:val="1"/>
      <w:numFmt w:val="decimal"/>
      <w:lvlText w:val="0.%2.%3  "/>
      <w:lvlJc w:val="left"/>
      <w:pPr>
        <w:tabs>
          <w:tab w:val="num" w:pos="-31680"/>
        </w:tabs>
        <w:ind w:left="-32767" w:firstLine="0"/>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2" w15:restartNumberingAfterBreak="0">
    <w:nsid w:val="478338B5"/>
    <w:multiLevelType w:val="multilevel"/>
    <w:tmpl w:val="478338B5"/>
    <w:lvl w:ilvl="0">
      <w:start w:val="1"/>
      <w:numFmt w:val="none"/>
      <w:suff w:val="nothing"/>
      <w:lvlText w:val=""/>
      <w:lvlJc w:val="left"/>
      <w:pPr>
        <w:ind w:left="420" w:firstLine="0"/>
      </w:pPr>
      <w:rPr>
        <w:rFonts w:ascii="黑体" w:eastAsia="黑体" w:hAnsi="Times New Roman" w:hint="eastAsia"/>
        <w:b/>
        <w:i w:val="0"/>
        <w:sz w:val="28"/>
      </w:rPr>
    </w:lvl>
    <w:lvl w:ilvl="1">
      <w:start w:val="1"/>
      <w:numFmt w:val="lowerLetter"/>
      <w:suff w:val="nothing"/>
      <w:lvlText w:val="%1%2)  "/>
      <w:lvlJc w:val="left"/>
      <w:pPr>
        <w:ind w:left="420" w:hanging="420"/>
      </w:pPr>
      <w:rPr>
        <w:rFonts w:ascii="黑体" w:eastAsia="黑体" w:hAnsi="Times New Roman" w:hint="eastAsia"/>
        <w:b/>
        <w:i w:val="0"/>
        <w:sz w:val="21"/>
      </w:rPr>
    </w:lvl>
    <w:lvl w:ilvl="2">
      <w:start w:val="1"/>
      <w:numFmt w:val="decimal"/>
      <w:suff w:val="nothing"/>
      <w:lvlText w:val="    %3)　"/>
      <w:lvlJc w:val="left"/>
      <w:pPr>
        <w:ind w:left="0" w:firstLine="0"/>
      </w:pPr>
      <w:rPr>
        <w:rFonts w:ascii="黑体" w:eastAsia="黑体" w:hAnsi="Times New Roman" w:hint="eastAsia"/>
        <w:b/>
        <w:i w:val="0"/>
        <w:sz w:val="21"/>
      </w:rPr>
    </w:lvl>
    <w:lvl w:ilvl="3">
      <w:start w:val="1"/>
      <w:numFmt w:val="decimal"/>
      <w:suff w:val="nothing"/>
      <w:lvlText w:val="%1%2.%3.%4　"/>
      <w:lvlJc w:val="left"/>
      <w:pPr>
        <w:ind w:left="420" w:firstLine="0"/>
      </w:pPr>
      <w:rPr>
        <w:rFonts w:ascii="黑体" w:eastAsia="黑体" w:hAnsi="Times New Roman" w:hint="eastAsia"/>
        <w:b/>
        <w:i w:val="0"/>
        <w:sz w:val="21"/>
      </w:rPr>
    </w:lvl>
    <w:lvl w:ilvl="4">
      <w:start w:val="1"/>
      <w:numFmt w:val="decimal"/>
      <w:lvlRestart w:val="2"/>
      <w:suff w:val="nothing"/>
      <w:lvlText w:val="%2.0.%5  "/>
      <w:lvlJc w:val="left"/>
      <w:pPr>
        <w:ind w:left="420" w:firstLine="0"/>
      </w:pPr>
      <w:rPr>
        <w:rFonts w:ascii="黑体" w:eastAsia="黑体" w:hAnsi="Times New Roman" w:hint="eastAsia"/>
        <w:b/>
        <w:i w:val="0"/>
        <w:sz w:val="21"/>
      </w:rPr>
    </w:lvl>
    <w:lvl w:ilvl="5">
      <w:start w:val="1"/>
      <w:numFmt w:val="decimal"/>
      <w:suff w:val="nothing"/>
      <w:lvlText w:val="      %6)  "/>
      <w:lvlJc w:val="left"/>
      <w:pPr>
        <w:ind w:left="1441" w:hanging="1021"/>
      </w:pPr>
      <w:rPr>
        <w:rFonts w:ascii="黑体" w:eastAsia="黑体" w:hAnsi="Times New Roman" w:hint="eastAsia"/>
        <w:b/>
        <w:i w:val="0"/>
        <w:sz w:val="21"/>
      </w:rPr>
    </w:lvl>
    <w:lvl w:ilvl="6">
      <w:start w:val="1"/>
      <w:numFmt w:val="decimal"/>
      <w:lvlRestart w:val="4"/>
      <w:suff w:val="nothing"/>
      <w:lvlText w:val="表 %2.%3.%4-%7  "/>
      <w:lvlJc w:val="left"/>
      <w:pPr>
        <w:ind w:left="420" w:firstLine="0"/>
      </w:pPr>
      <w:rPr>
        <w:rFonts w:ascii="黑体" w:eastAsia="黑体" w:hAnsi="Times New Roman" w:hint="eastAsia"/>
        <w:b/>
        <w:i w:val="0"/>
        <w:sz w:val="21"/>
      </w:rPr>
    </w:lvl>
    <w:lvl w:ilvl="7">
      <w:start w:val="1"/>
      <w:numFmt w:val="decimal"/>
      <w:lvlRestart w:val="4"/>
      <w:suff w:val="nothing"/>
      <w:lvlText w:val="图 %2.%3.%4-%8  "/>
      <w:lvlJc w:val="left"/>
      <w:pPr>
        <w:ind w:left="420" w:firstLine="0"/>
      </w:pPr>
      <w:rPr>
        <w:rFonts w:ascii="黑体" w:eastAsia="黑体" w:hint="eastAsia"/>
        <w:b/>
        <w:i w:val="0"/>
        <w:sz w:val="21"/>
      </w:rPr>
    </w:lvl>
    <w:lvl w:ilvl="8">
      <w:start w:val="1"/>
      <w:numFmt w:val="decimal"/>
      <w:lvlRestart w:val="5"/>
      <w:suff w:val="nothing"/>
      <w:lvlText w:val="    %9  "/>
      <w:lvlJc w:val="left"/>
      <w:pPr>
        <w:ind w:left="420" w:firstLine="0"/>
      </w:pPr>
      <w:rPr>
        <w:rFonts w:ascii="黑体" w:eastAsia="黑体" w:hAnsi="华文细黑" w:hint="eastAsia"/>
        <w:b/>
        <w:i w:val="0"/>
        <w:sz w:val="21"/>
      </w:rPr>
    </w:lvl>
  </w:abstractNum>
  <w:abstractNum w:abstractNumId="13" w15:restartNumberingAfterBreak="0">
    <w:nsid w:val="496E4D7B"/>
    <w:multiLevelType w:val="multilevel"/>
    <w:tmpl w:val="496E4D7B"/>
    <w:lvl w:ilvl="0">
      <w:start w:val="1"/>
      <w:numFmt w:val="none"/>
      <w:lvlText w:val="%1注"/>
      <w:lvlJc w:val="left"/>
      <w:pPr>
        <w:tabs>
          <w:tab w:val="num" w:pos="900"/>
        </w:tabs>
        <w:ind w:left="900" w:hanging="50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49BA38A3"/>
    <w:multiLevelType w:val="multilevel"/>
    <w:tmpl w:val="49BA38A3"/>
    <w:lvl w:ilvl="0">
      <w:start w:val="1"/>
      <w:numFmt w:val="decimal"/>
      <w:lvlText w:val="第%1章"/>
      <w:lvlJc w:val="left"/>
      <w:pPr>
        <w:ind w:left="0" w:firstLine="0"/>
      </w:pPr>
      <w:rPr>
        <w:rFonts w:hint="eastAsia"/>
      </w:rPr>
    </w:lvl>
    <w:lvl w:ilvl="1">
      <w:start w:val="1"/>
      <w:numFmt w:val="decimal"/>
      <w:lvlText w:val="%1.%2"/>
      <w:lvlJc w:val="left"/>
      <w:pPr>
        <w:ind w:left="0" w:firstLine="0"/>
      </w:pPr>
      <w:rPr>
        <w:lang w:val="en-US"/>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55E02EF4"/>
    <w:multiLevelType w:val="multilevel"/>
    <w:tmpl w:val="55E02EF4"/>
    <w:lvl w:ilvl="0">
      <w:start w:val="1"/>
      <w:numFmt w:val="decimal"/>
      <w:lvlText w:val="图%1"/>
      <w:lvlJc w:val="left"/>
      <w:pPr>
        <w:tabs>
          <w:tab w:val="num" w:pos="360"/>
        </w:tabs>
        <w:ind w:left="0" w:firstLine="0"/>
      </w:pPr>
      <w:rPr>
        <w:rFonts w:ascii="黑体" w:eastAsia="黑体" w:hint="eastAsia"/>
        <w:b/>
        <w:i w:val="0"/>
        <w:sz w:val="2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656E7BB8"/>
    <w:multiLevelType w:val="multilevel"/>
    <w:tmpl w:val="656E7BB8"/>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lvlText w:val="%1%2"/>
      <w:lvlJc w:val="left"/>
      <w:pPr>
        <w:tabs>
          <w:tab w:val="num" w:pos="360"/>
        </w:tabs>
        <w:ind w:left="0" w:firstLine="0"/>
      </w:pPr>
      <w:rPr>
        <w:rFonts w:ascii="黑体" w:eastAsia="黑体" w:hAnsi="Times New Roman" w:hint="eastAsia"/>
        <w:b/>
        <w:i w:val="0"/>
        <w:sz w:val="20"/>
      </w:rPr>
    </w:lvl>
    <w:lvl w:ilvl="2">
      <w:start w:val="1"/>
      <w:numFmt w:val="decimal"/>
      <w:lvlText w:val="%1%2.%3"/>
      <w:lvlJc w:val="left"/>
      <w:pPr>
        <w:tabs>
          <w:tab w:val="num" w:pos="720"/>
        </w:tabs>
        <w:ind w:left="0" w:firstLine="0"/>
      </w:pPr>
      <w:rPr>
        <w:rFonts w:ascii="黑体" w:eastAsia="黑体" w:hAnsi="Times New Roman" w:hint="eastAsia"/>
        <w:b/>
        <w:i w:val="0"/>
        <w:sz w:val="21"/>
      </w:rPr>
    </w:lvl>
    <w:lvl w:ilvl="3">
      <w:start w:val="1"/>
      <w:numFmt w:val="decimal"/>
      <w:lvlText w:val="%1%2.%3.%4"/>
      <w:lvlJc w:val="left"/>
      <w:pPr>
        <w:tabs>
          <w:tab w:val="num" w:pos="720"/>
        </w:tabs>
        <w:ind w:left="0" w:firstLine="0"/>
      </w:pPr>
      <w:rPr>
        <w:rFonts w:ascii="黑体" w:eastAsia="黑体" w:hAnsi="Times New Roman" w:hint="eastAsia"/>
        <w:b/>
        <w:i w:val="0"/>
        <w:sz w:val="21"/>
      </w:rPr>
    </w:lvl>
    <w:lvl w:ilvl="4">
      <w:start w:val="1"/>
      <w:numFmt w:val="decimal"/>
      <w:lvlText w:val="%2.%3.%4.%5"/>
      <w:lvlJc w:val="left"/>
      <w:pPr>
        <w:tabs>
          <w:tab w:val="num" w:pos="1080"/>
        </w:tabs>
        <w:ind w:left="0" w:firstLine="0"/>
      </w:pPr>
      <w:rPr>
        <w:rFonts w:ascii="黑体" w:eastAsia="黑体" w:hAnsi="Times New Roman" w:hint="eastAsia"/>
        <w:b/>
        <w:i w:val="0"/>
        <w:sz w:val="21"/>
      </w:rPr>
    </w:lvl>
    <w:lvl w:ilvl="5">
      <w:start w:val="1"/>
      <w:numFmt w:val="decimal"/>
      <w:lvlText w:val="%2.%3.%4.%5.%6"/>
      <w:lvlJc w:val="left"/>
      <w:pPr>
        <w:tabs>
          <w:tab w:val="num" w:pos="1021"/>
        </w:tabs>
        <w:ind w:left="1021" w:hanging="1021"/>
      </w:pPr>
      <w:rPr>
        <w:rFonts w:ascii="黑体" w:eastAsia="黑体" w:hAnsi="Times New Roman" w:hint="eastAsia"/>
        <w:b/>
        <w:i w:val="0"/>
        <w:sz w:val="21"/>
      </w:rPr>
    </w:lvl>
    <w:lvl w:ilvl="6">
      <w:start w:val="1"/>
      <w:numFmt w:val="decimal"/>
      <w:lvlRestart w:val="5"/>
      <w:lvlText w:val="%2.%3.%4.%5.%6.%7"/>
      <w:lvlJc w:val="left"/>
      <w:pPr>
        <w:tabs>
          <w:tab w:val="num" w:pos="1440"/>
        </w:tabs>
        <w:ind w:left="0" w:firstLine="0"/>
      </w:pPr>
      <w:rPr>
        <w:rFonts w:ascii="黑体" w:eastAsia="黑体" w:hAnsi="Times New Roman"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17" w15:restartNumberingAfterBreak="0">
    <w:nsid w:val="657D3FBC"/>
    <w:multiLevelType w:val="multilevel"/>
    <w:tmpl w:val="657D3FBC"/>
    <w:lvl w:ilvl="0">
      <w:start w:val="1"/>
      <w:numFmt w:val="upperLetter"/>
      <w:suff w:val="nothing"/>
      <w:lvlText w:val="附录  %1"/>
      <w:lvlJc w:val="left"/>
      <w:pPr>
        <w:ind w:left="0" w:firstLine="0"/>
      </w:pPr>
      <w:rPr>
        <w:rFonts w:ascii="黑体" w:eastAsia="黑体" w:hAnsi="Times New Roman" w:hint="eastAsia"/>
        <w:b/>
        <w:i w:val="0"/>
        <w:sz w:val="21"/>
      </w:rPr>
    </w:lvl>
    <w:lvl w:ilvl="1">
      <w:start w:val="1"/>
      <w:numFmt w:val="decimal"/>
      <w:suff w:val="nothing"/>
      <w:lvlText w:val="%1.%2　"/>
      <w:lvlJc w:val="left"/>
      <w:pPr>
        <w:ind w:left="0" w:firstLine="0"/>
      </w:pPr>
      <w:rPr>
        <w:rFonts w:ascii="黑体" w:eastAsia="黑体" w:hAnsi="Times New Roman" w:hint="eastAsia"/>
        <w:b/>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1.%2.%3.%4.%5　"/>
      <w:lvlJc w:val="left"/>
      <w:pPr>
        <w:ind w:left="0" w:firstLine="0"/>
      </w:pPr>
      <w:rPr>
        <w:rFonts w:ascii="黑体" w:eastAsia="黑体" w:hAnsi="Times New Roman" w:hint="eastAsia"/>
        <w:b/>
        <w:i w:val="0"/>
        <w:sz w:val="21"/>
      </w:rPr>
    </w:lvl>
    <w:lvl w:ilvl="5">
      <w:start w:val="1"/>
      <w:numFmt w:val="decimal"/>
      <w:suff w:val="nothing"/>
      <w:lvlText w:val="%1.%2.%3.%4.%5.%6　"/>
      <w:lvlJc w:val="left"/>
      <w:pPr>
        <w:ind w:left="0" w:firstLine="0"/>
      </w:pPr>
      <w:rPr>
        <w:rFonts w:ascii="黑体" w:eastAsia="黑体" w:hAnsi="Times New Roman" w:hint="eastAsia"/>
        <w:b/>
        <w:i w:val="0"/>
        <w:sz w:val="21"/>
      </w:rPr>
    </w:lvl>
    <w:lvl w:ilvl="6">
      <w:start w:val="1"/>
      <w:numFmt w:val="decimal"/>
      <w:suff w:val="nothing"/>
      <w:lvlText w:val="%1.%2.%3.%4.%5.%6.%7　"/>
      <w:lvlJc w:val="left"/>
      <w:pPr>
        <w:ind w:left="0" w:firstLine="0"/>
      </w:pPr>
      <w:rPr>
        <w:rFonts w:ascii="黑体" w:eastAsia="黑体" w:hAnsi="Times New Roman" w:hint="eastAsia"/>
        <w:b/>
        <w:i w:val="0"/>
        <w:sz w:val="21"/>
      </w:rPr>
    </w:lvl>
    <w:lvl w:ilvl="7">
      <w:start w:val="1"/>
      <w:numFmt w:val="none"/>
      <w:lvlRestart w:val="1"/>
      <w:lvlText w:val="表 %1."/>
      <w:lvlJc w:val="left"/>
      <w:pPr>
        <w:tabs>
          <w:tab w:val="num" w:pos="720"/>
        </w:tabs>
        <w:ind w:left="0" w:firstLine="0"/>
      </w:pPr>
      <w:rPr>
        <w:rFonts w:ascii="黑体" w:eastAsia="黑体" w:hint="eastAsia"/>
        <w:b/>
        <w:i w:val="0"/>
        <w:sz w:val="20"/>
      </w:rPr>
    </w:lvl>
    <w:lvl w:ilvl="8">
      <w:start w:val="1"/>
      <w:numFmt w:val="none"/>
      <w:lvlRestart w:val="1"/>
      <w:lvlText w:val="图 %1."/>
      <w:lvlJc w:val="left"/>
      <w:pPr>
        <w:tabs>
          <w:tab w:val="num" w:pos="720"/>
        </w:tabs>
        <w:ind w:left="0" w:firstLine="0"/>
      </w:pPr>
      <w:rPr>
        <w:rFonts w:ascii="黑体" w:eastAsia="黑体" w:hint="eastAsia"/>
        <w:b/>
        <w:i w:val="0"/>
        <w:sz w:val="20"/>
      </w:rPr>
    </w:lvl>
  </w:abstractNum>
  <w:abstractNum w:abstractNumId="18" w15:restartNumberingAfterBreak="0">
    <w:nsid w:val="6CEA2025"/>
    <w:multiLevelType w:val="multilevel"/>
    <w:tmpl w:val="6CEA2025"/>
    <w:lvl w:ilvl="0">
      <w:numFmt w:val="none"/>
      <w:lvlText w:val=""/>
      <w:lvlJc w:val="left"/>
      <w:pPr>
        <w:tabs>
          <w:tab w:val="num" w:pos="360"/>
        </w:tabs>
      </w:pPr>
    </w:lvl>
    <w:lvl w:ilvl="1">
      <w:start w:val="1"/>
      <w:numFmt w:val="decimal"/>
      <w:lvlText w:val="3.%1.%2"/>
      <w:lvlJc w:val="left"/>
      <w:pPr>
        <w:tabs>
          <w:tab w:val="num" w:pos="720"/>
        </w:tabs>
        <w:ind w:left="0" w:firstLine="0"/>
      </w:pPr>
      <w:rPr>
        <w:rFonts w:ascii="黑体" w:eastAsia="黑体" w:hint="eastAsia"/>
        <w:b/>
        <w:i w:val="0"/>
        <w:sz w:val="20"/>
      </w:rPr>
    </w:lvl>
    <w:lvl w:ilvl="2">
      <w:start w:val="1"/>
      <w:numFmt w:val="decimal"/>
      <w:lvlText w:val="3.%1.%2.%3"/>
      <w:lvlJc w:val="left"/>
      <w:pPr>
        <w:tabs>
          <w:tab w:val="num" w:pos="720"/>
        </w:tabs>
        <w:ind w:left="0" w:firstLine="0"/>
      </w:pPr>
      <w:rPr>
        <w:rFonts w:ascii="黑体" w:eastAsia="黑体" w:hint="eastAsia"/>
        <w:b/>
        <w:i w:val="0"/>
        <w:sz w:val="20"/>
      </w:rPr>
    </w:lvl>
    <w:lvl w:ilvl="3">
      <w:start w:val="1"/>
      <w:numFmt w:val="decimal"/>
      <w:lvlText w:val="3.%1.%2.%3.%4"/>
      <w:lvlJc w:val="left"/>
      <w:pPr>
        <w:tabs>
          <w:tab w:val="num" w:pos="1077"/>
        </w:tabs>
        <w:ind w:left="0" w:firstLine="0"/>
      </w:pPr>
      <w:rPr>
        <w:rFonts w:ascii="黑体" w:eastAsia="黑体" w:hint="eastAsia"/>
        <w:b/>
        <w:i w:val="0"/>
        <w:sz w:val="20"/>
      </w:rPr>
    </w:lvl>
    <w:lvl w:ilvl="4">
      <w:start w:val="1"/>
      <w:numFmt w:val="decimal"/>
      <w:lvlText w:val="3.%1.%2.%3.%4.%5"/>
      <w:lvlJc w:val="left"/>
      <w:pPr>
        <w:tabs>
          <w:tab w:val="num" w:pos="1440"/>
        </w:tabs>
        <w:ind w:left="0" w:firstLine="0"/>
      </w:pPr>
      <w:rPr>
        <w:rFonts w:ascii="黑体" w:eastAsia="黑体" w:hint="eastAsia"/>
        <w:b/>
        <w:i w:val="0"/>
        <w:sz w:val="20"/>
      </w:r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9" w15:restartNumberingAfterBreak="0">
    <w:nsid w:val="6DBF04F4"/>
    <w:multiLevelType w:val="multilevel"/>
    <w:tmpl w:val="6DBF04F4"/>
    <w:lvl w:ilvl="0">
      <w:start w:val="1"/>
      <w:numFmt w:val="none"/>
      <w:lvlText w:val="%1注："/>
      <w:lvlJc w:val="left"/>
      <w:pPr>
        <w:tabs>
          <w:tab w:val="num" w:pos="1140"/>
        </w:tabs>
        <w:ind w:left="840" w:hanging="420"/>
      </w:pPr>
      <w:rPr>
        <w:rFonts w:ascii="宋体" w:eastAsia="宋体" w:hAnsi="Times New Roman" w:hint="eastAsia"/>
        <w:b w:val="0"/>
        <w:i w:val="0"/>
        <w:sz w:val="18"/>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763A6836"/>
    <w:multiLevelType w:val="multilevel"/>
    <w:tmpl w:val="763A683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num" w:pos="720"/>
        </w:tabs>
        <w:ind w:left="0" w:firstLine="0"/>
      </w:pPr>
      <w:rPr>
        <w:rFonts w:ascii="黑体" w:eastAsia="黑体" w:hint="eastAsia"/>
        <w:b/>
        <w:i w:val="0"/>
        <w:sz w:val="21"/>
      </w:rPr>
    </w:lvl>
    <w:lvl w:ilvl="8">
      <w:start w:val="1"/>
      <w:numFmt w:val="decimal"/>
      <w:lvlRestart w:val="2"/>
      <w:lvlText w:val="%2.0.%9"/>
      <w:lvlJc w:val="left"/>
      <w:pPr>
        <w:tabs>
          <w:tab w:val="num" w:pos="720"/>
        </w:tabs>
        <w:ind w:left="0" w:firstLine="0"/>
      </w:pPr>
      <w:rPr>
        <w:rFonts w:ascii="黑体" w:eastAsia="黑体" w:hAnsi="华文细黑" w:hint="eastAsia"/>
        <w:b/>
        <w:i w:val="0"/>
        <w:sz w:val="21"/>
      </w:rPr>
    </w:lvl>
  </w:abstractNum>
  <w:abstractNum w:abstractNumId="21" w15:restartNumberingAfterBreak="0">
    <w:nsid w:val="76933334"/>
    <w:multiLevelType w:val="multilevel"/>
    <w:tmpl w:val="76933334"/>
    <w:lvl w:ilvl="0">
      <w:start w:val="1"/>
      <w:numFmt w:val="none"/>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13137335">
    <w:abstractNumId w:val="14"/>
  </w:num>
  <w:num w:numId="2" w16cid:durableId="1768649392">
    <w:abstractNumId w:val="16"/>
  </w:num>
  <w:num w:numId="3" w16cid:durableId="762920125">
    <w:abstractNumId w:val="18"/>
  </w:num>
  <w:num w:numId="4" w16cid:durableId="1564637373">
    <w:abstractNumId w:val="10"/>
  </w:num>
  <w:num w:numId="5" w16cid:durableId="732197832">
    <w:abstractNumId w:val="4"/>
  </w:num>
  <w:num w:numId="6" w16cid:durableId="247466246">
    <w:abstractNumId w:val="11"/>
  </w:num>
  <w:num w:numId="7" w16cid:durableId="1810785214">
    <w:abstractNumId w:val="17"/>
  </w:num>
  <w:num w:numId="8" w16cid:durableId="1030257876">
    <w:abstractNumId w:val="20"/>
  </w:num>
  <w:num w:numId="9" w16cid:durableId="527061807">
    <w:abstractNumId w:val="6"/>
  </w:num>
  <w:num w:numId="10" w16cid:durableId="1980377017">
    <w:abstractNumId w:val="21"/>
  </w:num>
  <w:num w:numId="11" w16cid:durableId="661010976">
    <w:abstractNumId w:val="8"/>
  </w:num>
  <w:num w:numId="12" w16cid:durableId="262887192">
    <w:abstractNumId w:val="7"/>
  </w:num>
  <w:num w:numId="13" w16cid:durableId="180054488">
    <w:abstractNumId w:val="12"/>
  </w:num>
  <w:num w:numId="14" w16cid:durableId="1532913773">
    <w:abstractNumId w:val="15"/>
  </w:num>
  <w:num w:numId="15" w16cid:durableId="1898927471">
    <w:abstractNumId w:val="1"/>
  </w:num>
  <w:num w:numId="16" w16cid:durableId="1146051092">
    <w:abstractNumId w:val="13"/>
  </w:num>
  <w:num w:numId="17" w16cid:durableId="1999772710">
    <w:abstractNumId w:val="19"/>
  </w:num>
  <w:num w:numId="18" w16cid:durableId="443840932">
    <w:abstractNumId w:val="3"/>
  </w:num>
  <w:num w:numId="19" w16cid:durableId="1470977795">
    <w:abstractNumId w:val="9"/>
  </w:num>
  <w:num w:numId="20" w16cid:durableId="1563371864">
    <w:abstractNumId w:val="0"/>
  </w:num>
  <w:num w:numId="21" w16cid:durableId="1405954865">
    <w:abstractNumId w:val="2"/>
  </w:num>
  <w:num w:numId="22" w16cid:durableId="5769418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20442"/>
    <w:rsid w:val="000574E3"/>
    <w:rsid w:val="00062F34"/>
    <w:rsid w:val="000B5AEF"/>
    <w:rsid w:val="000C5B77"/>
    <w:rsid w:val="000F66F5"/>
    <w:rsid w:val="001416C5"/>
    <w:rsid w:val="00173561"/>
    <w:rsid w:val="00185D93"/>
    <w:rsid w:val="001A18D3"/>
    <w:rsid w:val="001A38AA"/>
    <w:rsid w:val="001F6A11"/>
    <w:rsid w:val="00233159"/>
    <w:rsid w:val="00264E2B"/>
    <w:rsid w:val="00281CC4"/>
    <w:rsid w:val="0028476E"/>
    <w:rsid w:val="00285121"/>
    <w:rsid w:val="00286F08"/>
    <w:rsid w:val="002A41BB"/>
    <w:rsid w:val="002E4A13"/>
    <w:rsid w:val="00370844"/>
    <w:rsid w:val="003B7E64"/>
    <w:rsid w:val="003C5CA5"/>
    <w:rsid w:val="003C72EF"/>
    <w:rsid w:val="004711DE"/>
    <w:rsid w:val="00481677"/>
    <w:rsid w:val="00522DAF"/>
    <w:rsid w:val="00565DB4"/>
    <w:rsid w:val="0057164B"/>
    <w:rsid w:val="005E6C8C"/>
    <w:rsid w:val="005F26C3"/>
    <w:rsid w:val="006073D2"/>
    <w:rsid w:val="00635817"/>
    <w:rsid w:val="006402B8"/>
    <w:rsid w:val="00657341"/>
    <w:rsid w:val="00680B81"/>
    <w:rsid w:val="006B1F00"/>
    <w:rsid w:val="006C4E74"/>
    <w:rsid w:val="00734C89"/>
    <w:rsid w:val="00745277"/>
    <w:rsid w:val="007506A4"/>
    <w:rsid w:val="00772255"/>
    <w:rsid w:val="007C581A"/>
    <w:rsid w:val="007C6EE7"/>
    <w:rsid w:val="008A4866"/>
    <w:rsid w:val="008F1585"/>
    <w:rsid w:val="009123C5"/>
    <w:rsid w:val="00951243"/>
    <w:rsid w:val="009B1573"/>
    <w:rsid w:val="009C01B5"/>
    <w:rsid w:val="009E0C6C"/>
    <w:rsid w:val="009E40A8"/>
    <w:rsid w:val="00A33FA6"/>
    <w:rsid w:val="00A70270"/>
    <w:rsid w:val="00A803D4"/>
    <w:rsid w:val="00AB31DC"/>
    <w:rsid w:val="00AF0FE0"/>
    <w:rsid w:val="00AF5301"/>
    <w:rsid w:val="00AF6326"/>
    <w:rsid w:val="00B063BC"/>
    <w:rsid w:val="00B20442"/>
    <w:rsid w:val="00B77B86"/>
    <w:rsid w:val="00BA331D"/>
    <w:rsid w:val="00BC00E5"/>
    <w:rsid w:val="00BE1C31"/>
    <w:rsid w:val="00BE70BC"/>
    <w:rsid w:val="00BF348B"/>
    <w:rsid w:val="00C03140"/>
    <w:rsid w:val="00C24551"/>
    <w:rsid w:val="00C77FAB"/>
    <w:rsid w:val="00C8580A"/>
    <w:rsid w:val="00CC06EF"/>
    <w:rsid w:val="00CD591D"/>
    <w:rsid w:val="00D53648"/>
    <w:rsid w:val="00D75361"/>
    <w:rsid w:val="00D93E88"/>
    <w:rsid w:val="00DB672F"/>
    <w:rsid w:val="00DC4848"/>
    <w:rsid w:val="00DD2ACB"/>
    <w:rsid w:val="00DE4CCC"/>
    <w:rsid w:val="00E3699D"/>
    <w:rsid w:val="00EE3472"/>
    <w:rsid w:val="00F13401"/>
    <w:rsid w:val="00F30300"/>
    <w:rsid w:val="00F64267"/>
    <w:rsid w:val="00FA0135"/>
    <w:rsid w:val="00FA7EA4"/>
    <w:rsid w:val="00FA7F03"/>
    <w:rsid w:val="01090A5B"/>
    <w:rsid w:val="010C7561"/>
    <w:rsid w:val="014F5F30"/>
    <w:rsid w:val="01691AB2"/>
    <w:rsid w:val="018D4142"/>
    <w:rsid w:val="01D666B1"/>
    <w:rsid w:val="02527C5F"/>
    <w:rsid w:val="02652CCC"/>
    <w:rsid w:val="035D7AE8"/>
    <w:rsid w:val="04721AE2"/>
    <w:rsid w:val="05813845"/>
    <w:rsid w:val="059116C0"/>
    <w:rsid w:val="059E0E3C"/>
    <w:rsid w:val="05BB7581"/>
    <w:rsid w:val="062850F6"/>
    <w:rsid w:val="0657390A"/>
    <w:rsid w:val="069643F9"/>
    <w:rsid w:val="06BD574D"/>
    <w:rsid w:val="07651C52"/>
    <w:rsid w:val="07883D98"/>
    <w:rsid w:val="07FD63F7"/>
    <w:rsid w:val="083625EE"/>
    <w:rsid w:val="089368D6"/>
    <w:rsid w:val="08B272E6"/>
    <w:rsid w:val="08EB556F"/>
    <w:rsid w:val="090F6F1A"/>
    <w:rsid w:val="092A04F2"/>
    <w:rsid w:val="09565DDC"/>
    <w:rsid w:val="09B02DE9"/>
    <w:rsid w:val="0A213DCB"/>
    <w:rsid w:val="0A3403DC"/>
    <w:rsid w:val="0A343FCE"/>
    <w:rsid w:val="0A857ADB"/>
    <w:rsid w:val="0A8C7848"/>
    <w:rsid w:val="0ADC375F"/>
    <w:rsid w:val="0B7764A1"/>
    <w:rsid w:val="0B8A2C04"/>
    <w:rsid w:val="0BB548B4"/>
    <w:rsid w:val="0C1E72B6"/>
    <w:rsid w:val="0C996D0C"/>
    <w:rsid w:val="0CD4026F"/>
    <w:rsid w:val="0CF70EE5"/>
    <w:rsid w:val="0D264FA5"/>
    <w:rsid w:val="0E241F7E"/>
    <w:rsid w:val="0E561089"/>
    <w:rsid w:val="0E9D6176"/>
    <w:rsid w:val="0EBA39F5"/>
    <w:rsid w:val="0F07564D"/>
    <w:rsid w:val="0FA925C8"/>
    <w:rsid w:val="0FC3633E"/>
    <w:rsid w:val="0FCB2E2F"/>
    <w:rsid w:val="100102AA"/>
    <w:rsid w:val="10A52716"/>
    <w:rsid w:val="10B262BB"/>
    <w:rsid w:val="10C05AE7"/>
    <w:rsid w:val="111851F4"/>
    <w:rsid w:val="1147385B"/>
    <w:rsid w:val="116A2939"/>
    <w:rsid w:val="11B74166"/>
    <w:rsid w:val="11BD7D85"/>
    <w:rsid w:val="11C07725"/>
    <w:rsid w:val="11C34D6D"/>
    <w:rsid w:val="11EF749F"/>
    <w:rsid w:val="11FE8B64"/>
    <w:rsid w:val="12050688"/>
    <w:rsid w:val="12584CB5"/>
    <w:rsid w:val="12A860D6"/>
    <w:rsid w:val="12D02050"/>
    <w:rsid w:val="130F411E"/>
    <w:rsid w:val="13464DC9"/>
    <w:rsid w:val="1368753E"/>
    <w:rsid w:val="13B56186"/>
    <w:rsid w:val="140403CB"/>
    <w:rsid w:val="14070311"/>
    <w:rsid w:val="14690383"/>
    <w:rsid w:val="147701EE"/>
    <w:rsid w:val="150D70F8"/>
    <w:rsid w:val="15512138"/>
    <w:rsid w:val="155B2ADB"/>
    <w:rsid w:val="16490279"/>
    <w:rsid w:val="167A6A41"/>
    <w:rsid w:val="16FF04BC"/>
    <w:rsid w:val="17C549A5"/>
    <w:rsid w:val="17C71ECB"/>
    <w:rsid w:val="17E87A40"/>
    <w:rsid w:val="18281683"/>
    <w:rsid w:val="18EA4597"/>
    <w:rsid w:val="193E1F86"/>
    <w:rsid w:val="1948297F"/>
    <w:rsid w:val="197B3C9C"/>
    <w:rsid w:val="19B1507A"/>
    <w:rsid w:val="19CE3662"/>
    <w:rsid w:val="1A005B73"/>
    <w:rsid w:val="1A01376A"/>
    <w:rsid w:val="1A1D2106"/>
    <w:rsid w:val="1A9C20F5"/>
    <w:rsid w:val="1AA632F9"/>
    <w:rsid w:val="1AF51504"/>
    <w:rsid w:val="1B272B3A"/>
    <w:rsid w:val="1B7F44DA"/>
    <w:rsid w:val="1BFA9FFE"/>
    <w:rsid w:val="1C2F79F1"/>
    <w:rsid w:val="1D1478ED"/>
    <w:rsid w:val="1D2E5786"/>
    <w:rsid w:val="1D597BE9"/>
    <w:rsid w:val="1D720F71"/>
    <w:rsid w:val="1D7B3BF0"/>
    <w:rsid w:val="1DBB575A"/>
    <w:rsid w:val="1DFF7A6A"/>
    <w:rsid w:val="1E1F27A2"/>
    <w:rsid w:val="1EC701FF"/>
    <w:rsid w:val="1EDD16F4"/>
    <w:rsid w:val="1EED13D5"/>
    <w:rsid w:val="1F483704"/>
    <w:rsid w:val="1F936758"/>
    <w:rsid w:val="1FD26088"/>
    <w:rsid w:val="208167ED"/>
    <w:rsid w:val="20E40FE7"/>
    <w:rsid w:val="2184501D"/>
    <w:rsid w:val="21D706DF"/>
    <w:rsid w:val="21EC1F31"/>
    <w:rsid w:val="222F0E40"/>
    <w:rsid w:val="22AE395F"/>
    <w:rsid w:val="22B23EBD"/>
    <w:rsid w:val="234D64CC"/>
    <w:rsid w:val="23C3647F"/>
    <w:rsid w:val="24BB1BF9"/>
    <w:rsid w:val="24D130B9"/>
    <w:rsid w:val="24FF70E1"/>
    <w:rsid w:val="25BF3CAC"/>
    <w:rsid w:val="265A10F9"/>
    <w:rsid w:val="26B9545B"/>
    <w:rsid w:val="273A4053"/>
    <w:rsid w:val="274C3627"/>
    <w:rsid w:val="27D7141C"/>
    <w:rsid w:val="2858383D"/>
    <w:rsid w:val="28634F0A"/>
    <w:rsid w:val="28B80B08"/>
    <w:rsid w:val="28C97F79"/>
    <w:rsid w:val="291B057A"/>
    <w:rsid w:val="29277A28"/>
    <w:rsid w:val="2936605B"/>
    <w:rsid w:val="295548CC"/>
    <w:rsid w:val="295A16D0"/>
    <w:rsid w:val="29876F7C"/>
    <w:rsid w:val="29DCBB71"/>
    <w:rsid w:val="29E96FB1"/>
    <w:rsid w:val="2A1543B9"/>
    <w:rsid w:val="2A4A7EA2"/>
    <w:rsid w:val="2A61159B"/>
    <w:rsid w:val="2AB2630D"/>
    <w:rsid w:val="2AC738BD"/>
    <w:rsid w:val="2AF2468C"/>
    <w:rsid w:val="2B840BA2"/>
    <w:rsid w:val="2C1452C8"/>
    <w:rsid w:val="2C1A4A07"/>
    <w:rsid w:val="2C8F61C0"/>
    <w:rsid w:val="2D3411AD"/>
    <w:rsid w:val="2D4DC170"/>
    <w:rsid w:val="2D696C18"/>
    <w:rsid w:val="2D7A2F9C"/>
    <w:rsid w:val="2E1D0BF2"/>
    <w:rsid w:val="2EDB0E1A"/>
    <w:rsid w:val="2F264651"/>
    <w:rsid w:val="2F525AF3"/>
    <w:rsid w:val="30E228E2"/>
    <w:rsid w:val="30F23991"/>
    <w:rsid w:val="31847FCD"/>
    <w:rsid w:val="31AC4EAA"/>
    <w:rsid w:val="32652669"/>
    <w:rsid w:val="32D25B84"/>
    <w:rsid w:val="32EA55CC"/>
    <w:rsid w:val="32F577E5"/>
    <w:rsid w:val="33922BE3"/>
    <w:rsid w:val="34DD706F"/>
    <w:rsid w:val="34EF0DC2"/>
    <w:rsid w:val="352A01CB"/>
    <w:rsid w:val="3550796B"/>
    <w:rsid w:val="35D87822"/>
    <w:rsid w:val="35FEA202"/>
    <w:rsid w:val="36236B15"/>
    <w:rsid w:val="367B58D1"/>
    <w:rsid w:val="367F70A8"/>
    <w:rsid w:val="375065AB"/>
    <w:rsid w:val="37B03461"/>
    <w:rsid w:val="37DB309B"/>
    <w:rsid w:val="37F5D00C"/>
    <w:rsid w:val="380E59E1"/>
    <w:rsid w:val="384C5733"/>
    <w:rsid w:val="38D76274"/>
    <w:rsid w:val="392124B7"/>
    <w:rsid w:val="39565313"/>
    <w:rsid w:val="399F2273"/>
    <w:rsid w:val="39CE1DE5"/>
    <w:rsid w:val="3A2D6FAF"/>
    <w:rsid w:val="3A3529FB"/>
    <w:rsid w:val="3A8C3B2E"/>
    <w:rsid w:val="3A9E0314"/>
    <w:rsid w:val="3AA9EAD7"/>
    <w:rsid w:val="3B173114"/>
    <w:rsid w:val="3B416401"/>
    <w:rsid w:val="3B9A6B91"/>
    <w:rsid w:val="3B9F712F"/>
    <w:rsid w:val="3BAD3868"/>
    <w:rsid w:val="3BD2255D"/>
    <w:rsid w:val="3BDD967F"/>
    <w:rsid w:val="3BEEC538"/>
    <w:rsid w:val="3C5F302C"/>
    <w:rsid w:val="3CBB31D4"/>
    <w:rsid w:val="3CCC4D6B"/>
    <w:rsid w:val="3D307AFD"/>
    <w:rsid w:val="3D3302A8"/>
    <w:rsid w:val="3DAA67A4"/>
    <w:rsid w:val="3DFB495C"/>
    <w:rsid w:val="3E863585"/>
    <w:rsid w:val="3EA449A1"/>
    <w:rsid w:val="3F2C4905"/>
    <w:rsid w:val="3F77FAFF"/>
    <w:rsid w:val="3FCFB3A1"/>
    <w:rsid w:val="3FE5A0E5"/>
    <w:rsid w:val="3FF09F6E"/>
    <w:rsid w:val="3FF73EFE"/>
    <w:rsid w:val="40304C99"/>
    <w:rsid w:val="41042FB7"/>
    <w:rsid w:val="411E3060"/>
    <w:rsid w:val="413137BF"/>
    <w:rsid w:val="41BC754B"/>
    <w:rsid w:val="4225267E"/>
    <w:rsid w:val="429D09A1"/>
    <w:rsid w:val="42E64180"/>
    <w:rsid w:val="42E650D4"/>
    <w:rsid w:val="430C1395"/>
    <w:rsid w:val="4321102C"/>
    <w:rsid w:val="433B2850"/>
    <w:rsid w:val="434E1147"/>
    <w:rsid w:val="44070366"/>
    <w:rsid w:val="44151D8D"/>
    <w:rsid w:val="44660A86"/>
    <w:rsid w:val="44A3329B"/>
    <w:rsid w:val="44D6427A"/>
    <w:rsid w:val="44DB3E55"/>
    <w:rsid w:val="454544C0"/>
    <w:rsid w:val="45707CD0"/>
    <w:rsid w:val="45CE1D62"/>
    <w:rsid w:val="45ED16FE"/>
    <w:rsid w:val="46265A96"/>
    <w:rsid w:val="46F9216C"/>
    <w:rsid w:val="477B597F"/>
    <w:rsid w:val="47AD078E"/>
    <w:rsid w:val="47B077CF"/>
    <w:rsid w:val="486F5C8A"/>
    <w:rsid w:val="48931196"/>
    <w:rsid w:val="48AF141A"/>
    <w:rsid w:val="49710BE8"/>
    <w:rsid w:val="49B868FE"/>
    <w:rsid w:val="4A0F055C"/>
    <w:rsid w:val="4A4620F7"/>
    <w:rsid w:val="4B2A2A43"/>
    <w:rsid w:val="4BC47489"/>
    <w:rsid w:val="4BD56DE3"/>
    <w:rsid w:val="4BDEEB91"/>
    <w:rsid w:val="4BF7D286"/>
    <w:rsid w:val="4BFFE509"/>
    <w:rsid w:val="4C1856A2"/>
    <w:rsid w:val="4C4D2C5F"/>
    <w:rsid w:val="4C641042"/>
    <w:rsid w:val="4CD5017F"/>
    <w:rsid w:val="4D6A61A2"/>
    <w:rsid w:val="4D8106BF"/>
    <w:rsid w:val="4DF8281D"/>
    <w:rsid w:val="4E1308A2"/>
    <w:rsid w:val="4E2036B1"/>
    <w:rsid w:val="4F6E1A7A"/>
    <w:rsid w:val="4F7663C9"/>
    <w:rsid w:val="4F897893"/>
    <w:rsid w:val="4FC81C27"/>
    <w:rsid w:val="4FE71D16"/>
    <w:rsid w:val="4FEFC991"/>
    <w:rsid w:val="4FFD8033"/>
    <w:rsid w:val="50272EE5"/>
    <w:rsid w:val="50284E72"/>
    <w:rsid w:val="50375097"/>
    <w:rsid w:val="50D55BE3"/>
    <w:rsid w:val="50D7729B"/>
    <w:rsid w:val="50E02A48"/>
    <w:rsid w:val="51005509"/>
    <w:rsid w:val="51077E36"/>
    <w:rsid w:val="513966D3"/>
    <w:rsid w:val="51A74500"/>
    <w:rsid w:val="525B5BEA"/>
    <w:rsid w:val="532C56D9"/>
    <w:rsid w:val="53FFAA0E"/>
    <w:rsid w:val="54831804"/>
    <w:rsid w:val="54D21952"/>
    <w:rsid w:val="54E976DF"/>
    <w:rsid w:val="55332BBC"/>
    <w:rsid w:val="55CF153A"/>
    <w:rsid w:val="565359DB"/>
    <w:rsid w:val="56791B35"/>
    <w:rsid w:val="568D70F3"/>
    <w:rsid w:val="569A28BE"/>
    <w:rsid w:val="56C21330"/>
    <w:rsid w:val="56D221F6"/>
    <w:rsid w:val="57221C86"/>
    <w:rsid w:val="581029D4"/>
    <w:rsid w:val="58397D15"/>
    <w:rsid w:val="59442799"/>
    <w:rsid w:val="59A360F7"/>
    <w:rsid w:val="59D348F8"/>
    <w:rsid w:val="59FA6672"/>
    <w:rsid w:val="5A766AF1"/>
    <w:rsid w:val="5AC32E0D"/>
    <w:rsid w:val="5B122447"/>
    <w:rsid w:val="5B4C236C"/>
    <w:rsid w:val="5B5E113B"/>
    <w:rsid w:val="5B7BA59F"/>
    <w:rsid w:val="5B8752CB"/>
    <w:rsid w:val="5B904283"/>
    <w:rsid w:val="5C2832B1"/>
    <w:rsid w:val="5C427C56"/>
    <w:rsid w:val="5C89689A"/>
    <w:rsid w:val="5CA746B6"/>
    <w:rsid w:val="5CD80446"/>
    <w:rsid w:val="5D094EDD"/>
    <w:rsid w:val="5D230254"/>
    <w:rsid w:val="5D300F93"/>
    <w:rsid w:val="5D4E395D"/>
    <w:rsid w:val="5D5E1103"/>
    <w:rsid w:val="5DA66B06"/>
    <w:rsid w:val="5DB4130C"/>
    <w:rsid w:val="5E313FD4"/>
    <w:rsid w:val="5E4C7CA5"/>
    <w:rsid w:val="5EE31D9B"/>
    <w:rsid w:val="5EEEDD64"/>
    <w:rsid w:val="5F363255"/>
    <w:rsid w:val="5F9909CF"/>
    <w:rsid w:val="5FB3D2F1"/>
    <w:rsid w:val="5FCA5CD0"/>
    <w:rsid w:val="5FCF64C6"/>
    <w:rsid w:val="5FFBB7D8"/>
    <w:rsid w:val="5FFEF613"/>
    <w:rsid w:val="5FFF474C"/>
    <w:rsid w:val="5FFF8795"/>
    <w:rsid w:val="6014464D"/>
    <w:rsid w:val="60505472"/>
    <w:rsid w:val="60641678"/>
    <w:rsid w:val="60702524"/>
    <w:rsid w:val="60AA5E93"/>
    <w:rsid w:val="60F32FF8"/>
    <w:rsid w:val="61B66B52"/>
    <w:rsid w:val="61EB1148"/>
    <w:rsid w:val="61FE3E44"/>
    <w:rsid w:val="626E21D3"/>
    <w:rsid w:val="629E2448"/>
    <w:rsid w:val="62A27991"/>
    <w:rsid w:val="62F245B3"/>
    <w:rsid w:val="63257C53"/>
    <w:rsid w:val="63D14CE6"/>
    <w:rsid w:val="63D58168"/>
    <w:rsid w:val="640D3DD7"/>
    <w:rsid w:val="640D4C29"/>
    <w:rsid w:val="65342BDD"/>
    <w:rsid w:val="653E3EE3"/>
    <w:rsid w:val="65773C76"/>
    <w:rsid w:val="65D81DF5"/>
    <w:rsid w:val="662308A5"/>
    <w:rsid w:val="66BEE809"/>
    <w:rsid w:val="678C4DC2"/>
    <w:rsid w:val="67C3431B"/>
    <w:rsid w:val="67EC4718"/>
    <w:rsid w:val="68647674"/>
    <w:rsid w:val="68685163"/>
    <w:rsid w:val="68AF466C"/>
    <w:rsid w:val="69E213AD"/>
    <w:rsid w:val="6A2E38BC"/>
    <w:rsid w:val="6A710001"/>
    <w:rsid w:val="6A785F16"/>
    <w:rsid w:val="6A7C6C4B"/>
    <w:rsid w:val="6AA55FBE"/>
    <w:rsid w:val="6AB523DD"/>
    <w:rsid w:val="6AF65246"/>
    <w:rsid w:val="6BCC9396"/>
    <w:rsid w:val="6CB66FA7"/>
    <w:rsid w:val="6D5F02D4"/>
    <w:rsid w:val="6D911ED2"/>
    <w:rsid w:val="6D9A3CB8"/>
    <w:rsid w:val="6DE87CC9"/>
    <w:rsid w:val="6DF5548B"/>
    <w:rsid w:val="6E247424"/>
    <w:rsid w:val="6E5F1AFD"/>
    <w:rsid w:val="6E787831"/>
    <w:rsid w:val="6E9F5C22"/>
    <w:rsid w:val="6EFD60B5"/>
    <w:rsid w:val="6F032B17"/>
    <w:rsid w:val="6F244E05"/>
    <w:rsid w:val="6FA32056"/>
    <w:rsid w:val="6FB5F5A3"/>
    <w:rsid w:val="6FFD3CAE"/>
    <w:rsid w:val="6FFF00A6"/>
    <w:rsid w:val="6FFF12EC"/>
    <w:rsid w:val="70834546"/>
    <w:rsid w:val="7096724A"/>
    <w:rsid w:val="70B40AFF"/>
    <w:rsid w:val="714434D7"/>
    <w:rsid w:val="71835B33"/>
    <w:rsid w:val="723C1877"/>
    <w:rsid w:val="72D44406"/>
    <w:rsid w:val="735E50D4"/>
    <w:rsid w:val="736B37C2"/>
    <w:rsid w:val="73FE72FA"/>
    <w:rsid w:val="746A4E65"/>
    <w:rsid w:val="74F86A9F"/>
    <w:rsid w:val="75B763AC"/>
    <w:rsid w:val="75BF9CAF"/>
    <w:rsid w:val="76336B45"/>
    <w:rsid w:val="7645D455"/>
    <w:rsid w:val="7696644F"/>
    <w:rsid w:val="76C11FD8"/>
    <w:rsid w:val="771D2E63"/>
    <w:rsid w:val="772951FF"/>
    <w:rsid w:val="77482004"/>
    <w:rsid w:val="77666B00"/>
    <w:rsid w:val="777B24B2"/>
    <w:rsid w:val="77A0660F"/>
    <w:rsid w:val="77EB3260"/>
    <w:rsid w:val="78EE2FA6"/>
    <w:rsid w:val="78F6E422"/>
    <w:rsid w:val="795A00CD"/>
    <w:rsid w:val="799140CA"/>
    <w:rsid w:val="7A1808AA"/>
    <w:rsid w:val="7A385597"/>
    <w:rsid w:val="7A6223FE"/>
    <w:rsid w:val="7A6402FA"/>
    <w:rsid w:val="7A7FB7FF"/>
    <w:rsid w:val="7AF75A39"/>
    <w:rsid w:val="7B5D02ED"/>
    <w:rsid w:val="7B65A46C"/>
    <w:rsid w:val="7B9B32BC"/>
    <w:rsid w:val="7B9B406E"/>
    <w:rsid w:val="7BEAA484"/>
    <w:rsid w:val="7BFF5A14"/>
    <w:rsid w:val="7C5B6209"/>
    <w:rsid w:val="7C616FAA"/>
    <w:rsid w:val="7C720D3F"/>
    <w:rsid w:val="7D47491A"/>
    <w:rsid w:val="7D5FAA0A"/>
    <w:rsid w:val="7D9D389A"/>
    <w:rsid w:val="7DB6EE38"/>
    <w:rsid w:val="7DBADB3A"/>
    <w:rsid w:val="7DCF46BA"/>
    <w:rsid w:val="7DFE9ACB"/>
    <w:rsid w:val="7E52C60C"/>
    <w:rsid w:val="7E6F79ED"/>
    <w:rsid w:val="7EC01AB5"/>
    <w:rsid w:val="7EC37B5F"/>
    <w:rsid w:val="7EEA69B4"/>
    <w:rsid w:val="7EFE4CE0"/>
    <w:rsid w:val="7F457A30"/>
    <w:rsid w:val="7F4ECC54"/>
    <w:rsid w:val="7F70DAE8"/>
    <w:rsid w:val="7F7C0E38"/>
    <w:rsid w:val="7F7FD277"/>
    <w:rsid w:val="7FA259D0"/>
    <w:rsid w:val="7FAE1B3C"/>
    <w:rsid w:val="7FB7981A"/>
    <w:rsid w:val="7FCBF429"/>
    <w:rsid w:val="7FDF67E3"/>
    <w:rsid w:val="7FE557C3"/>
    <w:rsid w:val="7FE90BE7"/>
    <w:rsid w:val="7FEF51F9"/>
    <w:rsid w:val="7FF87BE7"/>
    <w:rsid w:val="8E6F072E"/>
    <w:rsid w:val="8EF0972C"/>
    <w:rsid w:val="8F7B30BF"/>
    <w:rsid w:val="95AF5799"/>
    <w:rsid w:val="95FFCEDC"/>
    <w:rsid w:val="971F972F"/>
    <w:rsid w:val="9FFF0DCC"/>
    <w:rsid w:val="ABFE2691"/>
    <w:rsid w:val="AFB769B4"/>
    <w:rsid w:val="AFEFCBC7"/>
    <w:rsid w:val="B3EE9136"/>
    <w:rsid w:val="B75656CB"/>
    <w:rsid w:val="B937F0B9"/>
    <w:rsid w:val="BA27F194"/>
    <w:rsid w:val="BAFB3366"/>
    <w:rsid w:val="BBFDA53E"/>
    <w:rsid w:val="BCEE6715"/>
    <w:rsid w:val="BDF4D554"/>
    <w:rsid w:val="BE7DEF3F"/>
    <w:rsid w:val="BEA9EC4E"/>
    <w:rsid w:val="BF752958"/>
    <w:rsid w:val="BF7F4634"/>
    <w:rsid w:val="BFB68D5B"/>
    <w:rsid w:val="C79BEAB2"/>
    <w:rsid w:val="C7FF8620"/>
    <w:rsid w:val="CBF29C30"/>
    <w:rsid w:val="CFE7C8A1"/>
    <w:rsid w:val="CFEB4CD3"/>
    <w:rsid w:val="D1DEA53E"/>
    <w:rsid w:val="D7E74ABB"/>
    <w:rsid w:val="D7FFD417"/>
    <w:rsid w:val="DABFE7C2"/>
    <w:rsid w:val="DAFD189B"/>
    <w:rsid w:val="DBBF0400"/>
    <w:rsid w:val="DC3C44E7"/>
    <w:rsid w:val="DDA7EEF2"/>
    <w:rsid w:val="DDFF4489"/>
    <w:rsid w:val="DF7FEB46"/>
    <w:rsid w:val="DFBBF454"/>
    <w:rsid w:val="DFF6F981"/>
    <w:rsid w:val="DFF93ACA"/>
    <w:rsid w:val="DFFEB498"/>
    <w:rsid w:val="E47FDA5F"/>
    <w:rsid w:val="E5FFB7D0"/>
    <w:rsid w:val="E6F7F64B"/>
    <w:rsid w:val="E7A87260"/>
    <w:rsid w:val="EB777C01"/>
    <w:rsid w:val="EEA9CD73"/>
    <w:rsid w:val="EEAF2E81"/>
    <w:rsid w:val="EFBEBE26"/>
    <w:rsid w:val="EFBF0284"/>
    <w:rsid w:val="EFFEE0EC"/>
    <w:rsid w:val="EFFF2774"/>
    <w:rsid w:val="EFFF5BAE"/>
    <w:rsid w:val="F0B8832C"/>
    <w:rsid w:val="F3E3A5D3"/>
    <w:rsid w:val="F5FE3E7D"/>
    <w:rsid w:val="F65E1116"/>
    <w:rsid w:val="F75D50E2"/>
    <w:rsid w:val="F7AFFBE2"/>
    <w:rsid w:val="F7C7EF86"/>
    <w:rsid w:val="F8BAC911"/>
    <w:rsid w:val="F9793AFD"/>
    <w:rsid w:val="F9F3F517"/>
    <w:rsid w:val="FADB160D"/>
    <w:rsid w:val="FB5E263D"/>
    <w:rsid w:val="FB796D52"/>
    <w:rsid w:val="FB7F355C"/>
    <w:rsid w:val="FBE78A6C"/>
    <w:rsid w:val="FBEF2986"/>
    <w:rsid w:val="FBF90A8C"/>
    <w:rsid w:val="FBFEB017"/>
    <w:rsid w:val="FCBF495F"/>
    <w:rsid w:val="FCFDF751"/>
    <w:rsid w:val="FDF25F6E"/>
    <w:rsid w:val="FDF7789F"/>
    <w:rsid w:val="FDFC81E2"/>
    <w:rsid w:val="FEBFC9B4"/>
    <w:rsid w:val="FF265E43"/>
    <w:rsid w:val="FF3ADC55"/>
    <w:rsid w:val="FF746769"/>
    <w:rsid w:val="FF750C30"/>
    <w:rsid w:val="FF7ED59F"/>
    <w:rsid w:val="FF961D75"/>
    <w:rsid w:val="FF99F0AE"/>
    <w:rsid w:val="FFB4F798"/>
    <w:rsid w:val="FFCF66DF"/>
    <w:rsid w:val="FFED16E1"/>
    <w:rsid w:val="FFF78A61"/>
    <w:rsid w:val="FFFC9C2F"/>
    <w:rsid w:val="FFFD8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3DD316C7-81F7-A944-96F7-F59AEF7E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footnote text" w:semiHidden="1"/>
    <w:lsdException w:name="annotation text" w:semiHidden="1"/>
    <w:lsdException w:name="caption" w:qFormat="1"/>
    <w:lsdException w:name="footnote reference" w:semiHidden="1"/>
    <w:lsdException w:name="Title" w:qFormat="1"/>
    <w:lsdException w:name="Default Paragraph Font" w:semiHidden="1"/>
    <w:lsdException w:name="Body Text" w:semiHidden="1"/>
    <w:lsdException w:name="Subtitle" w:qFormat="1"/>
    <w:lsdException w:name="Hyperlink" w:semiHidden="1"/>
    <w:lsdException w:name="Strong" w:qFormat="1"/>
    <w:lsdException w:name="Emphasis" w:qFormat="1"/>
    <w:lsdException w:name="Document Map" w:semiHidden="1"/>
    <w:lsdException w:name="Plain Text" w:semiHidden="1"/>
    <w:lsdException w:name="HTML Top of Form" w:semiHidden="1" w:uiPriority="99" w:unhideWhenUsed="1"/>
    <w:lsdException w:name="HTML Bottom of Form" w:semiHidden="1" w:uiPriority="99" w:unhideWhenUsed="1"/>
    <w:lsdException w:name="Normal (Web)" w:qFormat="1"/>
    <w:lsdException w:name="HTML Address" w:semiHidden="1"/>
    <w:lsdException w:name="HTML Preformatted" w:semiHidden="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28"/>
      <w:szCs w:val="28"/>
    </w:rPr>
  </w:style>
  <w:style w:type="paragraph" w:styleId="1">
    <w:name w:val="heading 1"/>
    <w:basedOn w:val="a"/>
    <w:next w:val="a"/>
    <w:link w:val="10"/>
    <w:qFormat/>
    <w:pPr>
      <w:keepNext/>
      <w:keepLines/>
      <w:numPr>
        <w:numId w:val="1"/>
      </w:numPr>
      <w:spacing w:before="340" w:after="330" w:line="578" w:lineRule="auto"/>
      <w:outlineLvl w:val="0"/>
    </w:pPr>
    <w:rPr>
      <w:rFonts w:eastAsia="宋体"/>
      <w:b/>
      <w:bCs/>
      <w:kern w:val="44"/>
      <w:sz w:val="44"/>
      <w:szCs w:val="44"/>
    </w:rPr>
  </w:style>
  <w:style w:type="paragraph" w:styleId="2">
    <w:name w:val="heading 2"/>
    <w:basedOn w:val="a"/>
    <w:next w:val="a"/>
    <w:link w:val="20"/>
    <w:qFormat/>
    <w:pPr>
      <w:keepNext/>
      <w:keepLines/>
      <w:numPr>
        <w:ilvl w:val="1"/>
        <w:numId w:val="1"/>
      </w:numPr>
      <w:spacing w:before="260" w:after="260" w:line="416" w:lineRule="auto"/>
      <w:outlineLvl w:val="1"/>
    </w:pPr>
    <w:rPr>
      <w:rFonts w:ascii="Cambria" w:eastAsia="宋体" w:hAnsi="Cambria"/>
      <w:b/>
      <w:bCs/>
      <w:sz w:val="32"/>
      <w:szCs w:val="32"/>
    </w:rPr>
  </w:style>
  <w:style w:type="paragraph" w:styleId="3">
    <w:name w:val="heading 3"/>
    <w:basedOn w:val="a"/>
    <w:next w:val="a"/>
    <w:link w:val="30"/>
    <w:qFormat/>
    <w:pPr>
      <w:keepNext/>
      <w:keepLines/>
      <w:numPr>
        <w:ilvl w:val="2"/>
        <w:numId w:val="1"/>
      </w:numPr>
      <w:spacing w:before="260" w:after="260" w:line="416" w:lineRule="auto"/>
      <w:outlineLvl w:val="2"/>
    </w:pPr>
    <w:rPr>
      <w:rFonts w:eastAsia="宋体"/>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rPr>
  </w:style>
  <w:style w:type="paragraph" w:styleId="5">
    <w:name w:val="heading 5"/>
    <w:basedOn w:val="a"/>
    <w:next w:val="a"/>
    <w:link w:val="50"/>
    <w:qFormat/>
    <w:pPr>
      <w:keepNext/>
      <w:keepLines/>
      <w:spacing w:before="280" w:after="290" w:line="376" w:lineRule="auto"/>
      <w:outlineLvl w:val="4"/>
    </w:pPr>
    <w:rPr>
      <w:rFonts w:eastAsia="宋体"/>
      <w:b/>
      <w:bCs/>
    </w:rPr>
  </w:style>
  <w:style w:type="paragraph" w:styleId="6">
    <w:name w:val="heading 6"/>
    <w:basedOn w:val="a"/>
    <w:next w:val="a"/>
    <w:link w:val="60"/>
    <w:qFormat/>
    <w:pPr>
      <w:keepNext/>
      <w:keepLines/>
      <w:spacing w:before="240" w:after="64" w:line="320" w:lineRule="auto"/>
      <w:outlineLvl w:val="5"/>
    </w:pPr>
    <w:rPr>
      <w:rFonts w:ascii="Arial" w:eastAsia="黑体" w:hAnsi="Arial"/>
      <w:b/>
      <w:bCs/>
      <w:sz w:val="24"/>
      <w:szCs w:val="24"/>
    </w:rPr>
  </w:style>
  <w:style w:type="paragraph" w:styleId="7">
    <w:name w:val="heading 7"/>
    <w:basedOn w:val="a"/>
    <w:next w:val="a"/>
    <w:link w:val="70"/>
    <w:qFormat/>
    <w:pPr>
      <w:keepNext/>
      <w:keepLines/>
      <w:spacing w:before="240" w:after="64" w:line="320" w:lineRule="auto"/>
      <w:outlineLvl w:val="6"/>
    </w:pPr>
    <w:rPr>
      <w:rFonts w:eastAsia="宋体"/>
      <w:b/>
      <w:bCs/>
      <w:sz w:val="24"/>
      <w:szCs w:val="24"/>
    </w:rPr>
  </w:style>
  <w:style w:type="paragraph" w:styleId="8">
    <w:name w:val="heading 8"/>
    <w:basedOn w:val="a"/>
    <w:next w:val="a"/>
    <w:link w:val="80"/>
    <w:qFormat/>
    <w:pPr>
      <w:keepNext/>
      <w:keepLines/>
      <w:spacing w:before="240" w:after="64" w:line="320" w:lineRule="auto"/>
      <w:outlineLvl w:val="7"/>
    </w:pPr>
    <w:rPr>
      <w:rFonts w:ascii="Arial" w:eastAsia="黑体" w:hAnsi="Arial"/>
      <w:sz w:val="24"/>
      <w:szCs w:val="24"/>
    </w:rPr>
  </w:style>
  <w:style w:type="paragraph" w:styleId="9">
    <w:name w:val="heading 9"/>
    <w:basedOn w:val="a"/>
    <w:next w:val="a"/>
    <w:link w:val="90"/>
    <w:qFormat/>
    <w:pPr>
      <w:keepNext/>
      <w:keepLines/>
      <w:spacing w:before="240" w:after="64" w:line="320" w:lineRule="auto"/>
      <w:outlineLvl w:val="8"/>
    </w:pPr>
    <w:rPr>
      <w:rFonts w:ascii="Arial" w:eastAsia="黑体" w:hAnsi="Arial"/>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44"/>
      <w:szCs w:val="44"/>
      <w:lang w:bidi="ar-SA"/>
    </w:rPr>
  </w:style>
  <w:style w:type="character" w:customStyle="1" w:styleId="20">
    <w:name w:val="标题 2 字符"/>
    <w:link w:val="2"/>
    <w:rPr>
      <w:rFonts w:ascii="Cambria" w:eastAsia="宋体" w:hAnsi="Cambria"/>
      <w:b/>
      <w:bCs/>
      <w:kern w:val="2"/>
      <w:sz w:val="32"/>
      <w:szCs w:val="32"/>
      <w:lang w:bidi="ar-SA"/>
    </w:rPr>
  </w:style>
  <w:style w:type="character" w:customStyle="1" w:styleId="30">
    <w:name w:val="标题 3 字符"/>
    <w:link w:val="3"/>
    <w:rPr>
      <w:rFonts w:eastAsia="宋体"/>
      <w:b/>
      <w:bCs/>
      <w:kern w:val="2"/>
      <w:sz w:val="32"/>
      <w:szCs w:val="32"/>
      <w:lang w:bidi="ar-SA"/>
    </w:rPr>
  </w:style>
  <w:style w:type="character" w:customStyle="1" w:styleId="40">
    <w:name w:val="标题 4 字符"/>
    <w:link w:val="4"/>
    <w:rPr>
      <w:rFonts w:ascii="Arial" w:eastAsia="黑体" w:hAnsi="Arial"/>
      <w:b/>
      <w:bCs/>
      <w:kern w:val="2"/>
      <w:sz w:val="28"/>
      <w:szCs w:val="28"/>
      <w:lang w:bidi="ar-SA"/>
    </w:rPr>
  </w:style>
  <w:style w:type="character" w:customStyle="1" w:styleId="50">
    <w:name w:val="标题 5 字符"/>
    <w:link w:val="5"/>
    <w:rPr>
      <w:rFonts w:eastAsia="宋体"/>
      <w:b/>
      <w:bCs/>
      <w:kern w:val="2"/>
      <w:sz w:val="28"/>
      <w:szCs w:val="28"/>
      <w:lang w:bidi="ar-SA"/>
    </w:rPr>
  </w:style>
  <w:style w:type="character" w:customStyle="1" w:styleId="60">
    <w:name w:val="标题 6 字符"/>
    <w:link w:val="6"/>
    <w:rPr>
      <w:rFonts w:ascii="Arial" w:eastAsia="黑体" w:hAnsi="Arial"/>
      <w:b/>
      <w:bCs/>
      <w:kern w:val="2"/>
      <w:sz w:val="24"/>
      <w:szCs w:val="24"/>
      <w:lang w:bidi="ar-SA"/>
    </w:rPr>
  </w:style>
  <w:style w:type="character" w:customStyle="1" w:styleId="70">
    <w:name w:val="标题 7 字符"/>
    <w:link w:val="7"/>
    <w:rPr>
      <w:rFonts w:eastAsia="宋体"/>
      <w:b/>
      <w:bCs/>
      <w:kern w:val="2"/>
      <w:sz w:val="24"/>
      <w:szCs w:val="24"/>
      <w:lang w:bidi="ar-SA"/>
    </w:rPr>
  </w:style>
  <w:style w:type="character" w:customStyle="1" w:styleId="80">
    <w:name w:val="标题 8 字符"/>
    <w:link w:val="8"/>
    <w:rPr>
      <w:rFonts w:ascii="Arial" w:eastAsia="黑体" w:hAnsi="Arial"/>
      <w:kern w:val="2"/>
      <w:sz w:val="24"/>
      <w:szCs w:val="24"/>
      <w:lang w:bidi="ar-SA"/>
    </w:rPr>
  </w:style>
  <w:style w:type="character" w:customStyle="1" w:styleId="90">
    <w:name w:val="标题 9 字符"/>
    <w:link w:val="9"/>
    <w:rPr>
      <w:rFonts w:ascii="Arial" w:eastAsia="黑体" w:hAnsi="Arial"/>
      <w:kern w:val="2"/>
      <w:sz w:val="21"/>
      <w:szCs w:val="21"/>
      <w:lang w:bidi="ar-SA"/>
    </w:rPr>
  </w:style>
  <w:style w:type="paragraph" w:styleId="a3">
    <w:name w:val="caption"/>
    <w:basedOn w:val="a"/>
    <w:next w:val="a"/>
    <w:qFormat/>
    <w:rPr>
      <w:rFonts w:ascii="宋体" w:hAnsi="Arial" w:cs="Arial"/>
    </w:rPr>
  </w:style>
  <w:style w:type="paragraph" w:styleId="a4">
    <w:name w:val="Document Map"/>
    <w:basedOn w:val="a"/>
    <w:link w:val="a5"/>
    <w:semiHidden/>
    <w:rPr>
      <w:rFonts w:ascii="宋体" w:eastAsia="宋体"/>
      <w:sz w:val="18"/>
      <w:szCs w:val="18"/>
    </w:rPr>
  </w:style>
  <w:style w:type="character" w:customStyle="1" w:styleId="a5">
    <w:name w:val="文档结构图 字符"/>
    <w:link w:val="a4"/>
    <w:rPr>
      <w:rFonts w:ascii="宋体" w:eastAsia="宋体"/>
      <w:kern w:val="2"/>
      <w:sz w:val="18"/>
      <w:szCs w:val="18"/>
      <w:lang w:bidi="ar-SA"/>
    </w:rPr>
  </w:style>
  <w:style w:type="paragraph" w:styleId="a6">
    <w:name w:val="annotation text"/>
    <w:basedOn w:val="a"/>
    <w:link w:val="a7"/>
    <w:semiHidden/>
    <w:pPr>
      <w:jc w:val="left"/>
    </w:pPr>
    <w:rPr>
      <w:rFonts w:eastAsia="宋体"/>
      <w:sz w:val="21"/>
      <w:szCs w:val="20"/>
    </w:rPr>
  </w:style>
  <w:style w:type="character" w:customStyle="1" w:styleId="a7">
    <w:name w:val="批注文字 字符"/>
    <w:link w:val="a6"/>
    <w:rPr>
      <w:rFonts w:eastAsia="宋体"/>
      <w:kern w:val="2"/>
      <w:sz w:val="21"/>
      <w:lang w:bidi="ar-SA"/>
    </w:rPr>
  </w:style>
  <w:style w:type="paragraph" w:styleId="a8">
    <w:name w:val="Body Text"/>
    <w:basedOn w:val="a"/>
    <w:link w:val="a9"/>
    <w:semiHidden/>
    <w:pPr>
      <w:spacing w:after="120"/>
    </w:pPr>
    <w:rPr>
      <w:rFonts w:eastAsia="宋体"/>
      <w:sz w:val="21"/>
      <w:szCs w:val="20"/>
    </w:rPr>
  </w:style>
  <w:style w:type="character" w:customStyle="1" w:styleId="a9">
    <w:name w:val="正文文本 字符"/>
    <w:link w:val="a8"/>
    <w:rPr>
      <w:rFonts w:eastAsia="宋体"/>
      <w:kern w:val="2"/>
      <w:sz w:val="21"/>
      <w:lang w:bidi="ar-SA"/>
    </w:rPr>
  </w:style>
  <w:style w:type="paragraph" w:styleId="HTML">
    <w:name w:val="HTML Address"/>
    <w:basedOn w:val="a"/>
    <w:link w:val="HTML0"/>
    <w:semiHidden/>
    <w:rPr>
      <w:rFonts w:eastAsia="宋体"/>
      <w:i/>
      <w:iCs/>
      <w:sz w:val="21"/>
      <w:szCs w:val="24"/>
    </w:rPr>
  </w:style>
  <w:style w:type="character" w:customStyle="1" w:styleId="HTML0">
    <w:name w:val="HTML 地址 字符"/>
    <w:link w:val="HTML"/>
    <w:rPr>
      <w:rFonts w:eastAsia="宋体"/>
      <w:i/>
      <w:iCs/>
      <w:kern w:val="2"/>
      <w:sz w:val="21"/>
      <w:szCs w:val="24"/>
      <w:lang w:bidi="ar-SA"/>
    </w:rPr>
  </w:style>
  <w:style w:type="paragraph" w:styleId="aa">
    <w:name w:val="Plain Text"/>
    <w:basedOn w:val="a"/>
    <w:link w:val="ab"/>
    <w:semiHidden/>
    <w:rPr>
      <w:rFonts w:ascii="宋体" w:eastAsia="宋体" w:hAnsi="Courier New"/>
      <w:sz w:val="21"/>
      <w:szCs w:val="21"/>
    </w:rPr>
  </w:style>
  <w:style w:type="character" w:customStyle="1" w:styleId="ab">
    <w:name w:val="纯文本 字符"/>
    <w:link w:val="aa"/>
    <w:rPr>
      <w:rFonts w:ascii="宋体" w:eastAsia="宋体" w:hAnsi="Courier New"/>
      <w:kern w:val="2"/>
      <w:sz w:val="21"/>
      <w:szCs w:val="21"/>
      <w:lang w:bidi="ar-SA"/>
    </w:rPr>
  </w:style>
  <w:style w:type="paragraph" w:styleId="ac">
    <w:name w:val="footer"/>
    <w:basedOn w:val="a"/>
    <w:link w:val="ad"/>
    <w:pPr>
      <w:tabs>
        <w:tab w:val="center" w:pos="4153"/>
        <w:tab w:val="right" w:pos="8306"/>
      </w:tabs>
      <w:snapToGrid w:val="0"/>
      <w:jc w:val="left"/>
    </w:pPr>
    <w:rPr>
      <w:sz w:val="18"/>
      <w:szCs w:val="18"/>
    </w:rPr>
  </w:style>
  <w:style w:type="character" w:customStyle="1" w:styleId="ad">
    <w:name w:val="页脚 字符"/>
    <w:link w:val="ac"/>
    <w:rPr>
      <w:rFonts w:eastAsia="仿宋_GB2312"/>
      <w:kern w:val="2"/>
      <w:sz w:val="18"/>
      <w:szCs w:val="18"/>
      <w:lang w:val="en-US" w:eastAsia="zh-CN" w:bidi="ar-SA"/>
    </w:rPr>
  </w:style>
  <w:style w:type="paragraph" w:styleId="ae">
    <w:name w:val="header"/>
    <w:basedOn w:val="a"/>
    <w:link w:val="af"/>
    <w:pPr>
      <w:pBdr>
        <w:bottom w:val="single" w:sz="6" w:space="1" w:color="auto"/>
      </w:pBdr>
      <w:tabs>
        <w:tab w:val="center" w:pos="4153"/>
        <w:tab w:val="right" w:pos="8306"/>
      </w:tabs>
      <w:snapToGrid w:val="0"/>
      <w:jc w:val="center"/>
    </w:pPr>
    <w:rPr>
      <w:sz w:val="18"/>
      <w:szCs w:val="18"/>
    </w:rPr>
  </w:style>
  <w:style w:type="character" w:customStyle="1" w:styleId="af">
    <w:name w:val="页眉 字符"/>
    <w:link w:val="ae"/>
    <w:rPr>
      <w:rFonts w:eastAsia="仿宋_GB2312"/>
      <w:kern w:val="2"/>
      <w:sz w:val="18"/>
      <w:szCs w:val="18"/>
      <w:lang w:val="en-US" w:eastAsia="zh-CN" w:bidi="ar-SA"/>
    </w:rPr>
  </w:style>
  <w:style w:type="paragraph" w:styleId="TOC1">
    <w:name w:val="toc 1"/>
    <w:semiHidden/>
    <w:pPr>
      <w:tabs>
        <w:tab w:val="right" w:leader="middleDot" w:pos="9360"/>
      </w:tabs>
      <w:spacing w:line="264" w:lineRule="auto"/>
      <w:jc w:val="both"/>
    </w:pPr>
    <w:rPr>
      <w:rFonts w:ascii="宋体"/>
      <w:sz w:val="21"/>
    </w:rPr>
  </w:style>
  <w:style w:type="paragraph" w:styleId="af0">
    <w:name w:val="footnote text"/>
    <w:basedOn w:val="a"/>
    <w:link w:val="af1"/>
    <w:semiHidden/>
    <w:pPr>
      <w:spacing w:line="360" w:lineRule="exact"/>
      <w:ind w:leftChars="100" w:left="563" w:hangingChars="135" w:hanging="283"/>
    </w:pPr>
    <w:rPr>
      <w:rFonts w:ascii="宋体" w:eastAsia="宋体" w:hAnsi="宋体"/>
      <w:sz w:val="21"/>
      <w:szCs w:val="21"/>
    </w:rPr>
  </w:style>
  <w:style w:type="character" w:customStyle="1" w:styleId="af1">
    <w:name w:val="脚注文本 字符"/>
    <w:link w:val="af0"/>
    <w:rPr>
      <w:rFonts w:ascii="宋体" w:eastAsia="宋体" w:hAnsi="宋体"/>
      <w:kern w:val="2"/>
      <w:sz w:val="21"/>
      <w:szCs w:val="21"/>
      <w:lang w:bidi="ar-SA"/>
    </w:rPr>
  </w:style>
  <w:style w:type="paragraph" w:styleId="HTML1">
    <w:name w:val="HTML Preformatted"/>
    <w:basedOn w:val="a"/>
    <w:link w:val="HTML2"/>
    <w:semiHidden/>
    <w:rPr>
      <w:rFonts w:ascii="Courier New" w:eastAsia="宋体" w:hAnsi="Courier New"/>
      <w:sz w:val="20"/>
      <w:szCs w:val="20"/>
    </w:rPr>
  </w:style>
  <w:style w:type="character" w:customStyle="1" w:styleId="HTML2">
    <w:name w:val="HTML 预设格式 字符"/>
    <w:link w:val="HTML1"/>
    <w:rPr>
      <w:rFonts w:ascii="Courier New" w:eastAsia="宋体" w:hAnsi="Courier New"/>
      <w:kern w:val="2"/>
      <w:lang w:bidi="ar-SA"/>
    </w:rPr>
  </w:style>
  <w:style w:type="paragraph" w:styleId="af2">
    <w:name w:val="Normal (Web)"/>
    <w:basedOn w:val="a"/>
    <w:qFormat/>
    <w:pPr>
      <w:widowControl/>
      <w:spacing w:before="100" w:beforeAutospacing="1" w:after="100" w:afterAutospacing="1" w:line="360" w:lineRule="auto"/>
      <w:jc w:val="left"/>
    </w:pPr>
    <w:rPr>
      <w:rFonts w:ascii="Arial Unicode MS" w:eastAsia="Arial Unicode MS" w:hAnsi="Arial Unicode MS"/>
      <w:color w:val="000000"/>
      <w:kern w:val="0"/>
      <w:sz w:val="18"/>
    </w:rPr>
  </w:style>
  <w:style w:type="paragraph" w:styleId="af3">
    <w:name w:val="Title"/>
    <w:basedOn w:val="a"/>
    <w:link w:val="af4"/>
    <w:qFormat/>
    <w:pPr>
      <w:spacing w:before="240" w:after="60"/>
      <w:jc w:val="center"/>
      <w:outlineLvl w:val="0"/>
    </w:pPr>
    <w:rPr>
      <w:rFonts w:ascii="Arial" w:eastAsia="宋体" w:hAnsi="Arial"/>
      <w:b/>
      <w:bCs/>
      <w:sz w:val="32"/>
      <w:szCs w:val="32"/>
    </w:rPr>
  </w:style>
  <w:style w:type="character" w:customStyle="1" w:styleId="af4">
    <w:name w:val="标题 字符"/>
    <w:link w:val="af3"/>
    <w:rPr>
      <w:rFonts w:ascii="Arial" w:eastAsia="宋体" w:hAnsi="Arial"/>
      <w:b/>
      <w:bCs/>
      <w:kern w:val="2"/>
      <w:sz w:val="32"/>
      <w:szCs w:val="32"/>
      <w:lang w:bidi="ar-SA"/>
    </w:rPr>
  </w:style>
  <w:style w:type="paragraph" w:styleId="af5">
    <w:name w:val="annotation subject"/>
    <w:basedOn w:val="a6"/>
    <w:next w:val="a6"/>
    <w:link w:val="af6"/>
    <w:semiHidden/>
    <w:rPr>
      <w:b/>
      <w:bCs/>
    </w:rPr>
  </w:style>
  <w:style w:type="character" w:customStyle="1" w:styleId="af6">
    <w:name w:val="批注主题 字符"/>
    <w:link w:val="af5"/>
    <w:rPr>
      <w:rFonts w:eastAsia="宋体"/>
      <w:b/>
      <w:bCs/>
      <w:kern w:val="2"/>
      <w:sz w:val="21"/>
      <w:lang w:bidi="ar-SA"/>
    </w:rPr>
  </w:style>
  <w:style w:type="character" w:styleId="af7">
    <w:name w:val="page number"/>
  </w:style>
  <w:style w:type="character" w:styleId="af8">
    <w:name w:val="Hyperlink"/>
    <w:semiHidden/>
    <w:rPr>
      <w:rFonts w:ascii="Times New Roman" w:eastAsia="宋体" w:hAnsi="Times New Roman"/>
      <w:dstrike w:val="0"/>
      <w:color w:val="auto"/>
      <w:spacing w:val="0"/>
      <w:w w:val="100"/>
      <w:position w:val="0"/>
      <w:sz w:val="21"/>
      <w:u w:val="none"/>
      <w:vertAlign w:val="baseline"/>
    </w:rPr>
  </w:style>
  <w:style w:type="character" w:styleId="af9">
    <w:name w:val="footnote reference"/>
    <w:semiHidden/>
    <w:rPr>
      <w:rFonts w:ascii="Times New Roman" w:eastAsia="宋体" w:hAnsi="Times New Roman"/>
      <w:sz w:val="21"/>
      <w:szCs w:val="21"/>
      <w:vertAlign w:val="superscript"/>
    </w:rPr>
  </w:style>
  <w:style w:type="character" w:customStyle="1" w:styleId="Char">
    <w:name w:val="删除正文 Char"/>
    <w:link w:val="afa"/>
    <w:rPr>
      <w:lang w:bidi="ar-SA"/>
    </w:rPr>
  </w:style>
  <w:style w:type="character" w:customStyle="1" w:styleId="2Char">
    <w:name w:val="标题2 Char"/>
    <w:link w:val="21"/>
    <w:rPr>
      <w:rFonts w:ascii="Cambria" w:eastAsia="宋体" w:hAnsi="Cambria"/>
      <w:bCs/>
      <w:kern w:val="2"/>
      <w:sz w:val="21"/>
      <w:szCs w:val="32"/>
      <w:lang w:bidi="ar-SA"/>
    </w:rPr>
  </w:style>
  <w:style w:type="paragraph" w:customStyle="1" w:styleId="21">
    <w:name w:val="标题2"/>
    <w:basedOn w:val="2"/>
    <w:link w:val="2Char"/>
    <w:semiHidden/>
    <w:qFormat/>
    <w:pPr>
      <w:keepNext w:val="0"/>
      <w:keepLines w:val="0"/>
      <w:spacing w:before="0" w:after="0" w:line="240" w:lineRule="auto"/>
    </w:pPr>
    <w:rPr>
      <w:b w:val="0"/>
      <w:sz w:val="21"/>
    </w:rPr>
  </w:style>
  <w:style w:type="paragraph" w:customStyle="1" w:styleId="afa">
    <w:name w:val="删除正文"/>
    <w:basedOn w:val="a8"/>
    <w:link w:val="Char"/>
    <w:semiHidden/>
    <w:qFormat/>
  </w:style>
  <w:style w:type="character" w:customStyle="1" w:styleId="Char0">
    <w:name w:val="段 Char"/>
    <w:link w:val="afb"/>
    <w:semiHidden/>
    <w:rPr>
      <w:rFonts w:ascii="宋体"/>
      <w:sz w:val="21"/>
      <w:lang w:val="en-US" w:eastAsia="zh-CN" w:bidi="ar-SA"/>
    </w:rPr>
  </w:style>
  <w:style w:type="paragraph" w:customStyle="1" w:styleId="afb">
    <w:name w:val="段"/>
    <w:link w:val="Char0"/>
    <w:semiHidden/>
    <w:pPr>
      <w:ind w:firstLineChars="200" w:firstLine="200"/>
      <w:jc w:val="both"/>
    </w:pPr>
    <w:rPr>
      <w:rFonts w:ascii="宋体"/>
      <w:sz w:val="21"/>
    </w:rPr>
  </w:style>
  <w:style w:type="character" w:customStyle="1" w:styleId="CharChar">
    <w:name w:val="增加正文 Char Char"/>
    <w:rPr>
      <w:b/>
      <w:bCs/>
      <w:color w:val="FF0000"/>
      <w:kern w:val="2"/>
      <w:sz w:val="21"/>
      <w:szCs w:val="21"/>
      <w:lang w:val="en-US" w:eastAsia="zh-CN" w:bidi="ar-SA"/>
    </w:rPr>
  </w:style>
  <w:style w:type="character" w:customStyle="1" w:styleId="1Char">
    <w:name w:val="标题1 Char"/>
    <w:link w:val="11"/>
    <w:rPr>
      <w:rFonts w:ascii="方正小标宋_GBK" w:eastAsia="方正小标宋_GBK" w:hAnsi="宋体"/>
      <w:b/>
      <w:bCs/>
      <w:kern w:val="44"/>
      <w:sz w:val="44"/>
      <w:szCs w:val="44"/>
      <w:lang w:bidi="ar-SA"/>
    </w:rPr>
  </w:style>
  <w:style w:type="paragraph" w:customStyle="1" w:styleId="11">
    <w:name w:val="标题1"/>
    <w:basedOn w:val="1"/>
    <w:link w:val="1Char"/>
    <w:semiHidden/>
    <w:qFormat/>
    <w:pPr>
      <w:jc w:val="center"/>
    </w:pPr>
    <w:rPr>
      <w:rFonts w:ascii="方正小标宋_GBK" w:eastAsia="方正小标宋_GBK" w:hAnsi="宋体"/>
    </w:rPr>
  </w:style>
  <w:style w:type="character" w:customStyle="1" w:styleId="3Char">
    <w:name w:val="标题3 Char"/>
    <w:link w:val="31"/>
    <w:rPr>
      <w:rFonts w:eastAsia="宋体"/>
      <w:bCs/>
      <w:kern w:val="2"/>
      <w:sz w:val="21"/>
      <w:szCs w:val="32"/>
      <w:lang w:bidi="ar-SA"/>
    </w:rPr>
  </w:style>
  <w:style w:type="paragraph" w:customStyle="1" w:styleId="31">
    <w:name w:val="标题3"/>
    <w:basedOn w:val="3"/>
    <w:link w:val="3Char"/>
    <w:semiHidden/>
    <w:qFormat/>
    <w:pPr>
      <w:keepNext w:val="0"/>
      <w:keepLines w:val="0"/>
      <w:spacing w:before="0" w:after="0" w:line="240" w:lineRule="auto"/>
    </w:pPr>
    <w:rPr>
      <w:b w:val="0"/>
      <w:sz w:val="21"/>
    </w:rPr>
  </w:style>
  <w:style w:type="character" w:customStyle="1" w:styleId="Char1">
    <w:name w:val="增加正文 Char"/>
    <w:link w:val="afc"/>
    <w:rPr>
      <w:rFonts w:ascii="Cambria" w:eastAsia="宋体" w:hAnsi="Cambria"/>
      <w:b/>
      <w:bCs/>
      <w:color w:val="FF0000"/>
      <w:kern w:val="2"/>
      <w:sz w:val="21"/>
      <w:szCs w:val="32"/>
      <w:lang w:bidi="ar-SA"/>
    </w:rPr>
  </w:style>
  <w:style w:type="paragraph" w:customStyle="1" w:styleId="afc">
    <w:name w:val="增加正文"/>
    <w:basedOn w:val="a"/>
    <w:link w:val="Char1"/>
    <w:semiHidden/>
    <w:qFormat/>
    <w:rPr>
      <w:rFonts w:ascii="Cambria" w:eastAsia="宋体" w:hAnsi="Cambria"/>
      <w:b/>
      <w:bCs/>
      <w:color w:val="FF0000"/>
      <w:sz w:val="21"/>
      <w:szCs w:val="32"/>
    </w:rPr>
  </w:style>
  <w:style w:type="character" w:customStyle="1" w:styleId="3CharChar">
    <w:name w:val="标题3 Char Char"/>
    <w:rPr>
      <w:rFonts w:ascii="宋体" w:eastAsia="宋体" w:hAnsi="宋体"/>
      <w:b/>
      <w:bCs/>
      <w:color w:val="000000"/>
      <w:kern w:val="2"/>
      <w:sz w:val="21"/>
      <w:szCs w:val="32"/>
      <w:lang w:val="en-US" w:eastAsia="zh-CN" w:bidi="ar-SA"/>
    </w:rPr>
  </w:style>
  <w:style w:type="character" w:customStyle="1" w:styleId="2Char0">
    <w:name w:val="样式2 Char"/>
    <w:link w:val="22"/>
    <w:rPr>
      <w:rFonts w:ascii="EU-F1" w:eastAsia="黑体"/>
      <w:sz w:val="21"/>
      <w:lang w:bidi="ar-SA"/>
    </w:rPr>
  </w:style>
  <w:style w:type="paragraph" w:customStyle="1" w:styleId="22">
    <w:name w:val="样式2"/>
    <w:basedOn w:val="a"/>
    <w:link w:val="2Char0"/>
    <w:semiHidden/>
    <w:pPr>
      <w:keepNext/>
      <w:keepLines/>
      <w:spacing w:line="480" w:lineRule="auto"/>
      <w:jc w:val="center"/>
    </w:pPr>
    <w:rPr>
      <w:rFonts w:ascii="EU-F1" w:eastAsia="黑体"/>
      <w:kern w:val="0"/>
      <w:sz w:val="21"/>
      <w:szCs w:val="20"/>
    </w:rPr>
  </w:style>
  <w:style w:type="character" w:customStyle="1" w:styleId="2CharChar">
    <w:name w:val="标题2 Char Char"/>
    <w:rPr>
      <w:rFonts w:ascii="宋体" w:hAnsi="宋体"/>
      <w:b/>
      <w:bCs/>
      <w:color w:val="000000"/>
      <w:sz w:val="21"/>
      <w:szCs w:val="21"/>
      <w:lang w:bidi="ar-SA"/>
    </w:rPr>
  </w:style>
  <w:style w:type="paragraph" w:customStyle="1" w:styleId="afd">
    <w:name w:val="术语定义条标题"/>
    <w:basedOn w:val="afe"/>
    <w:next w:val="afb"/>
    <w:semiHidden/>
    <w:pPr>
      <w:numPr>
        <w:ilvl w:val="0"/>
        <w:numId w:val="3"/>
      </w:numPr>
      <w:tabs>
        <w:tab w:val="left" w:pos="360"/>
      </w:tabs>
      <w:spacing w:beforeLines="0" w:afterLines="0"/>
      <w:jc w:val="left"/>
      <w:outlineLvl w:val="9"/>
    </w:pPr>
  </w:style>
  <w:style w:type="paragraph" w:customStyle="1" w:styleId="afe">
    <w:name w:val="章标题"/>
    <w:next w:val="afb"/>
    <w:semiHidden/>
    <w:pPr>
      <w:numPr>
        <w:ilvl w:val="1"/>
        <w:numId w:val="2"/>
      </w:numPr>
      <w:tabs>
        <w:tab w:val="left" w:pos="360"/>
        <w:tab w:val="left" w:pos="420"/>
      </w:tabs>
      <w:spacing w:beforeLines="50" w:afterLines="50"/>
      <w:jc w:val="both"/>
      <w:outlineLvl w:val="1"/>
    </w:pPr>
    <w:rPr>
      <w:rFonts w:ascii="黑体" w:eastAsia="黑体"/>
      <w:b/>
      <w:sz w:val="21"/>
    </w:rPr>
  </w:style>
  <w:style w:type="paragraph" w:customStyle="1" w:styleId="zwzzzzzzzzzzz2182">
    <w:name w:val="样式 样式 zwzzzzzzzzzzz + 首行缩进:  2 字符 行距: 固定值 18 磅 + 首行缩进:  2 字符"/>
    <w:basedOn w:val="zwzzzzzzzzzzz218"/>
    <w:pPr>
      <w:ind w:firstLine="440"/>
    </w:pPr>
  </w:style>
  <w:style w:type="paragraph" w:customStyle="1" w:styleId="zwzzzzzzzzzzz218">
    <w:name w:val="样式 zwzzzzzzzzzzz + 首行缩进:  2 字符 行距: 固定值 18 磅"/>
    <w:basedOn w:val="a"/>
    <w:pPr>
      <w:topLinePunct/>
      <w:spacing w:line="360" w:lineRule="exact"/>
      <w:ind w:firstLineChars="200" w:firstLine="442"/>
    </w:pPr>
    <w:rPr>
      <w:rFonts w:eastAsia="方正书宋_GBK" w:cs="宋体"/>
      <w:kern w:val="28"/>
      <w:sz w:val="22"/>
      <w:szCs w:val="22"/>
    </w:rPr>
  </w:style>
  <w:style w:type="paragraph" w:customStyle="1" w:styleId="aff">
    <w:name w:val="列项·"/>
    <w:semiHidden/>
    <w:pPr>
      <w:numPr>
        <w:numId w:val="4"/>
      </w:numPr>
      <w:tabs>
        <w:tab w:val="clear" w:pos="1140"/>
        <w:tab w:val="left" w:pos="840"/>
      </w:tabs>
      <w:ind w:leftChars="200" w:left="840" w:hangingChars="200" w:hanging="420"/>
      <w:jc w:val="both"/>
    </w:pPr>
    <w:rPr>
      <w:rFonts w:ascii="宋体"/>
      <w:sz w:val="21"/>
    </w:rPr>
  </w:style>
  <w:style w:type="paragraph" w:customStyle="1" w:styleId="Char2">
    <w:name w:val="Char"/>
    <w:basedOn w:val="a"/>
    <w:pPr>
      <w:spacing w:line="360" w:lineRule="auto"/>
    </w:pPr>
    <w:rPr>
      <w:rFonts w:ascii="Tahoma" w:eastAsia="宋体" w:hAnsi="Tahoma"/>
      <w:szCs w:val="20"/>
    </w:rPr>
  </w:style>
  <w:style w:type="paragraph" w:customStyle="1" w:styleId="zwzzzzzzzzzzz">
    <w:name w:val="样式 zwzzzzzzzzzzz + 加粗"/>
    <w:basedOn w:val="a"/>
    <w:pPr>
      <w:topLinePunct/>
      <w:spacing w:line="360" w:lineRule="exact"/>
      <w:ind w:firstLineChars="200" w:firstLine="200"/>
    </w:pPr>
    <w:rPr>
      <w:rFonts w:eastAsia="方正书宋_GBK" w:cs="宋体"/>
      <w:b/>
      <w:bCs/>
      <w:kern w:val="28"/>
      <w:sz w:val="22"/>
      <w:szCs w:val="22"/>
    </w:rPr>
  </w:style>
  <w:style w:type="paragraph" w:customStyle="1" w:styleId="zwzzzzzzzzzzz02">
    <w:name w:val="样式 zwzzzzzzzzzzz + 加宽量  0.2 磅"/>
    <w:basedOn w:val="a"/>
    <w:pPr>
      <w:topLinePunct/>
      <w:spacing w:line="400" w:lineRule="exact"/>
      <w:ind w:firstLineChars="200" w:firstLine="200"/>
    </w:pPr>
    <w:rPr>
      <w:rFonts w:eastAsia="方正书宋_GBK" w:cs="宋体"/>
      <w:spacing w:val="4"/>
      <w:kern w:val="28"/>
      <w:sz w:val="22"/>
      <w:szCs w:val="22"/>
    </w:rPr>
  </w:style>
  <w:style w:type="paragraph" w:customStyle="1" w:styleId="aff0">
    <w:name w:val="式中"/>
    <w:next w:val="afb"/>
    <w:semiHidden/>
    <w:pPr>
      <w:numPr>
        <w:numId w:val="5"/>
      </w:numPr>
      <w:tabs>
        <w:tab w:val="clear" w:pos="918"/>
        <w:tab w:val="left" w:pos="210"/>
      </w:tabs>
    </w:pPr>
    <w:rPr>
      <w:rFonts w:ascii="宋体"/>
      <w:sz w:val="18"/>
    </w:rPr>
  </w:style>
  <w:style w:type="paragraph" w:customStyle="1" w:styleId="aff1">
    <w:name w:val="引言一级条标题"/>
    <w:basedOn w:val="a"/>
    <w:next w:val="afb"/>
    <w:semiHidden/>
    <w:pPr>
      <w:widowControl/>
      <w:numPr>
        <w:numId w:val="6"/>
      </w:numPr>
      <w:tabs>
        <w:tab w:val="clear" w:pos="360"/>
      </w:tabs>
    </w:pPr>
    <w:rPr>
      <w:rFonts w:eastAsia="黑体"/>
      <w:b/>
      <w:szCs w:val="24"/>
    </w:rPr>
  </w:style>
  <w:style w:type="paragraph" w:customStyle="1" w:styleId="aff2">
    <w:name w:val="附录五级条标题"/>
    <w:basedOn w:val="aff3"/>
    <w:next w:val="afb"/>
    <w:semiHidden/>
    <w:pPr>
      <w:numPr>
        <w:ilvl w:val="6"/>
      </w:numPr>
      <w:outlineLvl w:val="6"/>
    </w:pPr>
  </w:style>
  <w:style w:type="paragraph" w:customStyle="1" w:styleId="aff3">
    <w:name w:val="附录四级条标题"/>
    <w:basedOn w:val="aff4"/>
    <w:next w:val="afb"/>
    <w:semiHidden/>
    <w:pPr>
      <w:numPr>
        <w:ilvl w:val="5"/>
      </w:numPr>
      <w:outlineLvl w:val="5"/>
    </w:pPr>
  </w:style>
  <w:style w:type="paragraph" w:customStyle="1" w:styleId="aff4">
    <w:name w:val="附录三级条标题"/>
    <w:basedOn w:val="aff5"/>
    <w:next w:val="afb"/>
    <w:semiHidden/>
    <w:pPr>
      <w:numPr>
        <w:ilvl w:val="4"/>
      </w:numPr>
      <w:outlineLvl w:val="4"/>
    </w:pPr>
  </w:style>
  <w:style w:type="paragraph" w:customStyle="1" w:styleId="aff5">
    <w:name w:val="附录二级条标题"/>
    <w:basedOn w:val="aff6"/>
    <w:next w:val="afb"/>
    <w:semiHidden/>
    <w:pPr>
      <w:numPr>
        <w:ilvl w:val="3"/>
      </w:numPr>
      <w:outlineLvl w:val="3"/>
    </w:pPr>
  </w:style>
  <w:style w:type="paragraph" w:customStyle="1" w:styleId="aff6">
    <w:name w:val="附录一级条标题"/>
    <w:basedOn w:val="aff7"/>
    <w:next w:val="afb"/>
    <w:semiHidden/>
    <w:pPr>
      <w:numPr>
        <w:ilvl w:val="2"/>
      </w:numPr>
      <w:autoSpaceDN w:val="0"/>
      <w:spacing w:beforeLines="0" w:afterLines="0"/>
      <w:outlineLvl w:val="2"/>
    </w:pPr>
  </w:style>
  <w:style w:type="paragraph" w:customStyle="1" w:styleId="aff7">
    <w:name w:val="附录章标题"/>
    <w:next w:val="afb"/>
    <w:semiHidden/>
    <w:pPr>
      <w:numPr>
        <w:ilvl w:val="1"/>
        <w:numId w:val="7"/>
      </w:numPr>
      <w:wordWrap w:val="0"/>
      <w:overflowPunct w:val="0"/>
      <w:autoSpaceDE w:val="0"/>
      <w:spacing w:beforeLines="50" w:afterLines="50"/>
      <w:jc w:val="both"/>
      <w:textAlignment w:val="baseline"/>
      <w:outlineLvl w:val="1"/>
    </w:pPr>
    <w:rPr>
      <w:rFonts w:ascii="黑体" w:eastAsia="黑体"/>
      <w:b/>
      <w:kern w:val="21"/>
      <w:sz w:val="21"/>
    </w:rPr>
  </w:style>
  <w:style w:type="paragraph" w:customStyle="1" w:styleId="d2">
    <w:name w:val="d2"/>
    <w:basedOn w:val="1"/>
    <w:pPr>
      <w:keepNext w:val="0"/>
      <w:keepLines w:val="0"/>
      <w:numPr>
        <w:numId w:val="0"/>
      </w:numPr>
      <w:topLinePunct/>
      <w:spacing w:before="0" w:after="0" w:line="1176" w:lineRule="auto"/>
      <w:jc w:val="center"/>
    </w:pPr>
    <w:rPr>
      <w:rFonts w:ascii="黑体" w:eastAsia="黑体"/>
      <w:b w:val="0"/>
      <w:kern w:val="28"/>
    </w:rPr>
  </w:style>
  <w:style w:type="paragraph" w:customStyle="1" w:styleId="bgg">
    <w:name w:val="bgg"/>
    <w:basedOn w:val="a"/>
    <w:pPr>
      <w:snapToGrid w:val="0"/>
      <w:spacing w:line="312" w:lineRule="auto"/>
      <w:jc w:val="center"/>
    </w:pPr>
    <w:rPr>
      <w:kern w:val="28"/>
      <w:sz w:val="21"/>
      <w:szCs w:val="21"/>
    </w:rPr>
  </w:style>
  <w:style w:type="paragraph" w:customStyle="1" w:styleId="aff8">
    <w:name w:val="一级条标题"/>
    <w:basedOn w:val="afe"/>
    <w:next w:val="afb"/>
    <w:semiHidden/>
    <w:pPr>
      <w:numPr>
        <w:ilvl w:val="2"/>
      </w:numPr>
      <w:tabs>
        <w:tab w:val="clear" w:pos="420"/>
        <w:tab w:val="left" w:pos="525"/>
        <w:tab w:val="left" w:pos="720"/>
      </w:tabs>
      <w:spacing w:beforeLines="0" w:afterLines="0"/>
      <w:outlineLvl w:val="2"/>
    </w:pPr>
  </w:style>
  <w:style w:type="paragraph" w:customStyle="1" w:styleId="aff9">
    <w:name w:val="工程建设章标题"/>
    <w:next w:val="afb"/>
    <w:semiHidden/>
    <w:pPr>
      <w:numPr>
        <w:ilvl w:val="1"/>
        <w:numId w:val="8"/>
      </w:numPr>
      <w:spacing w:before="640" w:after="560" w:line="480" w:lineRule="exact"/>
      <w:jc w:val="center"/>
      <w:outlineLvl w:val="1"/>
    </w:pPr>
    <w:rPr>
      <w:rFonts w:ascii="黑体" w:eastAsia="黑体"/>
      <w:b/>
      <w:sz w:val="28"/>
    </w:rPr>
  </w:style>
  <w:style w:type="paragraph" w:customStyle="1" w:styleId="12">
    <w:name w:val="样式1"/>
    <w:basedOn w:val="zwzzzzzzzzzzz218"/>
    <w:rPr>
      <w:rFonts w:eastAsia="宋体"/>
    </w:rPr>
  </w:style>
  <w:style w:type="paragraph" w:customStyle="1" w:styleId="affa">
    <w:name w:val="二级条标题"/>
    <w:basedOn w:val="aff8"/>
    <w:next w:val="afb"/>
    <w:semiHidden/>
    <w:pPr>
      <w:numPr>
        <w:ilvl w:val="3"/>
      </w:numPr>
      <w:tabs>
        <w:tab w:val="clear" w:pos="525"/>
        <w:tab w:val="left" w:pos="720"/>
      </w:tabs>
      <w:outlineLvl w:val="3"/>
    </w:pPr>
  </w:style>
  <w:style w:type="paragraph" w:customStyle="1" w:styleId="affb">
    <w:name w:val="工程建设节标题"/>
    <w:basedOn w:val="aff9"/>
    <w:next w:val="afb"/>
    <w:semiHidden/>
    <w:pPr>
      <w:numPr>
        <w:ilvl w:val="2"/>
      </w:numPr>
      <w:spacing w:before="400" w:after="400" w:line="240" w:lineRule="auto"/>
      <w:outlineLvl w:val="2"/>
    </w:pPr>
    <w:rPr>
      <w:sz w:val="21"/>
    </w:rPr>
  </w:style>
  <w:style w:type="paragraph" w:customStyle="1" w:styleId="affc">
    <w:name w:val="正文表标题"/>
    <w:next w:val="afb"/>
    <w:semiHidden/>
    <w:pPr>
      <w:tabs>
        <w:tab w:val="left" w:pos="420"/>
      </w:tabs>
      <w:spacing w:beforeLines="50" w:afterLines="50"/>
      <w:jc w:val="center"/>
    </w:pPr>
    <w:rPr>
      <w:rFonts w:ascii="黑体" w:eastAsia="黑体"/>
      <w:b/>
      <w:sz w:val="21"/>
    </w:rPr>
  </w:style>
  <w:style w:type="paragraph" w:customStyle="1" w:styleId="affd">
    <w:name w:val="工程建设图标题"/>
    <w:basedOn w:val="affe"/>
    <w:semiHidden/>
    <w:pPr>
      <w:numPr>
        <w:ilvl w:val="5"/>
      </w:numPr>
      <w:jc w:val="center"/>
      <w:outlineLvl w:val="5"/>
    </w:pPr>
  </w:style>
  <w:style w:type="paragraph" w:customStyle="1" w:styleId="affe">
    <w:name w:val="工程建设条标题"/>
    <w:basedOn w:val="affb"/>
    <w:next w:val="afb"/>
    <w:semiHidden/>
    <w:pPr>
      <w:numPr>
        <w:ilvl w:val="3"/>
      </w:numPr>
      <w:spacing w:before="0" w:after="0"/>
      <w:jc w:val="left"/>
      <w:outlineLvl w:val="3"/>
    </w:pPr>
    <w:rPr>
      <w:b w:val="0"/>
    </w:rPr>
  </w:style>
  <w:style w:type="paragraph" w:customStyle="1" w:styleId="zwzzzzzzzzzzz2">
    <w:name w:val="样式 zwzzzzzzzzzzz + 首行缩进:  2 字符"/>
    <w:basedOn w:val="a"/>
    <w:pPr>
      <w:topLinePunct/>
      <w:spacing w:line="360" w:lineRule="exact"/>
      <w:ind w:firstLineChars="200" w:firstLine="200"/>
    </w:pPr>
    <w:rPr>
      <w:rFonts w:eastAsia="方正书宋简体" w:cs="宋体"/>
      <w:kern w:val="28"/>
      <w:sz w:val="22"/>
      <w:szCs w:val="20"/>
    </w:rPr>
  </w:style>
  <w:style w:type="paragraph" w:customStyle="1" w:styleId="afff">
    <w:name w:val="附录表标题"/>
    <w:basedOn w:val="affc"/>
    <w:next w:val="afb"/>
    <w:semiHidden/>
    <w:pPr>
      <w:numPr>
        <w:numId w:val="9"/>
      </w:numPr>
      <w:tabs>
        <w:tab w:val="clear" w:pos="360"/>
        <w:tab w:val="left" w:pos="210"/>
      </w:tabs>
      <w:textAlignment w:val="baseline"/>
    </w:pPr>
    <w:rPr>
      <w:rFonts w:ascii="宋体" w:eastAsia="宋体"/>
      <w:kern w:val="21"/>
    </w:rPr>
  </w:style>
  <w:style w:type="paragraph" w:customStyle="1" w:styleId="zwzzzzzzzzzzz2180">
    <w:name w:val="样式 样式 zwzzzzzzzzzzz + 首行缩进:  2 字符 行距: 固定值 18 磅 + (中文) 宋体"/>
    <w:basedOn w:val="zwzzzzzzzzzzz218"/>
    <w:rPr>
      <w:rFonts w:eastAsia="宋体"/>
    </w:rPr>
  </w:style>
  <w:style w:type="paragraph" w:customStyle="1" w:styleId="zwzzzzzzzzzzz22">
    <w:name w:val="样式 样式 zwzzzzzzzzzzz + 首行缩进:  2 字符 + 首行缩进:  2 字符"/>
    <w:basedOn w:val="zwzzzzzzzzzzz2"/>
    <w:pPr>
      <w:ind w:firstLine="442"/>
    </w:pPr>
    <w:rPr>
      <w:szCs w:val="22"/>
    </w:rPr>
  </w:style>
  <w:style w:type="paragraph" w:customStyle="1" w:styleId="afff0">
    <w:name w:val="三级条标题"/>
    <w:basedOn w:val="affa"/>
    <w:next w:val="afb"/>
    <w:semiHidden/>
    <w:pPr>
      <w:numPr>
        <w:ilvl w:val="4"/>
      </w:numPr>
      <w:tabs>
        <w:tab w:val="left" w:pos="945"/>
        <w:tab w:val="left" w:pos="1080"/>
      </w:tabs>
      <w:outlineLvl w:val="4"/>
    </w:pPr>
  </w:style>
  <w:style w:type="paragraph" w:customStyle="1" w:styleId="afff1">
    <w:name w:val="列项——"/>
    <w:semiHidden/>
    <w:pPr>
      <w:widowControl w:val="0"/>
      <w:numPr>
        <w:numId w:val="10"/>
      </w:numPr>
      <w:tabs>
        <w:tab w:val="clear" w:pos="1140"/>
        <w:tab w:val="left" w:pos="854"/>
      </w:tabs>
      <w:ind w:leftChars="200" w:left="200" w:hangingChars="200" w:hanging="200"/>
      <w:jc w:val="both"/>
    </w:pPr>
    <w:rPr>
      <w:rFonts w:ascii="宋体"/>
      <w:sz w:val="21"/>
    </w:rPr>
  </w:style>
  <w:style w:type="paragraph" w:customStyle="1" w:styleId="d2b">
    <w:name w:val="d2b"/>
    <w:basedOn w:val="1"/>
    <w:pPr>
      <w:keepNext w:val="0"/>
      <w:keepLines w:val="0"/>
      <w:numPr>
        <w:numId w:val="0"/>
      </w:numPr>
      <w:topLinePunct/>
      <w:spacing w:beforeLines="150" w:before="661" w:after="0" w:line="240" w:lineRule="auto"/>
      <w:jc w:val="center"/>
    </w:pPr>
    <w:rPr>
      <w:rFonts w:ascii="方正小标宋简体" w:eastAsia="方正小标宋简体"/>
      <w:b w:val="0"/>
      <w:kern w:val="28"/>
      <w:sz w:val="30"/>
      <w:szCs w:val="30"/>
    </w:rPr>
  </w:style>
  <w:style w:type="paragraph" w:customStyle="1" w:styleId="d4">
    <w:name w:val="d4"/>
    <w:basedOn w:val="d3"/>
    <w:pPr>
      <w:spacing w:line="1200" w:lineRule="auto"/>
    </w:pPr>
    <w:rPr>
      <w:rFonts w:ascii="方正小标宋简体" w:eastAsia="方正小标宋简体"/>
      <w:sz w:val="32"/>
      <w:szCs w:val="32"/>
    </w:rPr>
  </w:style>
  <w:style w:type="paragraph" w:customStyle="1" w:styleId="d3">
    <w:name w:val="d3"/>
    <w:basedOn w:val="1"/>
    <w:pPr>
      <w:keepNext w:val="0"/>
      <w:keepLines w:val="0"/>
      <w:numPr>
        <w:numId w:val="0"/>
      </w:numPr>
      <w:topLinePunct/>
      <w:spacing w:before="0" w:after="0" w:line="960" w:lineRule="auto"/>
      <w:jc w:val="center"/>
    </w:pPr>
    <w:rPr>
      <w:rFonts w:eastAsia="黑体"/>
      <w:b w:val="0"/>
      <w:kern w:val="28"/>
      <w:sz w:val="36"/>
      <w:szCs w:val="36"/>
    </w:rPr>
  </w:style>
  <w:style w:type="paragraph" w:customStyle="1" w:styleId="afff2">
    <w:name w:val="附录表标题续表"/>
    <w:basedOn w:val="afff"/>
    <w:next w:val="afb"/>
    <w:semiHidden/>
    <w:pPr>
      <w:numPr>
        <w:numId w:val="11"/>
      </w:numPr>
      <w:tabs>
        <w:tab w:val="left" w:pos="360"/>
      </w:tabs>
    </w:pPr>
    <w:rPr>
      <w:b w:val="0"/>
    </w:rPr>
  </w:style>
  <w:style w:type="paragraph" w:styleId="afff3">
    <w:name w:val="No Spacing"/>
    <w:qFormat/>
    <w:pPr>
      <w:widowControl w:val="0"/>
      <w:jc w:val="both"/>
    </w:pPr>
    <w:rPr>
      <w:kern w:val="2"/>
      <w:sz w:val="21"/>
    </w:rPr>
  </w:style>
  <w:style w:type="paragraph" w:customStyle="1" w:styleId="afff4">
    <w:name w:val="条文脚注"/>
    <w:basedOn w:val="af0"/>
    <w:semiHidden/>
    <w:pPr>
      <w:numPr>
        <w:numId w:val="12"/>
      </w:numPr>
      <w:tabs>
        <w:tab w:val="left" w:pos="360"/>
      </w:tabs>
      <w:snapToGrid w:val="0"/>
      <w:spacing w:line="240" w:lineRule="auto"/>
      <w:ind w:leftChars="200" w:firstLineChars="0"/>
    </w:pPr>
  </w:style>
  <w:style w:type="paragraph" w:customStyle="1" w:styleId="zwzzzzzzzzzzz0">
    <w:name w:val="样式 样式 zwzzzzzzzzzzz + 加粗 + (中文) 宋体"/>
    <w:basedOn w:val="zwzzzzzzzzzzz"/>
    <w:rPr>
      <w:rFonts w:eastAsia="宋体"/>
    </w:rPr>
  </w:style>
  <w:style w:type="paragraph" w:customStyle="1" w:styleId="afff5">
    <w:name w:val="五级条标题"/>
    <w:basedOn w:val="afff6"/>
    <w:next w:val="afb"/>
    <w:semiHidden/>
    <w:pPr>
      <w:numPr>
        <w:ilvl w:val="6"/>
      </w:numPr>
      <w:tabs>
        <w:tab w:val="clear" w:pos="1155"/>
        <w:tab w:val="left" w:pos="1407"/>
        <w:tab w:val="left" w:pos="1440"/>
      </w:tabs>
      <w:outlineLvl w:val="6"/>
    </w:pPr>
  </w:style>
  <w:style w:type="paragraph" w:customStyle="1" w:styleId="afff6">
    <w:name w:val="四级条标题"/>
    <w:basedOn w:val="afff0"/>
    <w:next w:val="afb"/>
    <w:semiHidden/>
    <w:pPr>
      <w:numPr>
        <w:ilvl w:val="5"/>
      </w:numPr>
      <w:tabs>
        <w:tab w:val="clear" w:pos="945"/>
        <w:tab w:val="left" w:pos="1021"/>
        <w:tab w:val="left" w:pos="1155"/>
      </w:tabs>
      <w:outlineLvl w:val="5"/>
    </w:pPr>
  </w:style>
  <w:style w:type="paragraph" w:customStyle="1" w:styleId="afff7">
    <w:name w:val="术语定义五级条标题"/>
    <w:basedOn w:val="afe"/>
    <w:next w:val="afb"/>
    <w:semiHidden/>
    <w:pPr>
      <w:numPr>
        <w:ilvl w:val="4"/>
        <w:numId w:val="3"/>
      </w:numPr>
      <w:tabs>
        <w:tab w:val="left" w:pos="1440"/>
      </w:tabs>
      <w:spacing w:beforeLines="0" w:afterLines="0"/>
      <w:outlineLvl w:val="9"/>
    </w:pPr>
  </w:style>
  <w:style w:type="paragraph" w:customStyle="1" w:styleId="afff8">
    <w:name w:val="术语定义四级条标题"/>
    <w:basedOn w:val="afd"/>
    <w:next w:val="afb"/>
    <w:semiHidden/>
    <w:pPr>
      <w:numPr>
        <w:ilvl w:val="3"/>
      </w:numPr>
      <w:tabs>
        <w:tab w:val="left" w:pos="1077"/>
      </w:tabs>
    </w:pPr>
  </w:style>
  <w:style w:type="paragraph" w:customStyle="1" w:styleId="afff9">
    <w:name w:val="数字编号列项（二级）"/>
    <w:semiHidden/>
    <w:pPr>
      <w:numPr>
        <w:ilvl w:val="2"/>
        <w:numId w:val="13"/>
      </w:numPr>
      <w:ind w:leftChars="400" w:left="400" w:hangingChars="200" w:hanging="200"/>
      <w:jc w:val="both"/>
    </w:pPr>
    <w:rPr>
      <w:rFonts w:ascii="宋体"/>
      <w:sz w:val="21"/>
    </w:rPr>
  </w:style>
  <w:style w:type="paragraph" w:customStyle="1" w:styleId="ParaChar">
    <w:name w:val="默认段落字体 Para Char"/>
    <w:basedOn w:val="a"/>
    <w:rPr>
      <w:rFonts w:eastAsia="宋体"/>
      <w:sz w:val="21"/>
      <w:szCs w:val="20"/>
    </w:rPr>
  </w:style>
  <w:style w:type="paragraph" w:customStyle="1" w:styleId="afffa">
    <w:name w:val="附录标识"/>
    <w:basedOn w:val="afffb"/>
    <w:next w:val="afb"/>
    <w:semiHidden/>
    <w:pPr>
      <w:numPr>
        <w:numId w:val="7"/>
      </w:numPr>
      <w:spacing w:after="200"/>
    </w:pPr>
    <w:rPr>
      <w:sz w:val="21"/>
    </w:rPr>
  </w:style>
  <w:style w:type="paragraph" w:customStyle="1" w:styleId="afffb">
    <w:name w:val="前言、引言标题"/>
    <w:next w:val="a"/>
    <w:semiHidden/>
    <w:pPr>
      <w:shd w:val="clear" w:color="FFFFFF" w:fill="FFFFFF"/>
      <w:spacing w:before="640" w:after="560"/>
      <w:jc w:val="center"/>
      <w:outlineLvl w:val="0"/>
    </w:pPr>
    <w:rPr>
      <w:rFonts w:ascii="黑体" w:eastAsia="黑体"/>
      <w:b/>
      <w:sz w:val="32"/>
    </w:rPr>
  </w:style>
  <w:style w:type="paragraph" w:customStyle="1" w:styleId="afffc">
    <w:name w:val="正文图标题"/>
    <w:basedOn w:val="affc"/>
    <w:next w:val="afb"/>
    <w:semiHidden/>
    <w:pPr>
      <w:numPr>
        <w:numId w:val="14"/>
      </w:numPr>
      <w:tabs>
        <w:tab w:val="clear" w:pos="360"/>
      </w:tabs>
    </w:pPr>
  </w:style>
  <w:style w:type="paragraph" w:customStyle="1" w:styleId="GBK">
    <w:name w:val="样式 示范文本 + 方正小标宋_GBK"/>
    <w:basedOn w:val="a"/>
    <w:pPr>
      <w:topLinePunct/>
      <w:adjustRightInd w:val="0"/>
      <w:snapToGrid w:val="0"/>
      <w:spacing w:beforeLines="200" w:before="480" w:afterLines="300" w:after="720"/>
      <w:jc w:val="center"/>
      <w:outlineLvl w:val="0"/>
    </w:pPr>
    <w:rPr>
      <w:rFonts w:ascii="方正小标宋_GBK" w:eastAsia="方正小标宋_GBK" w:hAnsi="方正小标宋_GBK"/>
      <w:kern w:val="28"/>
      <w:sz w:val="42"/>
      <w:szCs w:val="42"/>
    </w:rPr>
  </w:style>
  <w:style w:type="paragraph" w:customStyle="1" w:styleId="afffd">
    <w:name w:val="工程建设公式标题"/>
    <w:basedOn w:val="affe"/>
    <w:semiHidden/>
    <w:pPr>
      <w:numPr>
        <w:ilvl w:val="6"/>
      </w:numPr>
      <w:jc w:val="center"/>
      <w:outlineLvl w:val="6"/>
    </w:pPr>
  </w:style>
  <w:style w:type="paragraph" w:customStyle="1" w:styleId="afffe">
    <w:name w:val="三级无标题条"/>
    <w:basedOn w:val="a"/>
    <w:semiHidden/>
    <w:pPr>
      <w:numPr>
        <w:ilvl w:val="4"/>
        <w:numId w:val="15"/>
      </w:numPr>
    </w:pPr>
    <w:rPr>
      <w:b/>
      <w:szCs w:val="24"/>
    </w:rPr>
  </w:style>
  <w:style w:type="paragraph" w:styleId="affff">
    <w:name w:val="List Paragraph"/>
    <w:basedOn w:val="a"/>
    <w:qFormat/>
    <w:pPr>
      <w:ind w:firstLineChars="200" w:firstLine="420"/>
    </w:pPr>
  </w:style>
  <w:style w:type="paragraph" w:customStyle="1" w:styleId="affff0">
    <w:name w:val="工程建设款标题"/>
    <w:basedOn w:val="affe"/>
    <w:semiHidden/>
    <w:pPr>
      <w:numPr>
        <w:ilvl w:val="7"/>
      </w:numPr>
      <w:tabs>
        <w:tab w:val="clear" w:pos="720"/>
      </w:tabs>
      <w:outlineLvl w:val="9"/>
    </w:pPr>
  </w:style>
  <w:style w:type="paragraph" w:customStyle="1" w:styleId="affff1">
    <w:name w:val="注×："/>
    <w:semiHidden/>
    <w:pPr>
      <w:widowControl w:val="0"/>
      <w:numPr>
        <w:numId w:val="16"/>
      </w:numPr>
      <w:tabs>
        <w:tab w:val="clear" w:pos="900"/>
        <w:tab w:val="left" w:pos="630"/>
      </w:tabs>
      <w:autoSpaceDE w:val="0"/>
      <w:autoSpaceDN w:val="0"/>
      <w:jc w:val="both"/>
    </w:pPr>
    <w:rPr>
      <w:rFonts w:ascii="宋体"/>
      <w:sz w:val="18"/>
    </w:rPr>
  </w:style>
  <w:style w:type="paragraph" w:customStyle="1" w:styleId="affff2">
    <w:name w:val="工程建设无节条标题"/>
    <w:basedOn w:val="a"/>
    <w:next w:val="afb"/>
    <w:semiHidden/>
    <w:pPr>
      <w:numPr>
        <w:ilvl w:val="8"/>
        <w:numId w:val="8"/>
      </w:numPr>
      <w:tabs>
        <w:tab w:val="clear" w:pos="720"/>
      </w:tabs>
      <w:outlineLvl w:val="3"/>
    </w:pPr>
    <w:rPr>
      <w:szCs w:val="24"/>
    </w:rPr>
  </w:style>
  <w:style w:type="paragraph" w:customStyle="1" w:styleId="zwzzzzzzzzzzz1">
    <w:name w:val="样式 zwzzzzzzzzzzz + (符号) 宋体"/>
    <w:basedOn w:val="a"/>
    <w:pPr>
      <w:topLinePunct/>
      <w:spacing w:line="400" w:lineRule="exact"/>
      <w:ind w:firstLineChars="200" w:firstLine="440"/>
    </w:pPr>
    <w:rPr>
      <w:rFonts w:eastAsia="方正书宋简体" w:cs="宋体"/>
      <w:kern w:val="28"/>
      <w:sz w:val="22"/>
      <w:szCs w:val="22"/>
    </w:rPr>
  </w:style>
  <w:style w:type="paragraph" w:customStyle="1" w:styleId="affff3">
    <w:name w:val="五级无标题条"/>
    <w:basedOn w:val="a"/>
    <w:semiHidden/>
    <w:pPr>
      <w:numPr>
        <w:ilvl w:val="6"/>
        <w:numId w:val="15"/>
      </w:numPr>
    </w:pPr>
    <w:rPr>
      <w:rFonts w:ascii="黑体" w:eastAsia="黑体"/>
      <w:b/>
      <w:szCs w:val="24"/>
    </w:rPr>
  </w:style>
  <w:style w:type="paragraph" w:customStyle="1" w:styleId="affff4">
    <w:name w:val="术语定义三级条标题"/>
    <w:basedOn w:val="afd"/>
    <w:next w:val="afb"/>
    <w:semiHidden/>
    <w:pPr>
      <w:numPr>
        <w:ilvl w:val="2"/>
      </w:numPr>
      <w:tabs>
        <w:tab w:val="left" w:pos="720"/>
      </w:tabs>
    </w:pPr>
  </w:style>
  <w:style w:type="paragraph" w:customStyle="1" w:styleId="2424">
    <w:name w:val="样式 黑体 小二 居中 段前: 24 磅 段后: 24 磅"/>
    <w:basedOn w:val="a"/>
    <w:pPr>
      <w:spacing w:beforeLines="40" w:before="40" w:afterLines="40" w:after="40"/>
      <w:jc w:val="center"/>
    </w:pPr>
    <w:rPr>
      <w:rFonts w:ascii="黑体" w:eastAsia="黑体" w:cs="宋体"/>
      <w:kern w:val="28"/>
      <w:position w:val="6"/>
      <w:sz w:val="36"/>
      <w:szCs w:val="20"/>
    </w:rPr>
  </w:style>
  <w:style w:type="paragraph" w:customStyle="1" w:styleId="zwzzzzzzzzzzz3">
    <w:name w:val="样式 样式 zwzzzzzzzzzzz + 加粗 +"/>
    <w:basedOn w:val="zwzzzzzzzzzzz"/>
  </w:style>
  <w:style w:type="paragraph" w:customStyle="1" w:styleId="affff5">
    <w:name w:val="一级无标题条"/>
    <w:basedOn w:val="a"/>
    <w:semiHidden/>
    <w:pPr>
      <w:numPr>
        <w:ilvl w:val="2"/>
        <w:numId w:val="15"/>
      </w:numPr>
      <w:tabs>
        <w:tab w:val="left" w:pos="420"/>
      </w:tabs>
    </w:pPr>
    <w:rPr>
      <w:b/>
      <w:szCs w:val="24"/>
    </w:rPr>
  </w:style>
  <w:style w:type="paragraph" w:customStyle="1" w:styleId="zwzzzzzzzzzzz10">
    <w:name w:val="样式 样式 zwzzzzzzzzzzz + 加粗 +1"/>
    <w:basedOn w:val="zwzzzzzzzzzzz"/>
  </w:style>
  <w:style w:type="paragraph" w:customStyle="1" w:styleId="affff6">
    <w:name w:val="工程建设表标题"/>
    <w:basedOn w:val="affe"/>
    <w:semiHidden/>
    <w:pPr>
      <w:numPr>
        <w:ilvl w:val="4"/>
      </w:numPr>
      <w:jc w:val="center"/>
      <w:outlineLvl w:val="4"/>
    </w:pPr>
  </w:style>
  <w:style w:type="paragraph" w:customStyle="1" w:styleId="Times">
    <w:name w:val="样式 正文最终 + (西文) Times (中文) 方正书宋简体 加粗"/>
    <w:basedOn w:val="a"/>
    <w:pPr>
      <w:topLinePunct/>
      <w:adjustRightInd w:val="0"/>
      <w:snapToGrid w:val="0"/>
      <w:spacing w:line="360" w:lineRule="exact"/>
      <w:ind w:firstLineChars="200" w:firstLine="200"/>
    </w:pPr>
    <w:rPr>
      <w:rFonts w:ascii="Times" w:eastAsia="方正书宋简体" w:hAnsi="Times"/>
      <w:b/>
      <w:bCs/>
      <w:kern w:val="28"/>
      <w:sz w:val="22"/>
      <w:szCs w:val="22"/>
    </w:rPr>
  </w:style>
  <w:style w:type="paragraph" w:customStyle="1" w:styleId="affff7">
    <w:name w:val="字母编号列项（一级）"/>
    <w:semiHidden/>
    <w:pPr>
      <w:numPr>
        <w:ilvl w:val="1"/>
        <w:numId w:val="13"/>
      </w:numPr>
      <w:ind w:leftChars="200" w:left="200" w:hangingChars="200" w:hanging="200"/>
      <w:jc w:val="both"/>
    </w:pPr>
    <w:rPr>
      <w:rFonts w:ascii="宋体"/>
      <w:sz w:val="21"/>
    </w:rPr>
  </w:style>
  <w:style w:type="paragraph" w:customStyle="1" w:styleId="affff8">
    <w:name w:val="四级无标题条"/>
    <w:basedOn w:val="a"/>
    <w:semiHidden/>
    <w:pPr>
      <w:numPr>
        <w:ilvl w:val="5"/>
        <w:numId w:val="15"/>
      </w:numPr>
    </w:pPr>
    <w:rPr>
      <w:rFonts w:eastAsia="黑体"/>
      <w:b/>
      <w:szCs w:val="24"/>
    </w:rPr>
  </w:style>
  <w:style w:type="paragraph" w:customStyle="1" w:styleId="affff9">
    <w:name w:val="二级无标题条"/>
    <w:basedOn w:val="a"/>
    <w:semiHidden/>
    <w:pPr>
      <w:numPr>
        <w:ilvl w:val="3"/>
        <w:numId w:val="15"/>
      </w:numPr>
    </w:pPr>
    <w:rPr>
      <w:b/>
      <w:szCs w:val="24"/>
    </w:rPr>
  </w:style>
  <w:style w:type="paragraph" w:customStyle="1" w:styleId="affffa">
    <w:name w:val="注："/>
    <w:next w:val="afb"/>
    <w:semiHidden/>
    <w:pPr>
      <w:widowControl w:val="0"/>
      <w:numPr>
        <w:numId w:val="17"/>
      </w:numPr>
      <w:tabs>
        <w:tab w:val="clear" w:pos="1140"/>
      </w:tabs>
      <w:autoSpaceDE w:val="0"/>
      <w:autoSpaceDN w:val="0"/>
      <w:jc w:val="both"/>
    </w:pPr>
    <w:rPr>
      <w:rFonts w:ascii="宋体"/>
      <w:sz w:val="18"/>
    </w:rPr>
  </w:style>
  <w:style w:type="paragraph" w:customStyle="1" w:styleId="affffb">
    <w:name w:val="正文表标题续表"/>
    <w:basedOn w:val="affc"/>
    <w:next w:val="afb"/>
    <w:semiHidden/>
    <w:pPr>
      <w:numPr>
        <w:ilvl w:val="2"/>
        <w:numId w:val="18"/>
      </w:numPr>
    </w:pPr>
    <w:rPr>
      <w:b w:val="0"/>
    </w:rPr>
  </w:style>
  <w:style w:type="paragraph" w:customStyle="1" w:styleId="affffc">
    <w:name w:val="引言二级条标题"/>
    <w:basedOn w:val="aff1"/>
    <w:next w:val="afb"/>
    <w:semiHidden/>
    <w:pPr>
      <w:numPr>
        <w:ilvl w:val="1"/>
        <w:numId w:val="19"/>
      </w:numPr>
      <w:tabs>
        <w:tab w:val="clear" w:pos="720"/>
      </w:tabs>
    </w:pPr>
  </w:style>
  <w:style w:type="paragraph" w:customStyle="1" w:styleId="affffd">
    <w:name w:val="附录图标题"/>
    <w:basedOn w:val="afffc"/>
    <w:next w:val="afb"/>
    <w:semiHidden/>
    <w:pPr>
      <w:numPr>
        <w:numId w:val="20"/>
      </w:numPr>
      <w:tabs>
        <w:tab w:val="clear" w:pos="360"/>
        <w:tab w:val="left" w:pos="210"/>
      </w:tabs>
    </w:pPr>
  </w:style>
  <w:style w:type="paragraph" w:customStyle="1" w:styleId="affffe">
    <w:name w:val="术语定义二级条标题"/>
    <w:basedOn w:val="afd"/>
    <w:next w:val="afb"/>
    <w:semiHidden/>
    <w:pPr>
      <w:numPr>
        <w:ilvl w:val="1"/>
      </w:numPr>
      <w:tabs>
        <w:tab w:val="left" w:pos="720"/>
      </w:tabs>
    </w:pPr>
  </w:style>
  <w:style w:type="paragraph" w:customStyle="1" w:styleId="afffff">
    <w:name w:val="示例"/>
    <w:next w:val="afb"/>
    <w:semiHidden/>
    <w:pPr>
      <w:numPr>
        <w:numId w:val="21"/>
      </w:numPr>
      <w:tabs>
        <w:tab w:val="clear" w:pos="1140"/>
      </w:tabs>
      <w:ind w:left="0" w:firstLineChars="200" w:firstLine="200"/>
      <w:jc w:val="both"/>
    </w:pPr>
    <w:rPr>
      <w:rFonts w:ascii="宋体"/>
      <w:sz w:val="18"/>
    </w:rPr>
  </w:style>
  <w:style w:type="paragraph" w:customStyle="1" w:styleId="zw">
    <w:name w:val="zw"/>
    <w:basedOn w:val="af0"/>
    <w:pPr>
      <w:adjustRightInd w:val="0"/>
      <w:spacing w:line="240" w:lineRule="auto"/>
    </w:pPr>
  </w:style>
  <w:style w:type="paragraph" w:styleId="afffff0">
    <w:name w:val="Revision"/>
    <w:hidden/>
    <w:uiPriority w:val="99"/>
    <w:unhideWhenUsed/>
    <w:rsid w:val="00E3699D"/>
    <w:rPr>
      <w:rFonts w:eastAsia="仿宋_GB2312"/>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3878</Words>
  <Characters>22109</Characters>
  <Application>Microsoft Office Word</Application>
  <DocSecurity>0</DocSecurity>
  <Lines>184</Lines>
  <Paragraphs>51</Paragraphs>
  <ScaleCrop>false</ScaleCrop>
  <Company>微软中国</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GF-2014-0515</dc:title>
  <dc:subject/>
  <dc:creator>微软用户</dc:creator>
  <cp:keywords/>
  <dc:description/>
  <cp:lastModifiedBy>明灿 朱</cp:lastModifiedBy>
  <cp:revision>2</cp:revision>
  <cp:lastPrinted>2022-01-07T06:53:00Z</cp:lastPrinted>
  <dcterms:created xsi:type="dcterms:W3CDTF">2025-04-05T12:46:00Z</dcterms:created>
  <dcterms:modified xsi:type="dcterms:W3CDTF">2025-04-05T12:46:00Z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y fmtid="{D5CDD505-2E9C-101B-9397-08002B2CF9AE}" pid="3" name="ICV">
    <vt:lpwstr>231063B4124946C88536BB9980BCFF28</vt:lpwstr>
  </property>
</Properties>
</file>