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上海市地下管线跟踪测量技术服务合同</w:t>
      </w:r>
    </w:p>
    <w:p>
      <w:pPr>
        <w:pStyle w:val="Normal"/>
        <w:snapToGrid w:val="false"/>
        <w:spacing w:lineRule="auto" w:line="312"/>
        <w:rPr>
          <w:rFonts w:ascii="方正小标宋_GBK" w:hAnsi="方正小标宋_GBK" w:eastAsia="方正小标宋_GBK" w:cs="方正小标宋_GBK"/>
          <w:b w:val="false"/>
          <w:bCs w:val="false"/>
          <w:sz w:val="40"/>
          <w:szCs w:val="40"/>
        </w:rPr>
      </w:pPr>
      <w:r>
        <w:rPr>
          <w:rFonts w:eastAsia="方正小标宋_GBK" w:cs="方正小标宋_GBK" w:ascii="方正小标宋_GBK" w:hAnsi="方正小标宋_GBK"/>
          <w:b w:val="false"/>
          <w:bCs w:val="false"/>
          <w:sz w:val="40"/>
          <w:szCs w:val="40"/>
        </w:rPr>
      </w:r>
    </w:p>
    <w:p>
      <w:pPr>
        <w:pStyle w:val="Normal"/>
        <w:snapToGrid w:val="false"/>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示范文本</w:t>
      </w:r>
    </w:p>
    <w:p>
      <w:pPr>
        <w:pStyle w:val="Normal"/>
        <w:snapToGrid w:val="false"/>
        <w:spacing w:lineRule="auto" w:line="312"/>
        <w:rPr>
          <w:rFonts w:ascii="方正小标宋_GBK" w:hAnsi="方正小标宋_GBK" w:eastAsia="华文中宋;汉仪中宋简" w:cs="宋体;方正书宋_GBK"/>
          <w:b/>
          <w:bCs/>
          <w:sz w:val="40"/>
          <w:szCs w:val="28"/>
        </w:rPr>
      </w:pPr>
      <w:r>
        <w:rPr>
          <w:rFonts w:eastAsia="华文中宋;汉仪中宋简" w:cs="宋体;方正书宋_GBK" w:ascii="方正小标宋_GBK" w:hAnsi="方正小标宋_GBK"/>
          <w:b/>
          <w:bCs/>
          <w:sz w:val="40"/>
          <w:szCs w:val="28"/>
        </w:rPr>
      </w:r>
    </w:p>
    <w:p>
      <w:pPr>
        <w:pStyle w:val="Normal"/>
        <w:snapToGrid w:val="false"/>
        <w:jc w:val="center"/>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w:t>
      </w:r>
      <w:r>
        <w:rPr>
          <w:rFonts w:eastAsia="方正楷体_GBK" w:cs="方正楷体_GBK" w:ascii="方正楷体_GBK" w:hAnsi="方正楷体_GBK"/>
          <w:b w:val="false"/>
          <w:bCs w:val="false"/>
          <w:sz w:val="28"/>
          <w:szCs w:val="28"/>
        </w:rPr>
        <w:t>2012</w:t>
      </w:r>
      <w:r>
        <w:rPr>
          <w:rFonts w:ascii="方正楷体_GBK" w:hAnsi="方正楷体_GBK" w:cs="方正楷体_GBK" w:eastAsia="方正楷体_GBK"/>
          <w:b w:val="false"/>
          <w:bCs w:val="false"/>
          <w:sz w:val="28"/>
          <w:szCs w:val="28"/>
        </w:rPr>
        <w:t>版）</w:t>
      </w:r>
    </w:p>
    <w:p>
      <w:pPr>
        <w:pStyle w:val="Normal"/>
        <w:snapToGrid w:val="false"/>
        <w:spacing w:lineRule="auto" w:line="312"/>
        <w:rPr>
          <w:rFonts w:ascii="方正楷体_GBK" w:hAnsi="方正楷体_GBK" w:eastAsia="华文中宋;汉仪中宋简" w:cs="宋体;方正书宋_GBK"/>
          <w:b/>
          <w:bCs/>
          <w:sz w:val="28"/>
          <w:szCs w:val="28"/>
        </w:rPr>
      </w:pPr>
      <w:r>
        <w:rPr>
          <w:rFonts w:eastAsia="华文中宋;汉仪中宋简" w:cs="宋体;方正书宋_GBK" w:ascii="方正楷体_GBK" w:hAnsi="方正楷体_GBK"/>
          <w:b/>
          <w:bCs/>
          <w:sz w:val="28"/>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rPr>
          <w:rFonts w:eastAsia="华文中宋;汉仪中宋简" w:cs="宋体;方正书宋_GBK"/>
          <w:b/>
          <w:bCs/>
          <w:szCs w:val="28"/>
        </w:rPr>
      </w:pPr>
      <w:r>
        <w:rPr>
          <w:rFonts w:eastAsia="华文中宋;汉仪中宋简" w:cs="宋体;方正书宋_GBK"/>
          <w:b/>
          <w:bCs/>
          <w:szCs w:val="28"/>
        </w:rPr>
      </w:r>
    </w:p>
    <w:p>
      <w:pPr>
        <w:pStyle w:val="Normal"/>
        <w:tabs>
          <w:tab w:val="clear" w:pos="420"/>
          <w:tab w:val="left" w:pos="1656" w:leader="none"/>
          <w:tab w:val="left" w:pos="5520" w:leader="none"/>
        </w:tabs>
        <w:snapToGrid w:val="false"/>
        <w:spacing w:lineRule="auto" w:line="276"/>
        <w:ind w:firstLine="2552" w:end="0"/>
        <w:rPr>
          <w:rFonts w:ascii="黑体" w:hAnsi="黑体" w:eastAsia="黑体"/>
          <w:sz w:val="30"/>
        </w:rPr>
      </w:pPr>
      <w:r>
        <w:rPr>
          <w:rFonts w:ascii="黑体" w:hAnsi="黑体" w:eastAsia="黑体"/>
          <w:sz w:val="30"/>
        </w:rPr>
        <w:t>上海市工商行政管理局</w:t>
      </w:r>
      <w:r>
        <mc:AlternateContent>
          <mc:Choice Requires="wps">
            <w:drawing>
              <wp:anchor behindDoc="0" distT="0" distB="0" distL="114935" distR="114935" simplePos="0" locked="0" layoutInCell="1" allowOverlap="1" relativeHeight="2">
                <wp:simplePos x="0" y="0"/>
                <wp:positionH relativeFrom="column">
                  <wp:posOffset>3524250</wp:posOffset>
                </wp:positionH>
                <wp:positionV relativeFrom="paragraph">
                  <wp:posOffset>117475</wp:posOffset>
                </wp:positionV>
                <wp:extent cx="613410" cy="299720"/>
                <wp:effectExtent l="0" t="0" r="0" b="0"/>
                <wp:wrapNone/>
                <wp:docPr id="1" name="Frame1"/>
                <a:graphic xmlns:a="http://schemas.openxmlformats.org/drawingml/2006/main">
                  <a:graphicData uri="http://schemas.microsoft.com/office/word/2010/wordprocessingShape">
                    <wps:wsp>
                      <wps:cNvSpPr txBox="1"/>
                      <wps:spPr>
                        <a:xfrm>
                          <a:off x="0" y="0"/>
                          <a:ext cx="613410" cy="299720"/>
                        </a:xfrm>
                        <a:prstGeom prst="rect"/>
                        <a:solidFill>
                          <a:srgbClr val="FFFFFF">
                            <a:alpha val="0"/>
                          </a:srgbClr>
                        </a:solidFill>
                      </wps:spPr>
                      <wps:txbx>
                        <w:txbxContent>
                          <w:p>
                            <w:pPr>
                              <w:pStyle w:val="2"/>
                              <w:tabs>
                                <w:tab w:val="clear" w:pos="420"/>
                                <w:tab w:val="left" w:pos="276" w:leader="none"/>
                              </w:tabs>
                              <w:snapToGrid w:val="false"/>
                              <w:spacing w:before="0" w:after="120"/>
                              <w:rPr>
                                <w:rFonts w:ascii="黑体" w:hAnsi="黑体" w:eastAsia="黑体"/>
                                <w:sz w:val="30"/>
                              </w:rPr>
                            </w:pPr>
                            <w:r>
                              <w:rPr>
                                <w:rFonts w:ascii="黑体" w:hAnsi="黑体" w:eastAsia="黑体"/>
                                <w:sz w:val="30"/>
                              </w:rPr>
                              <w:t>制定</w:t>
                            </w:r>
                          </w:p>
                        </w:txbxContent>
                      </wps:txbx>
                      <wps:bodyPr anchor="t" lIns="92075" tIns="46355" rIns="92075" bIns="46355">
                        <a:noAutofit/>
                      </wps:bodyPr>
                    </wps:wsp>
                  </a:graphicData>
                </a:graphic>
              </wp:anchor>
            </w:drawing>
          </mc:Choice>
          <mc:Fallback>
            <w:pict>
              <v:rect fillcolor="#FFFFFF" style="position:absolute;rotation:-0;width:48.3pt;height:23.6pt;mso-wrap-distance-left:9.05pt;mso-wrap-distance-right:9.05pt;mso-wrap-distance-top:0pt;mso-wrap-distance-bottom:0pt;margin-top:9.25pt;mso-position-vertical-relative:text;margin-left:277.5pt;mso-position-horizontal-relative:text">
                <v:fill opacity="0f"/>
                <v:textbox inset="0.100694444444444in,0.0506944444444444in,0.100694444444444in,0.0506944444444444in">
                  <w:txbxContent>
                    <w:p>
                      <w:pPr>
                        <w:pStyle w:val="2"/>
                        <w:tabs>
                          <w:tab w:val="clear" w:pos="420"/>
                          <w:tab w:val="left" w:pos="276" w:leader="none"/>
                        </w:tabs>
                        <w:snapToGrid w:val="false"/>
                        <w:spacing w:before="0" w:after="120"/>
                        <w:rPr>
                          <w:rFonts w:ascii="黑体" w:hAnsi="黑体" w:eastAsia="黑体"/>
                          <w:sz w:val="30"/>
                        </w:rPr>
                      </w:pPr>
                      <w:r>
                        <w:rPr>
                          <w:rFonts w:ascii="黑体" w:hAnsi="黑体" w:eastAsia="黑体"/>
                          <w:sz w:val="30"/>
                        </w:rPr>
                        <w:t>制定</w:t>
                      </w:r>
                    </w:p>
                  </w:txbxContent>
                </v:textbox>
                <w10:wrap type="none"/>
              </v:rect>
            </w:pict>
          </mc:Fallback>
        </mc:AlternateContent>
      </w:r>
    </w:p>
    <w:p>
      <w:pPr>
        <w:pStyle w:val="Normal"/>
        <w:tabs>
          <w:tab w:val="clear" w:pos="420"/>
          <w:tab w:val="left" w:pos="1656" w:leader="none"/>
          <w:tab w:val="left" w:pos="5520" w:leader="none"/>
        </w:tabs>
        <w:snapToGrid w:val="false"/>
        <w:spacing w:lineRule="auto" w:line="276"/>
        <w:ind w:firstLine="2552" w:end="0"/>
        <w:rPr>
          <w:rFonts w:ascii="黑体" w:hAnsi="黑体" w:eastAsia="黑体"/>
          <w:sz w:val="30"/>
        </w:rPr>
      </w:pPr>
      <w:r>
        <w:rPr>
          <w:rFonts w:ascii="黑体" w:hAnsi="黑体" w:eastAsia="黑体"/>
          <w:sz w:val="30"/>
        </w:rPr>
        <w:t>上海市测绘管理办公室</w:t>
      </w:r>
    </w:p>
    <w:p>
      <w:pPr>
        <w:pStyle w:val="Normal"/>
        <w:snapToGrid w:val="false"/>
        <w:spacing w:lineRule="auto" w:line="312"/>
        <w:rPr>
          <w:rFonts w:ascii="黑体" w:hAnsi="黑体" w:eastAsia="华文中宋;汉仪中宋简" w:cs="宋体;方正书宋_GBK"/>
          <w:b/>
          <w:bCs/>
          <w:sz w:val="30"/>
          <w:szCs w:val="28"/>
        </w:rPr>
      </w:pPr>
      <w:r>
        <w:rPr>
          <w:rFonts w:eastAsia="华文中宋;汉仪中宋简" w:cs="宋体;方正书宋_GBK" w:ascii="黑体" w:hAnsi="黑体"/>
          <w:b/>
          <w:bCs/>
          <w:sz w:val="30"/>
          <w:szCs w:val="28"/>
        </w:rPr>
      </w:r>
    </w:p>
    <w:p>
      <w:pPr>
        <w:pStyle w:val="Normal"/>
        <w:snapToGrid w:val="false"/>
        <w:spacing w:lineRule="auto" w:line="312"/>
        <w:rPr>
          <w:rFonts w:eastAsia="华文中宋;汉仪中宋简" w:cs="宋体;方正书宋_GBK"/>
          <w:b/>
          <w:bCs/>
          <w:szCs w:val="28"/>
        </w:rPr>
      </w:pPr>
      <w:r>
        <w:rPr>
          <w:rFonts w:eastAsia="华文中宋;汉仪中宋简" w:cs="宋体;方正书宋_GBK"/>
          <w:b/>
          <w:bCs/>
          <w:szCs w:val="28"/>
        </w:rPr>
      </w:r>
    </w:p>
    <w:p>
      <w:pPr>
        <w:pStyle w:val="Normal"/>
        <w:snapToGrid w:val="false"/>
        <w:spacing w:lineRule="auto" w:line="312"/>
        <w:rPr>
          <w:rFonts w:eastAsia="华文中宋;汉仪中宋简"/>
          <w:b/>
          <w:bCs/>
        </w:rPr>
      </w:pPr>
      <w:r>
        <w:rPr>
          <w:rFonts w:eastAsia="华文中宋;汉仪中宋简"/>
          <w:b/>
          <w:bCs/>
        </w:rPr>
      </w:r>
    </w:p>
    <w:p>
      <w:pPr>
        <w:pStyle w:val="Normal"/>
        <w:snapToGrid w:val="false"/>
        <w:spacing w:lineRule="auto" w:line="312"/>
        <w:rPr>
          <w:rFonts w:eastAsia="华文中宋;汉仪中宋简"/>
          <w:b/>
          <w:bCs/>
        </w:rPr>
      </w:pPr>
      <w:r>
        <w:rPr>
          <w:rFonts w:eastAsia="华文中宋;汉仪中宋简"/>
          <w:b/>
          <w:bCs/>
        </w:rPr>
      </w:r>
    </w:p>
    <w:p>
      <w:pPr>
        <w:pStyle w:val="Normal"/>
        <w:snapToGrid w:val="false"/>
        <w:spacing w:lineRule="auto" w:line="312"/>
        <w:rPr>
          <w:rFonts w:eastAsia="华文中宋;汉仪中宋简"/>
          <w:b/>
          <w:bCs/>
        </w:rPr>
      </w:pPr>
      <w:r>
        <w:rPr>
          <w:rFonts w:eastAsia="华文中宋;汉仪中宋简"/>
          <w:b/>
          <w:bCs/>
        </w:rPr>
      </w:r>
    </w:p>
    <w:p>
      <w:pPr>
        <w:pStyle w:val="Normal"/>
        <w:snapToGrid w:val="false"/>
        <w:spacing w:lineRule="auto" w:line="312"/>
        <w:rPr>
          <w:rFonts w:eastAsia="华文中宋;汉仪中宋简"/>
          <w:b/>
          <w:bCs/>
        </w:rPr>
      </w:pPr>
      <w:r>
        <w:rPr>
          <w:rFonts w:eastAsia="华文中宋;汉仪中宋简"/>
          <w:b/>
          <w:bCs/>
        </w:rPr>
      </w:r>
    </w:p>
    <w:p>
      <w:pPr>
        <w:pStyle w:val="Normal"/>
        <w:snapToGrid w:val="false"/>
        <w:jc w:val="center"/>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使用说明</w:t>
      </w:r>
    </w:p>
    <w:p>
      <w:pPr>
        <w:pStyle w:val="Normal"/>
        <w:snapToGrid w:val="false"/>
        <w:spacing w:lineRule="auto" w:line="312"/>
        <w:ind w:firstLine="567" w:end="0"/>
        <w:rPr>
          <w:rFonts w:ascii="方正黑体_GBK" w:hAnsi="方正黑体_GBK" w:eastAsia="方正黑体_GBK" w:cs="方正黑体_GBK"/>
          <w:b/>
          <w:sz w:val="28"/>
          <w:szCs w:val="28"/>
        </w:rPr>
      </w:pPr>
      <w:r>
        <w:rPr>
          <w:rFonts w:eastAsia="方正黑体_GBK" w:cs="方正黑体_GBK" w:ascii="方正黑体_GBK" w:hAnsi="方正黑体_GBK"/>
          <w:b/>
          <w:sz w:val="28"/>
          <w:szCs w:val="28"/>
        </w:rPr>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一、本合同文本是根据《中华人民共和国合同法》、《中华人民共和国测绘法》等有关法律法规制定的示范文本，供当事人约定采用。签订合同前，请仔细阅读。</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二、本合同适用范围包括对埋设于市政道路、郊县公路及规划道路内的电力、信息、给水、排水、燃气以及热力、气体、油料、化工物料等特种管线以及过路构筑物、综合管沟等的跟踪测量技术服务。</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三、本合同所指甲方为管线工程建设单位，乙方为具有地下管线测量业务范围的测绘资质单位。</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四、委托代理人在签订本合同时，应出具授权委托书。</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五、本合同中凡是当事人约定认为无需填写的条款，应在该填写的空白处划（</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）表示。</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六、本合同文本自</w:t>
      </w:r>
      <w:r>
        <w:rPr>
          <w:rFonts w:eastAsia="方正书宋_GBK" w:cs="方正书宋_GBK" w:ascii="方正书宋_GBK" w:hAnsi="方正书宋_GBK"/>
          <w:sz w:val="22"/>
          <w:szCs w:val="22"/>
        </w:rPr>
        <w:t>2012</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27</w:t>
      </w:r>
      <w:r>
        <w:rPr>
          <w:rFonts w:ascii="方正书宋_GBK" w:hAnsi="方正书宋_GBK" w:cs="方正书宋_GBK" w:eastAsia="方正书宋_GBK"/>
          <w:sz w:val="22"/>
          <w:szCs w:val="22"/>
        </w:rPr>
        <w:t>日起使用。今后在未制定新的版本前，本版本延续使用。</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spacing w:lineRule="auto" w:line="312"/>
        <w:ind w:firstLine="567" w:end="0"/>
        <w:rPr/>
      </w:pPr>
      <w:r>
        <w:rPr/>
      </w:r>
    </w:p>
    <w:p>
      <w:pPr>
        <w:pStyle w:val="Normal"/>
        <w:snapToGrid w:val="false"/>
        <w:rPr>
          <w:rFonts w:ascii="楷体_GB2312" w:hAnsi="楷体_GB2312" w:eastAsia="楷体_GB2312"/>
          <w:bCs/>
          <w:sz w:val="28"/>
          <w:szCs w:val="28"/>
        </w:rPr>
      </w:pPr>
      <w:bookmarkStart w:id="0" w:name="dHT00"/>
      <w:bookmarkEnd w:id="0"/>
      <w:r>
        <w:rPr>
          <w:rFonts w:ascii="楷体_GB2312" w:hAnsi="楷体_GB2312" w:cs="楷体_GB2312" w:eastAsia="楷体_GB2312"/>
          <w:bCs/>
        </w:rPr>
        <w:t xml:space="preserve"> </w:t>
      </w:r>
      <w:r>
        <w:rPr>
          <w:rFonts w:ascii="楷体_GB2312" w:hAnsi="楷体_GB2312" w:eastAsia="楷体_GB2312"/>
          <w:bCs/>
          <w:sz w:val="28"/>
          <w:szCs w:val="28"/>
        </w:rPr>
        <w:t>合同编号：</w:t>
      </w:r>
      <w:r>
        <w:rPr>
          <w:rFonts w:ascii="楷体_GB2312" w:hAnsi="楷体_GB2312" w:eastAsia="楷体_GB2312"/>
          <w:bCs/>
          <w:sz w:val="28"/>
          <w:szCs w:val="28"/>
          <w:u w:val="single"/>
        </w:rPr>
        <w:t xml:space="preserve">           </w:t>
      </w:r>
    </w:p>
    <w:p>
      <w:pPr>
        <w:pStyle w:val="Normal"/>
        <w:snapToGrid w:val="false"/>
        <w:ind w:firstLine="567" w:end="0"/>
        <w:rPr>
          <w:rFonts w:ascii="楷体_GB2312" w:hAnsi="楷体_GB2312" w:eastAsia="楷体_GB2312"/>
          <w:bCs/>
          <w:sz w:val="28"/>
          <w:szCs w:val="28"/>
        </w:rPr>
      </w:pPr>
      <w:r>
        <w:rPr>
          <w:rFonts w:eastAsia="楷体_GB2312" w:ascii="楷体_GB2312" w:hAnsi="楷体_GB2312"/>
          <w:bCs/>
          <w:sz w:val="28"/>
          <w:szCs w:val="28"/>
        </w:rPr>
      </w:r>
    </w:p>
    <w:p>
      <w:pPr>
        <w:pStyle w:val="Normal"/>
        <w:snapToGrid w:val="false"/>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上海市地下管线跟踪测量技术服务合同</w:t>
      </w:r>
    </w:p>
    <w:p>
      <w:pPr>
        <w:pStyle w:val="Normal"/>
        <w:snapToGrid w:val="false"/>
        <w:jc w:val="center"/>
        <w:rPr>
          <w:rFonts w:ascii="宋体;方正书宋_GBK" w:hAnsi="宋体;方正书宋_GBK" w:eastAsia="宋体;方正书宋_GBK"/>
          <w:b/>
          <w:sz w:val="36"/>
          <w:szCs w:val="44"/>
        </w:rPr>
      </w:pPr>
      <w:r>
        <w:rPr>
          <w:rFonts w:ascii="方正楷体_GBK" w:hAnsi="方正楷体_GBK" w:cs="方正楷体_GBK" w:eastAsia="方正楷体_GBK"/>
          <w:b w:val="false"/>
          <w:bCs/>
          <w:sz w:val="28"/>
          <w:szCs w:val="28"/>
        </w:rPr>
        <w:t>（</w:t>
      </w:r>
      <w:r>
        <w:rPr>
          <w:rFonts w:eastAsia="方正楷体_GBK" w:cs="方正楷体_GBK" w:ascii="方正楷体_GBK" w:hAnsi="方正楷体_GBK"/>
          <w:b w:val="false"/>
          <w:bCs/>
          <w:sz w:val="28"/>
          <w:szCs w:val="28"/>
        </w:rPr>
        <w:t>2012</w:t>
      </w:r>
      <w:r>
        <w:rPr>
          <w:rFonts w:ascii="方正楷体_GBK" w:hAnsi="方正楷体_GBK" w:cs="方正楷体_GBK" w:eastAsia="方正楷体_GBK"/>
          <w:b w:val="false"/>
          <w:bCs/>
          <w:sz w:val="28"/>
          <w:szCs w:val="28"/>
        </w:rPr>
        <w:t>版）</w:t>
      </w:r>
    </w:p>
    <w:p>
      <w:pPr>
        <w:pStyle w:val="Normal"/>
        <w:snapToGrid w:val="false"/>
        <w:spacing w:lineRule="auto" w:line="300"/>
        <w:rPr>
          <w:rFonts w:ascii="宋体;方正书宋_GBK" w:hAnsi="宋体;方正书宋_GBK" w:eastAsia="宋体;方正书宋_GBK" w:cs="宋体;方正书宋_GBK"/>
          <w:b/>
          <w:bCs/>
          <w:sz w:val="36"/>
          <w:szCs w:val="28"/>
        </w:rPr>
      </w:pPr>
      <w:r>
        <w:rPr>
          <w:rFonts w:eastAsia="宋体;方正书宋_GBK" w:cs="宋体;方正书宋_GBK" w:ascii="宋体;方正书宋_GBK" w:hAnsi="宋体;方正书宋_GBK"/>
          <w:b/>
          <w:bCs/>
          <w:sz w:val="36"/>
          <w:szCs w:val="28"/>
        </w:rPr>
      </w:r>
    </w:p>
    <w:p>
      <w:pPr>
        <w:pStyle w:val="Normal"/>
        <w:snapToGrid w:val="false"/>
        <w:spacing w:lineRule="auto" w:line="300"/>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甲方（委托方）</w:t>
      </w:r>
      <w:r>
        <w:rPr>
          <w:rFonts w:ascii="方正书宋_GBK" w:hAnsi="方正书宋_GBK" w:cs="方正书宋_GBK" w:eastAsia="方正书宋_GBK"/>
          <w:bCs/>
          <w:sz w:val="22"/>
          <w:szCs w:val="22"/>
          <w:u w:val="single"/>
        </w:rPr>
        <w:t xml:space="preserve"> </w:t>
      </w:r>
      <w:bookmarkStart w:id="1" w:name="dHT03"/>
      <w:r>
        <w:rPr>
          <w:rFonts w:ascii="方正书宋_GBK" w:hAnsi="方正书宋_GBK" w:cs="方正书宋_GBK" w:eastAsia="方正书宋_GBK"/>
          <w:bCs/>
          <w:sz w:val="22"/>
          <w:szCs w:val="22"/>
          <w:u w:val="single"/>
        </w:rPr>
        <w:t xml:space="preserve">                                                </w:t>
      </w:r>
      <w:bookmarkEnd w:id="1"/>
    </w:p>
    <w:p>
      <w:pPr>
        <w:pStyle w:val="Normal"/>
        <w:snapToGrid w:val="false"/>
        <w:spacing w:lineRule="auto" w:line="300"/>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乙方（受托方）</w:t>
      </w:r>
      <w:r>
        <w:rPr>
          <w:rFonts w:ascii="方正书宋_GBK" w:hAnsi="方正书宋_GBK" w:cs="方正书宋_GBK" w:eastAsia="方正书宋_GBK"/>
          <w:bCs/>
          <w:sz w:val="22"/>
          <w:szCs w:val="22"/>
          <w:u w:val="single"/>
        </w:rPr>
        <w:t xml:space="preserve"> </w:t>
      </w:r>
      <w:bookmarkStart w:id="2" w:name="dHT04"/>
      <w:r>
        <w:rPr>
          <w:rFonts w:ascii="方正书宋_GBK" w:hAnsi="方正书宋_GBK" w:cs="方正书宋_GBK" w:eastAsia="方正书宋_GBK"/>
          <w:bCs/>
          <w:sz w:val="22"/>
          <w:szCs w:val="22"/>
          <w:u w:val="single"/>
        </w:rPr>
        <w:t xml:space="preserve">                                                </w:t>
      </w:r>
      <w:bookmarkEnd w:id="2"/>
    </w:p>
    <w:p>
      <w:pPr>
        <w:pStyle w:val="Normal"/>
        <w:snapToGrid w:val="false"/>
        <w:spacing w:lineRule="auto" w:line="300"/>
        <w:ind w:firstLine="567" w:end="0"/>
        <w:rPr>
          <w:rFonts w:ascii="方正书宋_GBK" w:hAnsi="方正书宋_GBK" w:eastAsia="方正书宋_GBK" w:cs="方正书宋_GBK"/>
          <w:bCs/>
          <w:sz w:val="22"/>
          <w:szCs w:val="22"/>
          <w:u w:val="single"/>
        </w:rPr>
      </w:pPr>
      <w:r>
        <w:rPr>
          <w:rFonts w:eastAsia="方正书宋_GBK" w:cs="方正书宋_GBK" w:ascii="方正书宋_GBK" w:hAnsi="方正书宋_GBK"/>
          <w:bCs/>
          <w:sz w:val="22"/>
          <w:szCs w:val="22"/>
          <w:u w:val="single"/>
        </w:rPr>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根据《中华人民共和国合同法》、《中华人民共和国测绘法》以及其他有关法律法规的规定，遵循平等、自愿、公平和诚实信用的原则，甲、乙双方就地下管线跟踪测量技术服务事项协商一致，签订本合同。</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工程概况</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 程 编 号：</w:t>
      </w:r>
      <w:r>
        <w:rPr>
          <w:rFonts w:ascii="方正书宋_GBK" w:hAnsi="方正书宋_GBK" w:cs="方正书宋_GBK" w:eastAsia="方正书宋_GBK"/>
          <w:sz w:val="22"/>
          <w:szCs w:val="22"/>
          <w:u w:val="single"/>
        </w:rPr>
        <w:t xml:space="preserve">  </w:t>
      </w:r>
      <w:bookmarkStart w:id="3" w:name="dHT01"/>
      <w:r>
        <w:rPr>
          <w:rFonts w:ascii="方正书宋_GBK" w:hAnsi="方正书宋_GBK" w:cs="方正书宋_GBK" w:eastAsia="方正书宋_GBK"/>
          <w:sz w:val="22"/>
          <w:szCs w:val="22"/>
          <w:u w:val="single"/>
        </w:rPr>
        <w:t xml:space="preserve">                       </w:t>
      </w:r>
      <w:bookmarkEnd w:id="3"/>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 程 名 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 设 单 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施 工 单 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工程执照编号：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工程所属区县：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合同标的</w:t>
      </w:r>
    </w:p>
    <w:p>
      <w:pPr>
        <w:pStyle w:val="Normal"/>
        <w:tabs>
          <w:tab w:val="clear" w:pos="420"/>
          <w:tab w:val="left" w:pos="8694" w:leader="none"/>
        </w:tabs>
        <w:snapToGrid w:val="false"/>
        <w:spacing w:lineRule="auto" w:line="300"/>
        <w:ind w:firstLine="567"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．跟踪测量技术服务范围：</w:t>
      </w:r>
      <w:r>
        <w:rPr>
          <w:rFonts w:ascii="方正书宋_GBK" w:hAnsi="方正书宋_GBK" w:cs="方正书宋_GBK" w:eastAsia="方正书宋_GBK"/>
          <w:sz w:val="22"/>
          <w:szCs w:val="22"/>
          <w:u w:val="single"/>
        </w:rPr>
        <w:t xml:space="preserve">                                   </w:t>
      </w:r>
    </w:p>
    <w:p>
      <w:pPr>
        <w:pStyle w:val="Normal"/>
        <w:tabs>
          <w:tab w:val="clear" w:pos="420"/>
          <w:tab w:val="left" w:pos="8694" w:leader="none"/>
        </w:tabs>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．跟踪测量技术服务内容：</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）管线类别（请在选择项中打“√”）</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电力　 □ 信息　 □ 给水　 □ 排水　 □ 燃气　 □ 特种</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）管线长度：</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米，根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孔数：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跟踪测量技术服务标准</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双方约定跟踪测量技术服务的标准按下列第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项执行。</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1:500</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l:1000</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1:2000</w:t>
      </w:r>
      <w:r>
        <w:rPr>
          <w:rFonts w:ascii="方正书宋_GBK" w:hAnsi="方正书宋_GBK" w:cs="方正书宋_GBK" w:eastAsia="方正书宋_GBK"/>
          <w:sz w:val="22"/>
          <w:szCs w:val="22"/>
        </w:rPr>
        <w:t>地形图图式（</w:t>
      </w:r>
      <w:r>
        <w:rPr>
          <w:rFonts w:eastAsia="方正书宋_GBK" w:cs="方正书宋_GBK" w:ascii="方正书宋_GBK" w:hAnsi="方正书宋_GBK"/>
          <w:sz w:val="22"/>
          <w:szCs w:val="22"/>
        </w:rPr>
        <w:t>GB/T7929</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．城市地下管线探测技术规程（</w:t>
      </w:r>
      <w:r>
        <w:rPr>
          <w:rFonts w:eastAsia="方正书宋_GBK" w:cs="方正书宋_GBK" w:ascii="方正书宋_GBK" w:hAnsi="方正书宋_GBK"/>
          <w:sz w:val="22"/>
          <w:szCs w:val="22"/>
        </w:rPr>
        <w:t>CJJ61</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．城市测量规范（</w:t>
      </w:r>
      <w:r>
        <w:rPr>
          <w:rFonts w:eastAsia="方正书宋_GBK" w:cs="方正书宋_GBK" w:ascii="方正书宋_GBK" w:hAnsi="方正书宋_GBK"/>
          <w:sz w:val="22"/>
          <w:szCs w:val="22"/>
        </w:rPr>
        <w:t>CJJ/T8</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．地下管线测绘规范（</w:t>
      </w:r>
      <w:r>
        <w:rPr>
          <w:rFonts w:eastAsia="方正书宋_GBK" w:cs="方正书宋_GBK" w:ascii="方正书宋_GBK" w:hAnsi="方正书宋_GBK"/>
          <w:sz w:val="22"/>
          <w:szCs w:val="22"/>
        </w:rPr>
        <w:t>DG/TJ08-85</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1:500</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1:1000</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1:2000</w:t>
      </w:r>
      <w:r>
        <w:rPr>
          <w:rFonts w:ascii="方正书宋_GBK" w:hAnsi="方正书宋_GBK" w:cs="方正书宋_GBK" w:eastAsia="方正书宋_GBK"/>
          <w:sz w:val="22"/>
          <w:szCs w:val="22"/>
        </w:rPr>
        <w:t>数字地形测量规范（</w:t>
      </w:r>
      <w:r>
        <w:rPr>
          <w:rFonts w:eastAsia="方正书宋_GBK" w:cs="方正书宋_GBK" w:ascii="方正书宋_GBK" w:hAnsi="方正书宋_GBK"/>
          <w:sz w:val="22"/>
          <w:szCs w:val="22"/>
        </w:rPr>
        <w:t>DG/TJ08-86</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．《上海市地下管线跟踪测量质量监督检查实施办法》</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跟踪测量技术服务期限</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跟踪测量技术服务的期限：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费用核算</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测量费用总计人民币（大写）为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元（见附件</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支付方式</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工作日内，甲方向乙方预付本合同总费用的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．剩余费用按以下第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种方式支付。</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）一次性支付。</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）分期支付（ 请在选择项中打“√” ）：</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乙方将测量报告送检之日起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工作日内，甲方支付合同费用的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乙方交付测量报告和检验报告时，甲方付清剩余费用。</w:t>
      </w:r>
    </w:p>
    <w:p>
      <w:pPr>
        <w:pStyle w:val="Normal"/>
        <w:snapToGrid w:val="false"/>
        <w:spacing w:lineRule="auto" w:line="300"/>
        <w:ind w:firstLine="567"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报告交付</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．测量报告交付时间为：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．检验报告交付时间为：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．乙方交付测量报告一式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第八条　甲方的权利和义务</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．甲方指定专人为代表，负责与乙方联系。甲方在覆土前应负责及时通知乙方进行管线跟踪测量。如甲方代表发生变更，甲方应及时书面告知乙方。</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．甲方应于工程施工前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个工作日内向乙方提供附件</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所列的与本工程有关的资料，并对资料的真实性负责。</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．工程开工时，甲方应及时通知乙方、规划管理部门、施工单位的相关人员到施工现场，就施工周期、工作责任等内容进行现场确认。</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．甲方负责乙方测量队伍顺利进入施工现场进行工作，负责乙方与本工程有关的第三方的协调，为乙方提供必要的工作条件。</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乙方的权利和义务</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．乙方应在签订合同时，向甲方提供有关资料，包括测绘资质证书、组织机构代码证及其附表的复印件，并指定专人负责与甲方联系。</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．乙方应在签订本合同后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个工作日内向上海市测绘管理办公室进行测量项目登记。</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．乙方接到甲方开工通知后，应赴施工现场确定测量周期和工作责任等相关内容。乙方应当在测量期间及时向上海市测绘管理办公室报检。</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．乙方应在管线跟踪测量结束后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个工作日内将测量报告送检。</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．乙方在现场开展测量工作时应遵守工程安全管理及其他工程现场管理制度。</w:t>
      </w:r>
    </w:p>
    <w:p>
      <w:pPr>
        <w:pStyle w:val="Normal"/>
        <w:snapToGrid w:val="false"/>
        <w:spacing w:lineRule="auto" w:line="300"/>
        <w:ind w:firstLine="567" w:end="0"/>
        <w:rPr>
          <w:rFonts w:ascii="方正黑体_GBK" w:hAnsi="方正黑体_GBK" w:eastAsia="方正黑体_GBK" w:cs="方正黑体_GBK"/>
          <w:sz w:val="22"/>
          <w:szCs w:val="22"/>
        </w:rPr>
      </w:pPr>
      <w:bookmarkStart w:id="4" w:name="dHTday"/>
      <w:bookmarkStart w:id="5" w:name="dHTmonth"/>
      <w:bookmarkStart w:id="6" w:name="dHTyear"/>
      <w:bookmarkEnd w:id="4"/>
      <w:bookmarkEnd w:id="5"/>
      <w:bookmarkEnd w:id="6"/>
      <w:r>
        <w:rPr>
          <w:rFonts w:ascii="方正黑体_GBK" w:hAnsi="方正黑体_GBK" w:cs="方正黑体_GBK" w:eastAsia="方正黑体_GBK"/>
          <w:sz w:val="22"/>
          <w:szCs w:val="22"/>
        </w:rPr>
        <w:t>第十条　违约责任</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pacing w:val="8"/>
          <w:sz w:val="22"/>
          <w:szCs w:val="22"/>
        </w:rPr>
        <w:t>甲方逾期支付测量费用的，应每天按照逾期支付部分测量费用</w:t>
      </w:r>
      <w:r>
        <w:rPr>
          <w:rFonts w:ascii="方正书宋_GBK" w:hAnsi="方正书宋_GBK" w:cs="方正书宋_GBK" w:eastAsia="方正书宋_GBK"/>
          <w:sz w:val="22"/>
          <w:szCs w:val="22"/>
        </w:rPr>
        <w:t>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．甲方未在地下管线覆土前通知乙方实施跟踪测量的，给乙方造成损失的应予以赔偿。</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．乙方逾期提交检验报告的，应每天按照测量费用的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向甲方支付违约金。</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．乙方逾期实施跟踪测量，且施工现场已经覆土不能实施跟踪测量，导致补测、重测或探测，给甲方造成损失的应予以赔偿。</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．测量报告不符合合同约定标准，乙方必须重测，给甲方造成损失的应予以赔偿。</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．其他违约责任：</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其他约定事项</w:t>
      </w:r>
    </w:p>
    <w:p>
      <w:pPr>
        <w:pStyle w:val="Normal"/>
        <w:snapToGrid w:val="false"/>
        <w:spacing w:lineRule="auto" w:line="300"/>
        <w:ind w:firstLine="567"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　争议解决方式</w:t>
      </w:r>
    </w:p>
    <w:p>
      <w:pPr>
        <w:pStyle w:val="Normal"/>
        <w:snapToGrid w:val="false"/>
        <w:spacing w:lineRule="auto" w:line="300"/>
        <w:ind w:firstLine="567" w:end="0"/>
        <w:rPr>
          <w:rFonts w:ascii="方正书宋_GBK" w:hAnsi="方正书宋_GBK" w:eastAsia="方正书宋_GBK" w:cs="方正书宋_GBK"/>
          <w:b/>
          <w:color w:val="FF0000"/>
          <w:sz w:val="22"/>
          <w:szCs w:val="22"/>
        </w:rPr>
      </w:pPr>
      <w:r>
        <w:rPr>
          <w:rFonts w:ascii="方正书宋_GBK" w:hAnsi="方正书宋_GBK" w:cs="方正书宋_GBK" w:eastAsia="方正书宋_GBK"/>
          <w:sz w:val="22"/>
          <w:szCs w:val="22"/>
        </w:rPr>
        <w:t>双方发生争议的，可协商解决，或向有关部门申请调解；也可提请上海仲裁委员会仲裁</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不愿意仲裁而选择向法院提起诉讼的</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em w:val="underDot"/>
        </w:rPr>
        <w:t>请双方在签署合同时将此仲裁条款划去</w:t>
      </w:r>
      <w:r>
        <w:rPr>
          <w:rFonts w:ascii="方正书宋_GBK" w:hAnsi="方正书宋_GBK" w:cs="方正书宋_GBK" w:eastAsia="方正书宋_GBK"/>
          <w:b/>
          <w:sz w:val="22"/>
          <w:szCs w:val="22"/>
        </w:rPr>
        <w:t>）</w:t>
      </w:r>
      <w:r>
        <w:rPr>
          <w:rFonts w:ascii="方正书宋_GBK" w:hAnsi="方正书宋_GBK" w:cs="方正书宋_GBK" w:eastAsia="方正书宋_GBK"/>
          <w:sz w:val="22"/>
          <w:szCs w:val="22"/>
        </w:rPr>
        <w:t>。</w:t>
      </w:r>
    </w:p>
    <w:p>
      <w:pPr>
        <w:pStyle w:val="Normal"/>
        <w:snapToGrid w:val="false"/>
        <w:spacing w:lineRule="auto" w:line="300"/>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第十三条　附则</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．本合同自甲乙双方签字或盖章之日起生效。</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．本合同附件：</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：《跟踪测量技术服务费用一览表》</w:t>
      </w:r>
    </w:p>
    <w:p>
      <w:pPr>
        <w:pStyle w:val="Normal"/>
        <w:snapToGrid w:val="false"/>
        <w:spacing w:lineRule="auto" w:line="300"/>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：《甲方提供的有关资料清单》</w:t>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甲方（委托方签章）：</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乙方（受托方签章）：</w:t>
      </w: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住    所：</w:t>
      </w: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法定代表人：</w:t>
      </w: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委托代理人：</w:t>
      </w: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电    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电    话：</w:t>
      </w: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    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传    真：</w:t>
      </w: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开户银行：</w:t>
      </w: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帐    号：</w:t>
      </w: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本合同签约地址：</w:t>
      </w:r>
      <w:r>
        <w:rPr>
          <w:rFonts w:ascii="方正书宋_GBK" w:hAnsi="方正书宋_GBK" w:cs="方正书宋_GBK" w:eastAsia="方正书宋_GBK"/>
          <w:sz w:val="22"/>
          <w:szCs w:val="22"/>
          <w:u w:val="single"/>
        </w:rPr>
        <w:t xml:space="preserve">                                               </w:t>
      </w:r>
    </w:p>
    <w:p>
      <w:pPr>
        <w:pStyle w:val="Normal"/>
        <w:snapToGrid w:val="false"/>
        <w:spacing w:lineRule="auto" w:line="30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bookmarkStart w:id="7" w:name="dHTdatey1"/>
      <w:bookmarkStart w:id="8" w:name="dHTdated1"/>
      <w:bookmarkStart w:id="9" w:name="dHTdatem1"/>
      <w:bookmarkEnd w:id="7"/>
      <w:bookmarkEnd w:id="8"/>
      <w:bookmarkEnd w:id="9"/>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1</w:t>
      </w:r>
    </w:p>
    <w:p>
      <w:pPr>
        <w:pStyle w:val="Normal"/>
        <w:snapToGrid w:val="false"/>
        <w:jc w:val="center"/>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跟踪测量技术服务费用一览表</w:t>
      </w:r>
    </w:p>
    <w:p>
      <w:pPr>
        <w:pStyle w:val="Normal"/>
        <w:snapToGrid w:val="false"/>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before="0" w:after="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项目名称</w:t>
      </w:r>
      <w:r>
        <w:rPr>
          <w:rFonts w:eastAsia="方正书宋_GBK" w:cs="方正书宋_GBK" w:ascii="方正书宋_GBK" w:hAnsi="方正书宋_GBK"/>
          <w:sz w:val="22"/>
          <w:szCs w:val="22"/>
        </w:rPr>
        <w:t>:</w:t>
      </w:r>
    </w:p>
    <w:tbl>
      <w:tblPr>
        <w:tblW w:w="8959" w:type="dxa"/>
        <w:jc w:val="center"/>
        <w:tblInd w:w="0" w:type="dxa"/>
        <w:tblLayout w:type="fixed"/>
        <w:tblCellMar>
          <w:top w:w="0" w:type="dxa"/>
          <w:start w:w="108" w:type="dxa"/>
          <w:bottom w:w="0" w:type="dxa"/>
          <w:end w:w="108" w:type="dxa"/>
        </w:tblCellMar>
      </w:tblPr>
      <w:tblGrid>
        <w:gridCol w:w="794"/>
        <w:gridCol w:w="4424"/>
        <w:gridCol w:w="1247"/>
        <w:gridCol w:w="1247"/>
        <w:gridCol w:w="1247"/>
      </w:tblGrid>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项目内容</w:t>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工作量</w:t>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单价</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元</w:t>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合计</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元</w:t>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5</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6</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7</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8</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9</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10</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11</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12</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13</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14</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15</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16</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17</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18</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19</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20</w:t>
            </w:r>
          </w:p>
        </w:tc>
        <w:tc>
          <w:tcPr>
            <w:tcW w:w="4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4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25" w:hRule="atLeast"/>
        </w:trPr>
        <w:tc>
          <w:tcPr>
            <w:tcW w:w="8959"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技术服务费用总计（大写）：</w:t>
            </w:r>
          </w:p>
        </w:tc>
      </w:tr>
    </w:tbl>
    <w:p>
      <w:pPr>
        <w:pStyle w:val="Normal"/>
        <w:snapToGrid w:val="false"/>
        <w:spacing w:lineRule="auto" w:line="300" w:before="60" w:after="0"/>
        <w:ind w:hanging="822" w:start="822"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备注：计费依据可参照国家财政部、国家测绘局《测绘生产成本费用定额》（</w:t>
      </w:r>
      <w:r>
        <w:rPr>
          <w:rFonts w:eastAsia="方正书宋_GBK" w:cs="方正书宋_GBK" w:ascii="方正书宋_GBK" w:hAnsi="方正书宋_GBK"/>
          <w:sz w:val="22"/>
          <w:szCs w:val="22"/>
        </w:rPr>
        <w:t>2009</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日起执行）。</w:t>
      </w:r>
    </w:p>
    <w:p>
      <w:pPr>
        <w:pStyle w:val="Normal"/>
        <w:snapToGrid w:val="false"/>
        <w:spacing w:lineRule="auto" w:line="300" w:before="60" w:after="0"/>
        <w:ind w:hanging="822" w:start="822"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2</w:t>
      </w:r>
    </w:p>
    <w:p>
      <w:pPr>
        <w:pStyle w:val="Normal"/>
        <w:snapToGrid w:val="false"/>
        <w:jc w:val="center"/>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甲方提供的有关资料清单</w:t>
      </w:r>
    </w:p>
    <w:p>
      <w:pPr>
        <w:pStyle w:val="Normal"/>
        <w:snapToGrid w:val="false"/>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napToGrid w:val="false"/>
        <w:spacing w:before="0" w:after="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项目名称</w:t>
      </w:r>
      <w:r>
        <w:rPr>
          <w:rFonts w:eastAsia="方正书宋_GBK" w:cs="方正书宋_GBK" w:ascii="方正书宋_GBK" w:hAnsi="方正书宋_GBK"/>
          <w:sz w:val="22"/>
          <w:szCs w:val="22"/>
        </w:rPr>
        <w:t>:</w:t>
      </w:r>
    </w:p>
    <w:tbl>
      <w:tblPr>
        <w:tblW w:w="8959" w:type="dxa"/>
        <w:jc w:val="center"/>
        <w:tblInd w:w="0" w:type="dxa"/>
        <w:tblLayout w:type="fixed"/>
        <w:tblCellMar>
          <w:top w:w="0" w:type="dxa"/>
          <w:start w:w="108" w:type="dxa"/>
          <w:bottom w:w="0" w:type="dxa"/>
          <w:end w:w="108" w:type="dxa"/>
        </w:tblCellMar>
      </w:tblPr>
      <w:tblGrid>
        <w:gridCol w:w="794"/>
        <w:gridCol w:w="5330"/>
        <w:gridCol w:w="1134"/>
        <w:gridCol w:w="1701"/>
      </w:tblGrid>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资料名称</w:t>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份数</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备注</w:t>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5</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6</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7</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8</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9</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10</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11</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12</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13</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14</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15</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16</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17</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18</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19</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397" w:hRule="atLeast"/>
        </w:trPr>
        <w:tc>
          <w:tcPr>
            <w:tcW w:w="7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20</w:t>
            </w:r>
          </w:p>
        </w:tc>
        <w:tc>
          <w:tcPr>
            <w:tcW w:w="53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3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snapToGrid w:val="false"/>
        <w:spacing w:lineRule="auto" w:line="312"/>
        <w:ind w:firstLine="567"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p>
      <w:pPr>
        <w:pStyle w:val="Normal"/>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楷体_GB2312">
    <w:charset w:val="86"/>
    <w:family w:val="modern"/>
    <w:pitch w:val="default"/>
  </w:font>
  <w:font w:name="宋体">
    <w:altName w:val="方正书宋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28"/>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2">
    <w:name w:val="正文文本 2"/>
    <w:basedOn w:val="Normal"/>
    <w:qFormat/>
    <w:pPr>
      <w:spacing w:lineRule="auto" w:line="480" w:before="0" w:after="1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12480</TotalTime>
  <Application>LibreOffice/25.2.2.2$MacOSX_AARCH64 LibreOffice_project/7370d4be9e3cf6031a51beef54ff3bda878e3fac</Application>
  <AppVersion>15.0000</AppVersion>
  <Pages>8</Pages>
  <Words>2157</Words>
  <Characters>2259</Characters>
  <CharactersWithSpaces>3751</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2012-12-20T16:37:00Z</dcterms:created>
  <dc:creator>gs</dc:creator>
  <dc:description/>
  <dc:language>zh-CN</dc:language>
  <cp:lastModifiedBy>scjuser</cp:lastModifiedBy>
  <dcterms:modified xsi:type="dcterms:W3CDTF">2022-02-17T18:25:12Z</dcterms:modified>
  <cp:revision>1</cp:revision>
  <dc:subject/>
  <dc:title>附件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