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tabs>
          <w:tab w:val="clear" w:pos="420"/>
          <w:tab w:val="left" w:pos="910" w:leader="none"/>
        </w:tabs>
        <w:spacing w:lineRule="auto" w:line="240"/>
        <w:ind w:hanging="0" w:end="0"/>
        <w:rPr>
          <w:rFonts w:ascii="黑体;方正黑体_GBK" w:hAnsi="黑体;方正黑体_GBK" w:eastAsia="黑体;方正黑体_GBK" w:cs="黑体;方正黑体_GBK"/>
          <w:kern w:val="2"/>
          <w:sz w:val="18"/>
          <w:szCs w:val="18"/>
        </w:rPr>
      </w:pPr>
      <w:r>
        <w:rPr>
          <w:rFonts w:eastAsia="黑体;方正黑体_GBK" w:cs="黑体;方正黑体_GBK" w:ascii="黑体;方正黑体_GBK" w:hAnsi="黑体;方正黑体_GBK"/>
          <w:sz w:val="18"/>
          <w:szCs w:val="18"/>
        </w:rPr>
        <w:t>BTHF—2018—0101</w:t>
      </w:r>
      <w:r>
        <w:rPr>
          <w:rFonts w:eastAsia="黑体;方正黑体_GBK" w:cs="黑体;方正黑体_GBK" w:ascii="黑体;方正黑体_GBK" w:hAnsi="黑体;方正黑体_GBK"/>
          <w:kern w:val="2"/>
          <w:sz w:val="18"/>
          <w:szCs w:val="18"/>
        </w:rPr>
        <w:t xml:space="preserve">                                                                      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</w:rPr>
        <w:t>合同编号：</w:t>
      </w:r>
    </w:p>
    <w:p>
      <w:pPr>
        <w:pStyle w:val="Normal"/>
        <w:snapToGrid w:val="false"/>
        <w:spacing w:lineRule="exact" w:line="320"/>
        <w:jc w:val="center"/>
        <w:rPr>
          <w:rFonts w:ascii="黑体;方正黑体_GBK" w:hAnsi="黑体;方正黑体_GBK" w:eastAsia="黑体;方正黑体_GBK" w:cs="黑体;方正黑体_GBK"/>
          <w:b/>
          <w:color w:val="000000"/>
          <w:spacing w:val="16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b/>
          <w:color w:val="000000"/>
          <w:spacing w:val="16"/>
          <w:sz w:val="30"/>
          <w:szCs w:val="30"/>
        </w:rPr>
        <w:t>京津冀地区家具买卖合同</w:t>
      </w:r>
    </w:p>
    <w:p>
      <w:pPr>
        <w:pStyle w:val="Normal"/>
        <w:spacing w:lineRule="exact" w:line="280"/>
        <w:ind w:firstLine="360" w:end="0"/>
        <w:rPr>
          <w:rFonts w:ascii="黑体;方正黑体_GBK" w:hAnsi="黑体;方正黑体_GBK" w:eastAsia="黑体;方正黑体_GBK" w:cs="宋体;方正书宋_GBK"/>
          <w:b/>
          <w:color w:val="FF0000"/>
          <w:spacing w:val="16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/>
          <w:color w:val="FF0000"/>
          <w:spacing w:val="16"/>
          <w:sz w:val="18"/>
          <w:szCs w:val="18"/>
        </w:rPr>
      </w:r>
    </w:p>
    <w:p>
      <w:pPr>
        <w:pStyle w:val="Normal"/>
        <w:spacing w:lineRule="exact" w:line="28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  <w:lang w:val="en-US" w:eastAsia="zh-CN"/>
        </w:rPr>
        <w:t xml:space="preserve">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为了维护消费者、经营者合法权益，根据《中华人民共和国合同法》、《中华人民共和国消费者权益保护法》及有关规定，签定本合同。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240"/>
        <w:ind w:firstLine="360" w:end="0"/>
        <w:textAlignment w:val="auto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sz w:val="18"/>
          <w:szCs w:val="18"/>
          <w:lang w:val="en-US" w:eastAsia="zh-CN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第一条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家具基本情况</w:t>
      </w:r>
    </w:p>
    <w:tbl>
      <w:tblPr>
        <w:tblpPr w:vertAnchor="text" w:horzAnchor="margin" w:tblpXSpec="center" w:leftFromText="180" w:rightFromText="180" w:tblpY="302"/>
        <w:tblOverlap w:val="never"/>
        <w:tblW w:w="10828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988"/>
        <w:gridCol w:w="1310"/>
        <w:gridCol w:w="1690"/>
        <w:gridCol w:w="720"/>
        <w:gridCol w:w="468"/>
        <w:gridCol w:w="972"/>
        <w:gridCol w:w="1531"/>
        <w:gridCol w:w="431"/>
        <w:gridCol w:w="425"/>
        <w:gridCol w:w="572"/>
        <w:gridCol w:w="689"/>
        <w:gridCol w:w="1032"/>
      </w:tblGrid>
      <w:tr>
        <w:trPr>
          <w:trHeight w:val="758" w:hRule="atLeas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商标</w:t>
            </w:r>
            <w:r>
              <w:rPr>
                <w:rFonts w:eastAsia="黑体;方正黑体_GBK" w:cs="黑体;方正黑体_GBK" w:ascii="黑体;方正黑体_GBK" w:hAnsi="黑体;方正黑体_GBK"/>
                <w:sz w:val="16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品牌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家具名称</w:t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规格型号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  <w:shd w:fill="E5E5E5" w:val="clear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产地</w:t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是否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儿童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  <w:shd w:fill="E5E5E5" w:val="clear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家具</w:t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主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要材质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及类别</w:t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辅材</w:t>
            </w:r>
            <w:r>
              <w:rPr>
                <w:rFonts w:eastAsia="黑体;方正黑体_GBK" w:cs="黑体;方正黑体_GBK" w:ascii="黑体;方正黑体_GBK" w:hAnsi="黑体;方正黑体_GBK"/>
                <w:sz w:val="16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边材</w:t>
            </w:r>
            <w:r>
              <w:rPr>
                <w:rFonts w:eastAsia="黑体;方正黑体_GBK" w:cs="黑体;方正黑体_GBK" w:ascii="黑体;方正黑体_GBK" w:hAnsi="黑体;方正黑体_GBK"/>
                <w:sz w:val="16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五金</w:t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颜色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数量</w:t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单价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（元）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合计（元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）</w:t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备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注</w:t>
            </w:r>
          </w:p>
        </w:tc>
      </w:tr>
      <w:tr>
        <w:trPr>
          <w:trHeight w:val="308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10828" w:type="dxa"/>
            <w:gridSpan w:val="1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/>
                <w:sz w:val="18"/>
                <w:szCs w:val="18"/>
              </w:rPr>
              <w:t>总计货款：￥：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黑体;方正黑体_GBK" w:hAnsi="黑体;方正黑体_GBK" w:cs="黑体;方正黑体_GBK" w:eastAsia="黑体;方正黑体_GBK"/>
                <w:b/>
                <w:sz w:val="18"/>
                <w:szCs w:val="18"/>
              </w:rPr>
              <w:t>元</w:t>
            </w:r>
          </w:p>
        </w:tc>
      </w:tr>
      <w:tr>
        <w:trPr>
          <w:trHeight w:val="596" w:hRule="atLeast"/>
        </w:trPr>
        <w:tc>
          <w:tcPr>
            <w:tcW w:w="10828" w:type="dxa"/>
            <w:gridSpan w:val="1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其他相关费用： □送货费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元  □安装费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元   □其他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费用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        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元</w:t>
            </w:r>
          </w:p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总计金额（大写）：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万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仟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元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 xml:space="preserve">角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 xml:space="preserve">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￥：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元</w:t>
            </w:r>
          </w:p>
        </w:tc>
      </w:tr>
    </w:tbl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/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第二条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付款方式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 xml:space="preserve">□买方在签约时一次性支付全部价款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/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 xml:space="preserve">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□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买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方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在签约时支付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 xml:space="preserve">    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 xml:space="preserve">  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元定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金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（不得超过全部价款的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20%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），余款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 xml:space="preserve">    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 xml:space="preserve">       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 xml:space="preserve">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元应在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 xml:space="preserve">                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时付清。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买方违约退货的，无权要求返还定金；卖方违约不能交货的，应双倍返还定金。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37" w:end="0"/>
        <w:rPr>
          <w:rFonts w:ascii="宋体;方正书宋_GBK" w:hAnsi="宋体;方正书宋_GBK" w:eastAsia="宋体;方正书宋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第三条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交货及验收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□卖方送货 □买方自提 交货时间：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  <w:u w:val="single"/>
        </w:rPr>
        <w:t xml:space="preserve">     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</w:rPr>
        <w:t>年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</w:rPr>
        <w:t>月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</w:rPr>
        <w:t>日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；交货地点：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                      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。买方发现问题应当场提出，并在交接单上写明瑕疵或拒收原因，及解决方案。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37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第四条 安装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 xml:space="preserve">□买方自行安装  □卖方安装：□家具交货当日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/ □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  <w:u w:val="single"/>
        </w:rPr>
        <w:t xml:space="preserve">                   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时，卖方提供入户安装服务。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第五条 售后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本合同项下家具修理、更换、退货（简称“三包”）期限为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年（普通家具不低于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年，红木家具不低于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2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年）。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eastAsia="黑体;方正黑体_GBK"/>
          <w:sz w:val="18"/>
          <w:szCs w:val="18"/>
        </w:rPr>
        <w:t>第六条</w:t>
      </w:r>
      <w:r>
        <w:rPr>
          <w:rFonts w:ascii="黑体;方正黑体_GBK" w:hAnsi="黑体;方正黑体_GBK" w:eastAsia="黑体;方正黑体_GBK"/>
          <w:b w:val="false"/>
          <w:sz w:val="18"/>
          <w:szCs w:val="18"/>
        </w:rPr>
        <w:t xml:space="preserve"> 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违约责任</w:t>
      </w:r>
    </w:p>
    <w:p>
      <w:pPr>
        <w:pStyle w:val="Normal"/>
        <w:spacing w:lineRule="exact" w:line="340"/>
        <w:ind w:firstLine="360" w:start="2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1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、一方延迟送货或提货的，违约方应每日向对方支付家具货款 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的违约金。</w:t>
      </w:r>
    </w:p>
    <w:p>
      <w:pPr>
        <w:pStyle w:val="Normal"/>
        <w:spacing w:lineRule="exact" w:line="340"/>
        <w:ind w:firstLine="360" w:start="2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2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、违约超过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日的 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,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守约方有权解除合同，支付定金的，可选择适用定金罚则。</w:t>
      </w:r>
    </w:p>
    <w:p>
      <w:pPr>
        <w:pStyle w:val="Normal"/>
        <w:spacing w:lineRule="exact" w:line="340"/>
        <w:ind w:firstLine="360" w:start="2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3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、买方违约退货的无权要求返还定金，卖方违约不能交货的，应双倍返还定金。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ind w:firstLine="613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4.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买方自提家具的，迟延提货超过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日的，应每日向卖方支付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元保管费，但因卖方原因导致的迟延除外。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</w:t>
      </w:r>
      <w:r>
        <w:rPr>
          <w:rFonts w:ascii="黑体;方正黑体_GBK" w:hAnsi="黑体;方正黑体_GBK" w:cs="黑体;方正黑体_GBK" w:eastAsia="黑体;方正黑体_GBK"/>
          <w:sz w:val="18"/>
          <w:szCs w:val="18"/>
          <w:lang w:eastAsia="zh-CN"/>
        </w:rPr>
        <w:t>七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条 争议解决方式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本合同项下发生的争议，双方应协商解决，或向市场主办单位、行业协会或消费者协会申请调解。协商或调解不成的，选择以下第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种方式解决：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向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人民法院提起诉讼；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2.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向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  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仲裁委员会提请仲裁。</w:t>
      </w:r>
    </w:p>
    <w:p>
      <w:pPr>
        <w:pStyle w:val="Normal"/>
        <w:spacing w:lineRule="exact" w:line="340"/>
        <w:ind w:firstLine="45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第八条 其他约定：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                                                                   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。 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37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</w:t>
      </w:r>
      <w:r>
        <w:rPr>
          <w:rFonts w:ascii="黑体;方正黑体_GBK" w:hAnsi="黑体;方正黑体_GBK" w:cs="黑体;方正黑体_GBK" w:eastAsia="黑体;方正黑体_GBK"/>
          <w:sz w:val="18"/>
          <w:szCs w:val="18"/>
          <w:lang w:eastAsia="zh-CN"/>
        </w:rPr>
        <w:t>九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条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本合同自双方当事人签字或盖章之日起生效。合同附件为本合同组成部分。本合同一式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份，买方执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份、卖方执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hanging="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份、主办方执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份，具同等法律效力。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280"/>
        <w:ind w:hanging="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280"/>
        <w:ind w:hanging="0" w:end="0"/>
        <w:jc w:val="center"/>
        <w:rPr>
          <w:rFonts w:ascii="黑体;方正黑体_GBK" w:hAnsi="黑体;方正黑体_GBK" w:eastAsia="黑体;方正黑体_GBK" w:cs="黑体;方正黑体_GBK"/>
          <w:kern w:val="2"/>
          <w:sz w:val="18"/>
          <w:szCs w:val="18"/>
          <w:u w:val="dottedHeavy"/>
        </w:rPr>
      </w:pP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请认真阅读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背面通用条款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、风险提示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以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及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卖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方提供的其他书面材料，确认无误后再签订本合同。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280"/>
        <w:ind w:hanging="0" w:end="0"/>
        <w:jc w:val="center"/>
        <w:rPr>
          <w:rFonts w:ascii="黑体;方正黑体_GBK" w:hAnsi="黑体;方正黑体_GBK" w:eastAsia="黑体;方正黑体_GBK" w:cs="黑体;方正黑体_GBK"/>
          <w:kern w:val="2"/>
          <w:sz w:val="18"/>
          <w:szCs w:val="18"/>
          <w:u w:val="dottedHeavy"/>
        </w:rPr>
      </w:pPr>
      <w:r>
        <w:rPr>
          <w:rFonts w:eastAsia="黑体;方正黑体_GBK" w:cs="黑体;方正黑体_GBK" w:ascii="黑体;方正黑体_GBK" w:hAnsi="黑体;方正黑体_GBK"/>
          <w:kern w:val="2"/>
          <w:sz w:val="18"/>
          <w:szCs w:val="18"/>
          <w:u w:val="dottedHeavy"/>
        </w:rPr>
      </w:r>
    </w:p>
    <w:tbl>
      <w:tblPr>
        <w:tblW w:w="102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50"/>
        <w:gridCol w:w="5122"/>
        <w:gridCol w:w="2788"/>
      </w:tblGrid>
      <w:tr>
        <w:trPr>
          <w:trHeight w:val="323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买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方（签章）：</w:t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卖方（盖章）：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主办单位（盖章）：</w:t>
            </w:r>
          </w:p>
        </w:tc>
      </w:tr>
      <w:tr>
        <w:trPr>
          <w:trHeight w:val="331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系电话：</w:t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统一社会信用代码（营业执照号）</w:t>
            </w: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  <w:t>: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293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经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办人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（签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字）：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166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系地址：</w:t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住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所：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</w:tr>
      <w:tr>
        <w:trPr>
          <w:trHeight w:val="209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exact" w:line="280"/>
        <w:ind w:hanging="5940" w:start="6060" w:end="0"/>
        <w:jc w:val="end"/>
        <w:rPr>
          <w:rFonts w:ascii="黑体;方正黑体_GBK" w:hAnsi="黑体;方正黑体_GBK" w:eastAsia="黑体;方正黑体_GBK" w:cs="黑体;方正黑体_GBK"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 xml:space="preserve">                                                                    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 xml:space="preserve">签订时间：        年     月 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 xml:space="preserve">  日</w:t>
      </w:r>
      <w:r>
        <w:br w:type="page"/>
      </w:r>
    </w:p>
    <w:p>
      <w:pPr>
        <w:pStyle w:val="BodyTextIndent"/>
        <w:tabs>
          <w:tab w:val="clear" w:pos="420"/>
          <w:tab w:val="left" w:pos="910" w:leader="none"/>
        </w:tabs>
        <w:spacing w:lineRule="auto" w:line="480"/>
        <w:ind w:firstLine="4500" w:end="0"/>
        <w:rPr>
          <w:rFonts w:ascii="黑体;方正黑体_GBK" w:hAnsi="黑体;方正黑体_GBK" w:eastAsia="黑体;方正黑体_GBK" w:cs="黑体;方正黑体_GBK"/>
          <w:kern w:val="2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kern w:val="2"/>
          <w:sz w:val="30"/>
          <w:szCs w:val="30"/>
        </w:rPr>
        <w:t>通用条款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方正小标宋简体" w:hAnsi="方正小标宋简体" w:eastAsia="方正小标宋简体" w:cs="黑体;方正黑体_GBK"/>
          <w:sz w:val="30"/>
          <w:szCs w:val="30"/>
        </w:rPr>
      </w:pPr>
      <w:r>
        <w:rPr>
          <w:rFonts w:ascii="方正小标宋简体" w:hAnsi="方正小标宋简体" w:cs="方正小标宋简体" w:eastAsia="方正小标宋简体"/>
          <w:sz w:val="30"/>
          <w:szCs w:val="30"/>
        </w:rPr>
        <w:t xml:space="preserve"> 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一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、质量标准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交付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的家具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应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质量、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安全、健康、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环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保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方面法律、法规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和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标准的规定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2.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交付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的家具应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具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法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律、法规及相应产品标准规定的标识标注。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识标注内容应包含执行标准、规格或批号、生产（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销售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企业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名称、生产企业地址及生产（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销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售）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企业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联系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方式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等信息。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3.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交付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的家具应随附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《产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品合格证》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和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国家标准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要求的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使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用说明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（标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签、标牌、使用说明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书等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。使用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说明应对国家有关要求和指标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（特别是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对家具所用材料、涂料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实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际含有的有毒物质或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放射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性等控制指标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给予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说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明。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4.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卖方交付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的红木家具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应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具有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合</w:t>
      </w:r>
      <w:r>
        <w:rPr>
          <w:rFonts w:ascii="宋体;方正书宋_GBK" w:hAnsi="宋体;方正书宋_GBK" w:cs="宋体;方正书宋_GBK" w:eastAsia="宋体;方正书宋_GBK"/>
          <w:color w:val="000000"/>
          <w:sz w:val="18"/>
          <w:szCs w:val="18"/>
        </w:rPr>
        <w:t>《红木</w:t>
      </w:r>
      <w:r>
        <w:rPr>
          <w:rFonts w:ascii="宋体;方正书宋_GBK" w:hAnsi="宋体;方正书宋_GBK" w:cs="宋体;方正书宋_GBK" w:eastAsia="宋体;方正书宋_GBK"/>
          <w:color w:val="000000"/>
          <w:sz w:val="18"/>
          <w:szCs w:val="18"/>
        </w:rPr>
        <w:t>家具通用技术条件</w:t>
      </w:r>
      <w:r>
        <w:rPr>
          <w:rFonts w:ascii="宋体;方正书宋_GBK" w:hAnsi="宋体;方正书宋_GBK" w:cs="宋体;方正书宋_GBK" w:eastAsia="宋体;方正书宋_GBK"/>
          <w:color w:val="000000"/>
          <w:sz w:val="18"/>
          <w:szCs w:val="18"/>
        </w:rPr>
        <w:t>》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 xml:space="preserve">(GB 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2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8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0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10)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要求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产品保证文件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。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产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保证文件应包括产品使用说明书、红木家具质量明示卡、产品合格证。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b/>
          <w:sz w:val="18"/>
          <w:szCs w:val="18"/>
          <w:u w:val="dottedHeavy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5</w:t>
      </w:r>
      <w:r>
        <w:rPr>
          <w:rFonts w:eastAsia="宋体;方正书宋_GBK" w:cs="宋体;方正书宋_GBK" w:ascii="宋体;方正书宋_GBK" w:hAnsi="宋体;方正书宋_GBK"/>
          <w:sz w:val="18"/>
          <w:szCs w:val="18"/>
        </w:rPr>
        <w:t>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卖方交付的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儿童家具应符合《儿童家具通用技术条件》（</w:t>
      </w:r>
      <w:r>
        <w:rPr>
          <w:rFonts w:eastAsia="宋体;方正书宋_GBK" w:cs="宋体;方正书宋_GBK" w:ascii="宋体;方正书宋_GBK" w:hAnsi="宋体;方正书宋_GBK"/>
          <w:b/>
          <w:sz w:val="18"/>
          <w:szCs w:val="18"/>
          <w:u w:val="dottedHeavy"/>
        </w:rPr>
        <w:t>GB 28007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）及相关产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品的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国家、行业等标准的要求。</w:t>
      </w:r>
    </w:p>
    <w:p>
      <w:pPr>
        <w:pStyle w:val="Normal"/>
        <w:spacing w:lineRule="exact" w:line="360"/>
        <w:ind w:firstLine="356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6.</w:t>
      </w:r>
      <w:r>
        <w:rPr>
          <w:rFonts w:ascii="黑体;方正黑体_GBK" w:hAnsi="黑体;方正黑体_GBK" w:eastAsia="黑体;方正黑体_GBK"/>
          <w:sz w:val="18"/>
          <w:szCs w:val="18"/>
        </w:rPr>
        <w:t>质量标准：每件家具应附符合</w:t>
      </w:r>
      <w:r>
        <w:rPr>
          <w:rFonts w:eastAsia="黑体;方正黑体_GBK" w:ascii="黑体;方正黑体_GBK" w:hAnsi="黑体;方正黑体_GBK"/>
          <w:sz w:val="18"/>
          <w:szCs w:val="18"/>
        </w:rPr>
        <w:t>GB5296.6</w:t>
      </w:r>
      <w:r>
        <w:rPr>
          <w:rFonts w:ascii="黑体;方正黑体_GBK" w:hAnsi="黑体;方正黑体_GBK" w:eastAsia="黑体;方正黑体_GBK"/>
          <w:sz w:val="18"/>
          <w:szCs w:val="18"/>
        </w:rPr>
        <w:t>要求的《家具使用说明书》，达到《家具使用说明书》中明示执行的国家标准，且不低于样品同等质量。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二、验收</w:t>
      </w:r>
    </w:p>
    <w:p>
      <w:pPr>
        <w:pStyle w:val="Normal"/>
        <w:spacing w:lineRule="exact" w:line="36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卖方交付家具时，应提示买方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  <w:u w:val="dottedHeavy"/>
        </w:rPr>
        <w:t>对家具的商标</w:t>
      </w:r>
      <w:r>
        <w:rPr>
          <w:rFonts w:eastAsia="黑体;方正黑体_GBK" w:cs="宋体;方正书宋_GBK" w:ascii="黑体;方正黑体_GBK" w:hAnsi="黑体;方正黑体_GBK"/>
          <w:b/>
          <w:sz w:val="18"/>
          <w:szCs w:val="18"/>
          <w:u w:val="dottedHeavy"/>
        </w:rPr>
        <w:t>/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  <w:u w:val="dottedHeavy"/>
        </w:rPr>
        <w:t>品牌、颜色、数量、款式、规格型号、包装、有无外观瑕疵等家具基本情况进行验收，并对《家具使用说明书》、《产品合格证》等材料是否齐全进行确认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</w:rPr>
        <w:t>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买方发现问题应当场提出，由双方协商达成解决方案，并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dottedHeavy"/>
        </w:rPr>
        <w:t>以书面方式进行确认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三、售后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b w:val="false"/>
          <w:kern w:val="2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卖方应随附家具产品“三包”凭证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（如《产品合格证》或《家具使用说明书》中的售后凭证）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，按照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各地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家具“三包”责任规定履行义务并承担相应责任。卖方做出对买方更有利的责任承诺的，按照该承诺执行。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  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四、违约责任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宋体;方正书宋_GBK" w:hAnsi="宋体;方正书宋_GBK" w:eastAsia="宋体;方正书宋_GBK" w:cs="宋体;方正书宋_GBK"/>
          <w:b w:val="false"/>
          <w:kern w:val="2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 xml:space="preserve">    </w:t>
      </w:r>
      <w:r>
        <w:rPr>
          <w:rFonts w:eastAsia="宋体;方正书宋_GBK" w:cs="宋体;方正书宋_GBK" w:ascii="宋体;方正书宋_GBK" w:hAnsi="宋体;方正书宋_GBK"/>
          <w:b w:val="false"/>
          <w:kern w:val="2"/>
          <w:sz w:val="18"/>
          <w:szCs w:val="18"/>
        </w:rPr>
        <w:t>1.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经国家认可的家具检测机构检测，家具产品质量不符合本合同约定和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相关标准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的，买方有权退货，并要求卖方承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担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赔偿责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任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（包括但不限于相应检测费、交通费、误工费等）。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宋体;方正书宋_GBK" w:hAnsi="宋体;方正书宋_GBK" w:eastAsia="宋体;方正书宋_GBK" w:cs="宋体;方正书宋_GBK"/>
          <w:b w:val="false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 xml:space="preserve">    </w:t>
      </w:r>
      <w:r>
        <w:rPr>
          <w:rFonts w:eastAsia="宋体;方正书宋_GBK" w:cs="宋体;方正书宋_GBK" w:ascii="宋体;方正书宋_GBK" w:hAnsi="宋体;方正书宋_GBK"/>
          <w:b w:val="false"/>
          <w:kern w:val="2"/>
          <w:sz w:val="18"/>
          <w:szCs w:val="18"/>
        </w:rPr>
        <w:t>2.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在市场内或展销会签订的合同，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市场或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展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销会主办单位应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在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合同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上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盖章并留存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本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合同。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卖方撤离市场或展销会的，买方可要求主办单位先行承担赔偿责任；主办单位承担责任后，有权向卖方追偿。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黑体;方正黑体_GBK" w:hAnsi="黑体;方正黑体_GBK" w:eastAsia="黑体;方正黑体_GBK" w:cs="黑体;方正黑体_GBK"/>
          <w:b w:val="false"/>
          <w:sz w:val="18"/>
          <w:szCs w:val="18"/>
          <w:u w:val="single"/>
        </w:rPr>
      </w:pPr>
      <w:r>
        <w:rPr>
          <w:rFonts w:eastAsia="黑体;方正黑体_GBK" w:cs="黑体;方正黑体_GBK" w:ascii="黑体;方正黑体_GBK" w:hAnsi="黑体;方正黑体_GBK"/>
          <w:b w:val="false"/>
          <w:sz w:val="18"/>
          <w:szCs w:val="18"/>
          <w:u w:val="single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420" w:end="0"/>
        <w:jc w:val="center"/>
        <w:rPr>
          <w:rFonts w:ascii="黑体;方正黑体_GBK" w:hAnsi="黑体;方正黑体_GBK" w:eastAsia="黑体;方正黑体_GBK" w:cs="黑体;方正黑体_GBK"/>
          <w:b w:val="false"/>
          <w:sz w:val="18"/>
          <w:szCs w:val="18"/>
        </w:rPr>
      </w:pPr>
      <w:r>
        <w:rPr>
          <w:rFonts w:ascii="黑体;方正黑体_GBK" w:hAnsi="黑体;方正黑体_GBK" w:cs="仿宋_GB2312" w:eastAsia="黑体;方正黑体_GBK"/>
          <w:szCs w:val="21"/>
          <w:u w:val="wave"/>
        </w:rPr>
        <w:t xml:space="preserve">风  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险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 xml:space="preserve">  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提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 xml:space="preserve">  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示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红木家具所使用的主材树种对家具的经济价值有重要影响。填写时务必注意树种专用名称、树种分类与宣传名称的对应关系，正确填写树种编号，避免混淆。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2.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定金是保证合同订立或履行的一种担保方式。买卖双方可根据实际情况选择是否使用定金条款。买方在支付定金前，请充分了解“定金”的法律概念，知悉违约的法律后果。如不想接受定金规则约束，建议选择“一次性付款”或“先付预付款”的方式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3.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在签订合同前，买卖双方应仔细阅读“违约责任”有关条款，充分了解构成违约的情形和后果，在平等协商基础上合理确定违约金比率。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4.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请在充分考量费用成本、时间等因素基础上，审慎选择纠纷解决途径。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5.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请买方仔细阅读《家具使用说明书》，防止因使用或维护不当而导致的家具开裂、变形等问题。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6.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请买方注意留存发票、收据、合同、《家具使用说明书》和《产品合格证》等重要交易凭证和资料，作为将来主张权利的证据。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7.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家具市场、展销会主办单位在本合同中签章，目的在于证明本合同项下家具确为从本家具市场、展销会处购买。买方合法权益受到侵害的，可按照通用条款中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“违约责任”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条款第二项请求家具市场、展销会主办单位先行赔偿。但法律另有规定或家具市场、展销会主办单位另外作出有利于买方承诺的，依照法律规定或其承诺执行。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rPr>
          <w:rFonts w:ascii="宋体;方正书宋_GBK" w:hAnsi="宋体;方正书宋_GBK" w:eastAsia="宋体;方正书宋_GBK" w:cs="宋体;方正书宋_GBK"/>
          <w:sz w:val="18"/>
          <w:szCs w:val="18"/>
          <w:lang w:eastAsia="zh-CN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  <w:lang w:eastAsia="zh-CN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jc w:val="center"/>
        <w:rPr>
          <w:lang w:eastAsia="zh-CN"/>
        </w:rPr>
      </w:pPr>
      <w:r>
        <w:rPr>
          <w:lang w:eastAsia="zh-CN"/>
        </w:rPr>
        <w:t>北京市工商行政管理局 天津市市场和质量监督管理委员会 河北省工商行政管理局 制定</w:t>
      </w:r>
    </w:p>
    <w:sectPr>
      <w:type w:val="nextPage"/>
      <w:pgSz w:w="11906" w:h="16838"/>
      <w:pgMar w:left="510" w:right="510" w:gutter="0" w:header="0" w:top="567" w:footer="0" w:bottom="510"/>
      <w:pgNumType w:fmt="decimal"/>
      <w:formProt w:val="false"/>
      <w:textDirection w:val="lrTb"/>
      <w:docGrid w:type="linesAndChar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等线">
    <w:altName w:val="汉仪中宋简"/>
    <w:charset w:val="86"/>
    <w:family w:val="auto"/>
    <w:pitch w:val="default"/>
  </w:font>
  <w:font w:name="方正宋三简体">
    <w:altName w:val="方正书宋_GBK"/>
    <w:charset w:val="00" w:characterSet="windows-125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黑体">
    <w:altName w:val="方正黑体_GBK"/>
    <w:charset w:val="00" w:characterSet="windows-1252"/>
    <w:family w:val="auto"/>
    <w:pitch w:val="default"/>
  </w:font>
  <w:font w:name="宋体">
    <w:altName w:val="方正书宋_GBK"/>
    <w:charset w:val="00" w:characterSet="windows-1252"/>
    <w:family w:val="auto"/>
    <w:pitch w:val="default"/>
  </w:font>
  <w:font w:name="方正小标宋简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汉仪中宋简" w:hAnsi="等线;汉仪中宋简" w:eastAsia="等线;汉仪中宋简" w:cs="Times New Roman;DejaVu Sans"/>
      <w:color w:val="auto"/>
      <w:kern w:val="2"/>
      <w:sz w:val="24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Char1">
    <w:name w:val=" Char Char1"/>
    <w:qFormat/>
    <w:rPr>
      <w:rFonts w:ascii="方正宋三简体;方正书宋_GBK" w:hAnsi="方正宋三简体;方正书宋_GBK" w:eastAsia="方正宋三简体;方正书宋_GBK"/>
      <w:b/>
      <w:sz w:val="21"/>
      <w:lang w:bidi="ar-SA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PageNumber">
    <w:name w:val="page number"/>
    <w:basedOn w:val="Style14"/>
    <w:rPr/>
  </w:style>
  <w:style w:type="character" w:styleId="CharChar5">
    <w:name w:val=" Char Char5"/>
    <w:qFormat/>
    <w:rPr>
      <w:rFonts w:ascii="方正宋三简体;方正书宋_GBK" w:hAnsi="方正宋三简体;方正书宋_GBK" w:eastAsia="方正宋三简体;方正书宋_GBK" w:cs="Times New Roman;DejaVu Sans"/>
      <w:b/>
      <w:sz w:val="21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lineRule="exact" w:line="520"/>
      <w:ind w:firstLine="435" w:start="0" w:end="0"/>
    </w:pPr>
    <w:rPr>
      <w:rFonts w:ascii="方正宋三简体;方正书宋_GBK" w:hAnsi="方正宋三简体;方正书宋_GBK" w:eastAsia="方正宋三简体;方正书宋_GBK" w:cs="Times New Roman;DejaVu Sans"/>
      <w:b/>
      <w:kern w:val="0"/>
      <w:sz w:val="21"/>
      <w:szCs w:val="20"/>
      <w:lang w:val="zh-CN" w:eastAsia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7680</TotalTime>
  <Application>LibreOffice/25.2.2.2$MacOSX_AARCH64 LibreOffice_project/7370d4be9e3cf6031a51beef54ff3bda878e3fac</Application>
  <AppVersion>15.0000</AppVersion>
  <Pages>2</Pages>
  <Words>2264</Words>
  <Characters>2314</Characters>
  <CharactersWithSpaces>2978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2018-06-22T18:36:00Z</dcterms:created>
  <dc:creator> </dc:creator>
  <dc:description/>
  <dc:language>zh-CN</dc:language>
  <cp:lastModifiedBy>scjgj</cp:lastModifiedBy>
  <cp:lastPrinted>2018-07-05T16:07:00Z</cp:lastPrinted>
  <dcterms:modified xsi:type="dcterms:W3CDTF">2023-11-02T01:47:41Z</dcterms:modified>
  <cp:revision>11</cp:revision>
  <dc:subject/>
  <dc:title>《北京市家具买卖合同》修订说明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