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tabs>
          <w:tab w:val="clear" w:pos="420"/>
          <w:tab w:val="left" w:pos="910" w:leader="none"/>
        </w:tabs>
        <w:spacing w:lineRule="exact" w:line="300"/>
        <w:ind w:hanging="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eastAsia="黑体;方正黑体_GBK" w:cs="黑体;方正黑体_GBK" w:ascii="黑体;方正黑体_GBK" w:hAnsi="黑体;方正黑体_GBK"/>
          <w:sz w:val="18"/>
          <w:szCs w:val="18"/>
        </w:rPr>
        <w:t xml:space="preserve">BTHF—2018—0701                                                                       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合同编号：</w:t>
      </w:r>
    </w:p>
    <w:p>
      <w:pPr>
        <w:pStyle w:val="BodyTextIndent"/>
        <w:tabs>
          <w:tab w:val="clear" w:pos="420"/>
          <w:tab w:val="left" w:pos="910" w:leader="none"/>
        </w:tabs>
        <w:spacing w:lineRule="auto" w:line="240"/>
        <w:ind w:hanging="0" w:end="0"/>
        <w:jc w:val="center"/>
        <w:rPr>
          <w:rFonts w:ascii="黑体;方正黑体_GBK" w:hAnsi="黑体;方正黑体_GBK" w:eastAsia="黑体;方正黑体_GBK" w:cs="黑体;方正黑体_GBK"/>
          <w:sz w:val="30"/>
          <w:szCs w:val="30"/>
        </w:rPr>
      </w:pPr>
      <w:r>
        <w:rPr>
          <w:rFonts w:ascii="黑体;方正黑体_GBK" w:hAnsi="黑体;方正黑体_GBK" w:cs="黑体;方正黑体_GBK" w:eastAsia="黑体;方正黑体_GBK"/>
          <w:sz w:val="30"/>
          <w:szCs w:val="30"/>
        </w:rPr>
        <w:t>京津冀</w:t>
      </w:r>
      <w:r>
        <w:rPr>
          <w:rFonts w:ascii="黑体;方正黑体_GBK" w:hAnsi="黑体;方正黑体_GBK" w:cs="黑体;方正黑体_GBK" w:eastAsia="黑体;方正黑体_GBK"/>
          <w:sz w:val="30"/>
          <w:szCs w:val="30"/>
          <w:lang w:eastAsia="zh-CN"/>
        </w:rPr>
        <w:t>地区</w:t>
      </w:r>
      <w:r>
        <w:rPr>
          <w:rFonts w:ascii="黑体;方正黑体_GBK" w:hAnsi="黑体;方正黑体_GBK" w:cs="黑体;方正黑体_GBK" w:eastAsia="黑体;方正黑体_GBK"/>
          <w:sz w:val="30"/>
          <w:szCs w:val="30"/>
        </w:rPr>
        <w:t>家居</w:t>
      </w:r>
      <w:r>
        <w:rPr>
          <w:rFonts w:ascii="黑体;方正黑体_GBK" w:hAnsi="黑体;方正黑体_GBK" w:cs="黑体;方正黑体_GBK" w:eastAsia="黑体;方正黑体_GBK"/>
          <w:sz w:val="30"/>
          <w:szCs w:val="30"/>
          <w:lang w:eastAsia="zh-CN"/>
        </w:rPr>
        <w:t>定</w:t>
      </w:r>
      <w:r>
        <w:rPr>
          <w:rFonts w:ascii="黑体;方正黑体_GBK" w:hAnsi="黑体;方正黑体_GBK" w:cs="黑体;方正黑体_GBK" w:eastAsia="黑体;方正黑体_GBK"/>
          <w:sz w:val="30"/>
          <w:szCs w:val="30"/>
        </w:rPr>
        <w:t>作合同</w:t>
      </w:r>
    </w:p>
    <w:p>
      <w:pPr>
        <w:pStyle w:val="Normal"/>
        <w:spacing w:lineRule="exact" w:line="28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pStyle w:val="Normal"/>
        <w:spacing w:lineRule="exact" w:line="280"/>
        <w:rPr>
          <w:rFonts w:ascii="黑体;方正黑体_GBK" w:hAnsi="黑体;方正黑体_GBK" w:eastAsia="黑体;方正黑体_GBK" w:cs="黑体;方正黑体_GBK"/>
          <w:b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  <w:lang w:val="en-US" w:eastAsia="zh-CN"/>
        </w:rPr>
        <w:t xml:space="preserve">   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第一条  定作商品基本情况</w:t>
      </w:r>
    </w:p>
    <w:tbl>
      <w:tblPr>
        <w:tblW w:w="10870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907"/>
        <w:gridCol w:w="1561"/>
        <w:gridCol w:w="1135"/>
        <w:gridCol w:w="2242"/>
        <w:gridCol w:w="1450"/>
        <w:gridCol w:w="710"/>
        <w:gridCol w:w="567"/>
        <w:gridCol w:w="709"/>
        <w:gridCol w:w="852"/>
        <w:gridCol w:w="737"/>
      </w:tblGrid>
      <w:tr>
        <w:trPr>
          <w:trHeight w:val="480" w:hRule="atLeast"/>
        </w:trPr>
        <w:tc>
          <w:tcPr>
            <w:tcW w:w="907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商标</w:t>
            </w: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sz w:val="18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品牌</w:t>
            </w:r>
          </w:p>
        </w:tc>
        <w:tc>
          <w:tcPr>
            <w:tcW w:w="156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W w:w="224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材料</w:t>
            </w:r>
          </w:p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（主要材料</w:t>
            </w: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sz w:val="18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面料</w:t>
            </w:r>
            <w:r>
              <w:rPr>
                <w:rFonts w:eastAsia="黑体;方正黑体_GBK" w:cs="黑体;方正黑体_GBK" w:ascii="黑体;方正黑体_GBK" w:hAnsi="黑体;方正黑体_GBK"/>
                <w:b w:val="false"/>
                <w:color w:val="000000"/>
                <w:sz w:val="18"/>
                <w:szCs w:val="18"/>
              </w:rPr>
              <w:t>/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五金）</w:t>
            </w:r>
          </w:p>
        </w:tc>
        <w:tc>
          <w:tcPr>
            <w:tcW w:w="145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辅料</w:t>
            </w:r>
          </w:p>
        </w:tc>
        <w:tc>
          <w:tcPr>
            <w:tcW w:w="71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颜色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0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单价</w:t>
            </w:r>
          </w:p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黑体;方正黑体_GBK"/>
                <w:b w:val="false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（元）</w:t>
            </w:r>
          </w:p>
        </w:tc>
        <w:tc>
          <w:tcPr>
            <w:tcW w:w="85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黑体;方正黑体_GBK" w:hAnsi="黑体;方正黑体_GBK" w:eastAsia="黑体;方正黑体_GBK" w:cs="黑体;方正黑体_GBK"/>
                <w:bCs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color w:val="000000"/>
                <w:sz w:val="18"/>
                <w:szCs w:val="18"/>
              </w:rPr>
              <w:t>合计</w:t>
            </w:r>
          </w:p>
          <w:p>
            <w:pPr>
              <w:pStyle w:val="Normal"/>
              <w:spacing w:lineRule="exact" w:line="280"/>
              <w:jc w:val="center"/>
              <w:rPr>
                <w:rFonts w:ascii="黑体;方正黑体_GBK" w:hAnsi="黑体;方正黑体_GBK" w:eastAsia="黑体;方正黑体_GBK" w:cs="黑体;方正黑体_GBK"/>
                <w:b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color w:val="000000"/>
                <w:sz w:val="18"/>
                <w:szCs w:val="18"/>
              </w:rPr>
              <w:t>（元）</w:t>
            </w:r>
          </w:p>
        </w:tc>
        <w:tc>
          <w:tcPr>
            <w:tcW w:w="73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exact" w:line="280"/>
              <w:jc w:val="center"/>
              <w:rPr>
                <w:rFonts w:ascii="黑体;方正黑体_GBK" w:hAnsi="黑体;方正黑体_GBK" w:eastAsia="黑体;方正黑体_GBK" w:cs="黑体;方正黑体_GBK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color w:val="000000"/>
                <w:sz w:val="18"/>
                <w:szCs w:val="18"/>
              </w:rPr>
              <w:t>备注</w:t>
            </w:r>
          </w:p>
        </w:tc>
      </w:tr>
      <w:tr>
        <w:trPr>
          <w:trHeight w:val="273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21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07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07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07" w:hRule="atLeast"/>
        </w:trPr>
        <w:tc>
          <w:tcPr>
            <w:tcW w:w="907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5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1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224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14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tabs>
                <w:tab w:val="clear" w:pos="420"/>
                <w:tab w:val="left" w:pos="910" w:leader="none"/>
              </w:tabs>
              <w:snapToGrid w:val="false"/>
              <w:spacing w:lineRule="exact" w:line="280"/>
              <w:ind w:hanging="0" w:start="180" w:end="0"/>
              <w:jc w:val="center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  <w:tc>
          <w:tcPr>
            <w:tcW w:w="7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eastAsia="黑体;方正黑体_GBK" w:cs="仿宋;方正仿宋_GBK" w:ascii="黑体;方正黑体_GBK" w:hAnsi="黑体;方正黑体_GBK"/>
                <w:color w:val="000000"/>
                <w:sz w:val="18"/>
                <w:szCs w:val="18"/>
              </w:rPr>
            </w:r>
          </w:p>
        </w:tc>
      </w:tr>
      <w:tr>
        <w:trPr>
          <w:trHeight w:val="307" w:hRule="atLeast"/>
        </w:trPr>
        <w:tc>
          <w:tcPr>
            <w:tcW w:w="10870" w:type="dxa"/>
            <w:gridSpan w:val="10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pacing w:lineRule="exact" w:line="28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仿宋;方正仿宋_GBK" w:eastAsia="黑体;方正黑体_GBK"/>
                <w:color w:val="000000"/>
                <w:sz w:val="18"/>
                <w:szCs w:val="18"/>
              </w:rPr>
              <w:t>总价款：</w:t>
            </w:r>
            <w:r>
              <w:rPr>
                <w:rFonts w:ascii="黑体;方正黑体_GBK" w:hAnsi="黑体;方正黑体_GBK" w:cs="黑体;方正黑体_GBK" w:eastAsia="黑体;方正黑体_GBK"/>
                <w:b/>
                <w:color w:val="000000"/>
                <w:sz w:val="18"/>
                <w:szCs w:val="18"/>
              </w:rPr>
              <w:t>￥：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黑体;方正黑体_GBK" w:hAnsi="黑体;方正黑体_GBK" w:cs="黑体;方正黑体_GBK" w:eastAsia="黑体;方正黑体_GBK"/>
                <w:b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621" w:hRule="atLeast"/>
        </w:trPr>
        <w:tc>
          <w:tcPr>
            <w:tcW w:w="10870" w:type="dxa"/>
            <w:gridSpan w:val="10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Normal"/>
              <w:spacing w:lineRule="exact" w:line="280"/>
              <w:ind w:start="241" w:end="0"/>
              <w:rPr>
                <w:rFonts w:ascii="黑体;方正黑体_GBK" w:hAnsi="黑体;方正黑体_GBK" w:eastAsia="黑体;方正黑体_GBK" w:cs="宋体;方正书宋_GBK"/>
                <w:sz w:val="18"/>
                <w:szCs w:val="18"/>
                <w:u w:val="single"/>
              </w:rPr>
            </w:pP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</w:rPr>
              <w:t>其他相关费用： □送货费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</w:rPr>
              <w:t>元  □安装费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</w:rPr>
              <w:t>元   □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</w:rPr>
              <w:t>测量、设计费：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</w:rPr>
              <w:t xml:space="preserve">元      </w:t>
            </w:r>
            <w:r>
              <w:rPr>
                <w:rFonts w:ascii="黑体;方正黑体_GBK" w:hAnsi="黑体;方正黑体_GBK" w:cs="黑体;方正黑体_GBK" w:eastAsia="黑体;方正黑体_GBK"/>
                <w:b/>
                <w:bCs/>
                <w:color w:val="000000"/>
                <w:sz w:val="18"/>
                <w:szCs w:val="18"/>
              </w:rPr>
              <w:t>□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</w:rPr>
              <w:t>其他费用：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黑体;方正黑体_GBK" w:hAnsi="黑体;方正黑体_GBK" w:cs="宋体;方正书宋_GBK" w:eastAsia="黑体;方正黑体_GBK"/>
                <w:sz w:val="18"/>
                <w:szCs w:val="18"/>
              </w:rPr>
              <w:t>元</w:t>
            </w:r>
          </w:p>
          <w:p>
            <w:pPr>
              <w:pStyle w:val="BodyTextIndent"/>
              <w:tabs>
                <w:tab w:val="clear" w:pos="420"/>
                <w:tab w:val="left" w:pos="910" w:leader="none"/>
              </w:tabs>
              <w:spacing w:lineRule="exact" w:line="280"/>
              <w:ind w:hanging="0" w:end="0"/>
              <w:rPr>
                <w:rFonts w:ascii="黑体;方正黑体_GBK" w:hAnsi="黑体;方正黑体_GBK" w:eastAsia="黑体;方正黑体_GBK" w:cs="仿宋;方正仿宋_GBK"/>
                <w:color w:val="000000"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总计金额（大写）：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佰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拾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万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仟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佰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拾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元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角   ￥：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bCs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ascii="黑体;方正黑体_GBK" w:hAnsi="黑体;方正黑体_GBK" w:cs="黑体;方正黑体_GBK" w:eastAsia="黑体;方正黑体_GBK"/>
                <w:b w:val="false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pStyle w:val="Normal"/>
        <w:spacing w:lineRule="exact" w:line="300"/>
        <w:rPr>
          <w:rFonts w:ascii="黑体;方正黑体_GBK" w:hAnsi="黑体;方正黑体_GBK" w:eastAsia="黑体;方正黑体_GBK" w:cs="黑体;方正黑体_GBK"/>
          <w:b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第二条 定作设计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/>
          <w:sz w:val="18"/>
          <w:szCs w:val="18"/>
        </w:rPr>
      </w:pPr>
      <w:r>
        <w:rPr>
          <w:rFonts w:ascii="黑体;方正黑体_GBK" w:hAnsi="黑体;方正黑体_GBK" w:cs="宋体;方正书宋_GBK" w:eastAsia="黑体;方正黑体_GBK"/>
          <w:sz w:val="18"/>
          <w:szCs w:val="18"/>
        </w:rPr>
        <w:t>设计方案必须符合小区物业、水、电、气、暖等的装修规定。承揽方应依据定作方需求在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时将设计图纸一式两份交定作方，并由双方签字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/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盖章确认后作为合同附件。承揽方对设计方案提出保密要求的，定作方应遵守保密义务。</w:t>
      </w:r>
      <w:r>
        <w:rPr>
          <w:rFonts w:ascii="黑体;方正黑体_GBK" w:hAnsi="黑体;方正黑体_GBK" w:cs="宋体;方正书宋_GBK" w:eastAsia="黑体;方正黑体_GBK"/>
          <w:b/>
          <w:sz w:val="18"/>
          <w:szCs w:val="18"/>
          <w:u w:val="dotted"/>
        </w:rPr>
        <w:t>设计图纸经双方确认后，经双方同意方可更改并重新书面确认。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更改所造成的责任（延期交货、安装和费用增减及损失），由更改方承担。</w:t>
      </w:r>
    </w:p>
    <w:p>
      <w:pPr>
        <w:pStyle w:val="Normal"/>
        <w:spacing w:lineRule="exact" w:line="300"/>
        <w:ind w:firstLine="352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 xml:space="preserve">第三条 付款方式 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□定作方在签约时一次性支付全部价款。□定作方在签约时支付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元定金（不得超过全部价款的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20%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），余款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元应在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时付清。定作方违约退货的，无权要求返还定金；承揽方违约不能交付定作商品的，应双倍返还定金。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第四条 定作商品交付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□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 xml:space="preserve">承揽方送货 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/ □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定作方自提  交货时间：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年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月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日；交货地点：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                      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>□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承揽方安装  承揽方在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时完成定作商品的安装和调试。</w:t>
      </w:r>
      <w:r>
        <w:rPr>
          <w:rFonts w:ascii="黑体;方正黑体_GBK" w:hAnsi="黑体;方正黑体_GBK" w:eastAsia="黑体;方正黑体_GBK"/>
          <w:sz w:val="18"/>
          <w:szCs w:val="18"/>
        </w:rPr>
        <w:t xml:space="preserve">定制商品安装、调试完毕后，定作方应当自安装、调试完毕起 </w:t>
      </w:r>
      <w:r>
        <w:rPr>
          <w:rFonts w:ascii="黑体;方正黑体_GBK" w:hAnsi="黑体;方正黑体_GBK" w:eastAsia="黑体;方正黑体_GBK"/>
          <w:sz w:val="18"/>
          <w:szCs w:val="18"/>
          <w:u w:val="single"/>
        </w:rPr>
        <w:t xml:space="preserve">    </w:t>
      </w:r>
      <w:r>
        <w:rPr>
          <w:rFonts w:ascii="黑体;方正黑体_GBK" w:hAnsi="黑体;方正黑体_GBK" w:eastAsia="黑体;方正黑体_GBK"/>
          <w:sz w:val="18"/>
          <w:szCs w:val="18"/>
        </w:rPr>
        <w:t>日内进行验收，并书面确认。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安装地点：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          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第五条 售后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 xml:space="preserve">  正常使用条件下，本合同项下的定作商品“三包”期限为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，如出现质量问题，承揽方应承担定作商品的修理、更换、退货责任。保修期内，承揽方在接到定作方维修通知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日内，派专人免费维修。因使用不当造成的产品损坏，定作方应支付维修费用。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黑体;方正黑体_GBK"/>
          <w:b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第六条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b/>
          <w:sz w:val="18"/>
          <w:szCs w:val="18"/>
        </w:rPr>
        <w:t>违约金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1.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承揽方迟延交付定作商品的，应每日向定作方支付迟延交付定作商品价款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%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的违约金，迟延超过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日的，定作方有权解除合同，但因定作方原因导致的迟延除外。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2.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定作方逾期付款的，应每日向承揽方支付逾期支付金额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 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%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的违约金，逾期超过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日的，承揽方有权解除合同，但因承揽方原因导致的逾期付款除外。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3.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定作方自提定作商品的，迟延提货超过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日的，应每日向承揽方支付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 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元的保管费用，但因承揽方原因导致的迟延除外。</w:t>
      </w:r>
    </w:p>
    <w:p>
      <w:pPr>
        <w:pStyle w:val="Normal"/>
        <w:spacing w:lineRule="exact" w:line="300"/>
        <w:ind w:firstLine="473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ascii="黑体;方正黑体_GBK" w:hAnsi="黑体;方正黑体_GBK"/>
          <w:sz w:val="18"/>
          <w:szCs w:val="18"/>
        </w:rPr>
        <w:t>4</w:t>
      </w:r>
      <w:r>
        <w:rPr>
          <w:rFonts w:ascii="黑体;方正黑体_GBK" w:hAnsi="黑体;方正黑体_GBK" w:eastAsia="黑体;方正黑体_GBK"/>
          <w:sz w:val="18"/>
          <w:szCs w:val="18"/>
        </w:rPr>
        <w:t>、经法定家居定制商品质量检验机构检验，定制商品的有害物质限量不符合国家标准的强制性要求的，乙方有权无条件退货，并要求甲方赔偿相应的检测费、交通费、误工费、损失费等损失，并承担总价款</w:t>
      </w:r>
      <w:r>
        <w:rPr>
          <w:rFonts w:ascii="黑体;方正黑体_GBK" w:hAnsi="黑体;方正黑体_GBK" w:eastAsia="黑体;方正黑体_GBK"/>
          <w:sz w:val="18"/>
          <w:szCs w:val="18"/>
          <w:u w:val="single"/>
        </w:rPr>
        <w:t xml:space="preserve">    </w:t>
      </w:r>
      <w:r>
        <w:rPr>
          <w:rFonts w:eastAsia="黑体;方正黑体_GBK" w:ascii="黑体;方正黑体_GBK" w:hAnsi="黑体;方正黑体_GBK"/>
          <w:sz w:val="18"/>
          <w:szCs w:val="18"/>
        </w:rPr>
        <w:t>%</w:t>
      </w:r>
      <w:r>
        <w:rPr>
          <w:rFonts w:ascii="黑体;方正黑体_GBK" w:hAnsi="黑体;方正黑体_GBK" w:eastAsia="黑体;方正黑体_GBK"/>
          <w:sz w:val="18"/>
          <w:szCs w:val="18"/>
        </w:rPr>
        <w:t>的违约金。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第七条 其他约定：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                                                                    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。</w:t>
      </w:r>
    </w:p>
    <w:p>
      <w:pPr>
        <w:pStyle w:val="Normal"/>
        <w:spacing w:lineRule="exact" w:line="300"/>
        <w:ind w:firstLine="360" w:end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第八条 争议解决方式：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本合同项下发生的争议，双方应协商解决，或向市场主办单位、行业协会或消费者协会申请调解。协商或调解不成的，选择以下第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种方式解决：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1.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向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人民法院提起诉讼。</w:t>
      </w:r>
      <w:r>
        <w:rPr>
          <w:rFonts w:eastAsia="黑体;方正黑体_GBK" w:cs="宋体;方正书宋_GBK" w:ascii="黑体;方正黑体_GBK" w:hAnsi="黑体;方正黑体_GBK"/>
          <w:sz w:val="18"/>
          <w:szCs w:val="18"/>
        </w:rPr>
        <w:t>2.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向</w:t>
      </w:r>
      <w:r>
        <w:rPr>
          <w:rFonts w:ascii="黑体;方正黑体_GBK" w:hAnsi="黑体;方正黑体_GBK" w:cs="宋体;方正书宋_GBK" w:eastAsia="黑体;方正黑体_GBK"/>
          <w:sz w:val="18"/>
          <w:szCs w:val="18"/>
          <w:u w:val="single"/>
        </w:rPr>
        <w:t xml:space="preserve">            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仲裁委员会提请仲裁。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0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>第九条</w:t>
      </w:r>
      <w:r>
        <w:rPr>
          <w:rFonts w:ascii="黑体;方正黑体_GBK" w:hAnsi="黑体;方正黑体_GBK" w:cs="仿宋;方正仿宋_GBK" w:eastAsia="黑体;方正黑体_GBK"/>
          <w:b w:val="false"/>
          <w:sz w:val="18"/>
          <w:szCs w:val="18"/>
        </w:rPr>
        <w:t xml:space="preserve">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本合同自双方签字或盖章之日起生效。</w:t>
      </w:r>
      <w:r>
        <w:rPr>
          <w:rFonts w:ascii="黑体;方正黑体_GBK" w:hAnsi="黑体;方正黑体_GBK" w:eastAsia="黑体;方正黑体_GBK"/>
          <w:sz w:val="18"/>
          <w:szCs w:val="18"/>
        </w:rPr>
        <w:t>本合同与合同附件具有同等法律效力。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本合同一式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份（定作方执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;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承揽方执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;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主办单位执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  <w:u w:val="single"/>
        </w:rPr>
        <w:t xml:space="preserve">  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份），具有同等法律效力。</w:t>
      </w:r>
    </w:p>
    <w:p>
      <w:pPr>
        <w:pStyle w:val="BodyTextIndent"/>
        <w:tabs>
          <w:tab w:val="clear" w:pos="420"/>
          <w:tab w:val="left" w:pos="910" w:leader="none"/>
        </w:tabs>
        <w:snapToGrid w:val="false"/>
        <w:spacing w:lineRule="exact" w:line="300"/>
        <w:ind w:hanging="0" w:end="0"/>
        <w:jc w:val="center"/>
        <w:rPr>
          <w:rFonts w:ascii="黑体;方正黑体_GBK" w:hAnsi="黑体;方正黑体_GBK" w:eastAsia="黑体;方正黑体_GBK" w:cs="黑体;方正黑体_GBK"/>
          <w:bCs/>
          <w:sz w:val="18"/>
          <w:szCs w:val="18"/>
          <w:u w:val="dotted"/>
        </w:rPr>
      </w:pPr>
      <w:r>
        <w:rPr>
          <w:rFonts w:ascii="黑体;方正黑体_GBK" w:hAnsi="黑体;方正黑体_GBK" w:cs="黑体;方正黑体_GBK" w:eastAsia="黑体;方正黑体_GBK"/>
          <w:bCs/>
          <w:sz w:val="18"/>
          <w:szCs w:val="18"/>
          <w:u w:val="dotted"/>
        </w:rPr>
        <w:t>请认真阅读通用条款、风险提示及承揽方提供的其他书面材料，经确认无误后再签订本合同。</w:t>
      </w:r>
    </w:p>
    <w:tbl>
      <w:tblPr>
        <w:tblW w:w="10145" w:type="dxa"/>
        <w:jc w:val="start"/>
        <w:tblInd w:w="28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0"/>
        <w:gridCol w:w="4159"/>
        <w:gridCol w:w="3286"/>
      </w:tblGrid>
      <w:tr>
        <w:trPr>
          <w:trHeight w:val="253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定作方（定作方签章）：</w:t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承揽方（承揽方盖章）：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主办单位（盖章）：</w:t>
            </w:r>
          </w:p>
        </w:tc>
      </w:tr>
      <w:tr>
        <w:trPr>
          <w:trHeight w:val="253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联系电话：</w:t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统一社会信用代码（营业执照号）</w:t>
            </w: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  <w:t>: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  <w:tr>
        <w:trPr>
          <w:trHeight w:val="253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经办人（签字）：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  <w:tr>
        <w:trPr>
          <w:trHeight w:val="253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联系地址：</w:t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住所：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服务电话：</w:t>
            </w:r>
          </w:p>
        </w:tc>
      </w:tr>
      <w:tr>
        <w:trPr>
          <w:trHeight w:val="230" w:hRule="atLeast"/>
        </w:trPr>
        <w:tc>
          <w:tcPr>
            <w:tcW w:w="2700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  <w:tc>
          <w:tcPr>
            <w:tcW w:w="4159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 xml:space="preserve">       </w:t>
            </w:r>
            <w:r>
              <w:rPr>
                <w:rFonts w:ascii="黑体;方正黑体_GBK" w:hAnsi="黑体;方正黑体_GBK" w:cs="黑体;方正黑体_GBK" w:eastAsia="黑体;方正黑体_GBK"/>
                <w:bCs/>
                <w:sz w:val="18"/>
                <w:szCs w:val="18"/>
              </w:rPr>
              <w:t>服务电话：</w:t>
            </w:r>
          </w:p>
        </w:tc>
        <w:tc>
          <w:tcPr>
            <w:tcW w:w="3286" w:type="dxa"/>
            <w:tcBorders/>
          </w:tcPr>
          <w:p>
            <w:pPr>
              <w:pStyle w:val="Normal"/>
              <w:snapToGrid w:val="false"/>
              <w:spacing w:lineRule="exact" w:line="280"/>
              <w:rPr>
                <w:rFonts w:ascii="黑体;方正黑体_GBK" w:hAnsi="黑体;方正黑体_GBK" w:eastAsia="黑体;方正黑体_GBK" w:cs="黑体;方正黑体_GBK"/>
                <w:bCs/>
                <w:sz w:val="18"/>
                <w:szCs w:val="18"/>
              </w:rPr>
            </w:pPr>
            <w:r>
              <w:rPr>
                <w:rFonts w:eastAsia="黑体;方正黑体_GBK" w:cs="黑体;方正黑体_GBK" w:ascii="黑体;方正黑体_GBK" w:hAnsi="黑体;方正黑体_GBK"/>
                <w:bCs/>
                <w:sz w:val="18"/>
                <w:szCs w:val="18"/>
              </w:rPr>
            </w:r>
          </w:p>
        </w:tc>
      </w:tr>
    </w:tbl>
    <w:p>
      <w:pPr>
        <w:pStyle w:val="BodyTextIndent"/>
        <w:tabs>
          <w:tab w:val="clear" w:pos="420"/>
          <w:tab w:val="left" w:pos="910" w:leader="none"/>
        </w:tabs>
        <w:spacing w:lineRule="exact" w:line="280"/>
        <w:ind w:hanging="0" w:end="0"/>
        <w:jc w:val="end"/>
        <w:rPr>
          <w:rFonts w:ascii="黑体;方正黑体_GBK" w:hAnsi="黑体;方正黑体_GBK" w:eastAsia="黑体;方正黑体_GBK" w:cs="黑体;方正黑体_GBK"/>
          <w:b w:val="false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 w:val="false"/>
          <w:sz w:val="18"/>
          <w:szCs w:val="18"/>
        </w:rPr>
        <w:t>签订时间       年    月   日</w:t>
      </w:r>
    </w:p>
    <w:p>
      <w:pPr>
        <w:pStyle w:val="BodyTextIndent"/>
        <w:tabs>
          <w:tab w:val="clear" w:pos="420"/>
          <w:tab w:val="left" w:pos="910" w:leader="none"/>
        </w:tabs>
        <w:spacing w:lineRule="auto" w:line="480"/>
        <w:ind w:firstLine="4500" w:end="0"/>
        <w:rPr>
          <w:rFonts w:ascii="黑体;方正黑体_GBK" w:hAnsi="黑体;方正黑体_GBK" w:eastAsia="黑体;方正黑体_GBK" w:cs="黑体;方正黑体_GBK"/>
          <w:sz w:val="30"/>
          <w:szCs w:val="30"/>
        </w:rPr>
      </w:pPr>
      <w:r>
        <w:rPr>
          <w:rFonts w:ascii="黑体;方正黑体_GBK" w:hAnsi="黑体;方正黑体_GBK" w:cs="黑体;方正黑体_GBK" w:eastAsia="黑体;方正黑体_GBK"/>
          <w:sz w:val="30"/>
          <w:szCs w:val="30"/>
        </w:rPr>
        <w:t>通用条款</w:t>
      </w:r>
    </w:p>
    <w:p>
      <w:pPr>
        <w:pStyle w:val="Normal"/>
        <w:numPr>
          <w:ilvl w:val="0"/>
          <w:numId w:val="0"/>
        </w:numPr>
        <w:spacing w:lineRule="exact" w:line="320"/>
        <w:outlineLvl w:val="0"/>
        <w:rPr>
          <w:rFonts w:ascii="黑体;方正黑体_GBK" w:hAnsi="黑体;方正黑体_GBK" w:eastAsia="黑体;方正黑体_GBK" w:cs="黑体;方正黑体_GBK"/>
          <w:b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  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一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、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测量、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设计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与监督</w:t>
      </w:r>
    </w:p>
    <w:p>
      <w:pPr>
        <w:pStyle w:val="Normal"/>
        <w:spacing w:lineRule="exact" w:line="320"/>
        <w:ind w:firstLine="36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/>
          <w:sz w:val="18"/>
          <w:szCs w:val="18"/>
        </w:rPr>
        <w:t>承揽方应安排专业人员进行实地测量，并按定作方要求制作符</w:t>
      </w:r>
      <w:r>
        <w:rPr>
          <w:rFonts w:ascii="宋体;方正书宋_GBK" w:hAnsi="宋体;方正书宋_GBK" w:cs="宋体;方正书宋_GBK"/>
          <w:sz w:val="18"/>
          <w:szCs w:val="18"/>
        </w:rPr>
        <w:t>合技术要求的</w:t>
      </w:r>
      <w:r>
        <w:rPr>
          <w:rFonts w:ascii="宋体;方正书宋_GBK" w:hAnsi="宋体;方正书宋_GBK" w:cs="宋体;方正书宋_GBK"/>
          <w:sz w:val="18"/>
          <w:szCs w:val="18"/>
        </w:rPr>
        <w:t>设计方案及图纸；定作方认为承揽方设计方案及图纸</w:t>
      </w:r>
      <w:r>
        <w:rPr>
          <w:rFonts w:ascii="宋体;方正书宋_GBK" w:hAnsi="宋体;方正书宋_GBK" w:cs="宋体;方正书宋_GBK"/>
          <w:sz w:val="18"/>
          <w:szCs w:val="18"/>
        </w:rPr>
        <w:t>不合理的，应及时通知承揽方。</w:t>
      </w:r>
      <w:r>
        <w:rPr>
          <w:rFonts w:ascii="宋体;方正书宋_GBK" w:hAnsi="宋体;方正书宋_GBK" w:cs="宋体;方正书宋_GBK"/>
          <w:sz w:val="18"/>
          <w:szCs w:val="18"/>
        </w:rPr>
        <w:t>承揽方接到通知后，应与定作方及时沟通，修改设计方案及图纸。</w:t>
      </w:r>
    </w:p>
    <w:p>
      <w:pPr>
        <w:pStyle w:val="Normal"/>
        <w:spacing w:lineRule="exact" w:line="320"/>
        <w:ind w:firstLine="36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cs="宋体;方正书宋_GBK" w:ascii="宋体;方正书宋_GBK" w:hAnsi="宋体;方正书宋_GBK"/>
          <w:sz w:val="18"/>
          <w:szCs w:val="18"/>
        </w:rPr>
        <w:t>2.</w:t>
      </w:r>
      <w:r>
        <w:rPr>
          <w:rFonts w:ascii="宋体;方正书宋_GBK" w:hAnsi="宋体;方正书宋_GBK" w:cs="宋体;方正书宋_GBK"/>
          <w:sz w:val="18"/>
          <w:szCs w:val="18"/>
        </w:rPr>
        <w:t>定作方有权对定作商品使用材料的质量、数量等进行监督检验，但不得</w:t>
      </w:r>
      <w:r>
        <w:rPr>
          <w:rFonts w:ascii="宋体;方正书宋_GBK" w:hAnsi="宋体;方正书宋_GBK" w:cs="宋体;方正书宋_GBK"/>
          <w:sz w:val="18"/>
          <w:szCs w:val="18"/>
        </w:rPr>
        <w:t>妨碍</w:t>
      </w:r>
      <w:r>
        <w:rPr>
          <w:rFonts w:ascii="宋体;方正书宋_GBK" w:hAnsi="宋体;方正书宋_GBK" w:cs="宋体;方正书宋_GBK"/>
          <w:sz w:val="18"/>
          <w:szCs w:val="18"/>
        </w:rPr>
        <w:t>承揽方正常工作。</w:t>
      </w:r>
    </w:p>
    <w:p>
      <w:pPr>
        <w:pStyle w:val="Normal"/>
        <w:numPr>
          <w:ilvl w:val="0"/>
          <w:numId w:val="0"/>
        </w:numPr>
        <w:spacing w:lineRule="exact" w:line="320"/>
        <w:outlineLvl w:val="0"/>
        <w:rPr>
          <w:rFonts w:ascii="黑体;方正黑体_GBK" w:hAnsi="黑体;方正黑体_GBK" w:eastAsia="黑体;方正黑体_GBK" w:cs="黑体;方正黑体_GBK"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sz w:val="18"/>
          <w:szCs w:val="18"/>
        </w:rPr>
        <w:t xml:space="preserve">  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 xml:space="preserve">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二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、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安装与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验收</w:t>
      </w:r>
    </w:p>
    <w:p>
      <w:pPr>
        <w:pStyle w:val="Normal"/>
        <w:spacing w:lineRule="exact" w:line="320"/>
        <w:ind w:firstLine="36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/>
          <w:sz w:val="18"/>
          <w:szCs w:val="18"/>
        </w:rPr>
        <w:t>定作方</w:t>
      </w:r>
      <w:r>
        <w:rPr>
          <w:rFonts w:ascii="宋体;方正书宋_GBK" w:hAnsi="宋体;方正书宋_GBK" w:cs="宋体;方正书宋_GBK"/>
          <w:sz w:val="18"/>
          <w:szCs w:val="18"/>
        </w:rPr>
        <w:t>应</w:t>
      </w:r>
      <w:r>
        <w:rPr>
          <w:rFonts w:ascii="宋体;方正书宋_GBK" w:hAnsi="宋体;方正书宋_GBK" w:cs="宋体;方正书宋_GBK"/>
          <w:sz w:val="18"/>
          <w:szCs w:val="18"/>
        </w:rPr>
        <w:t>在约</w:t>
      </w:r>
      <w:r>
        <w:rPr>
          <w:rFonts w:ascii="宋体;方正书宋_GBK" w:hAnsi="宋体;方正书宋_GBK" w:cs="宋体;方正书宋_GBK"/>
          <w:sz w:val="18"/>
          <w:szCs w:val="18"/>
        </w:rPr>
        <w:t>定安装</w:t>
      </w:r>
      <w:r>
        <w:rPr>
          <w:rFonts w:ascii="宋体;方正书宋_GBK" w:hAnsi="宋体;方正书宋_GBK" w:cs="宋体;方正书宋_GBK"/>
          <w:sz w:val="18"/>
          <w:szCs w:val="18"/>
        </w:rPr>
        <w:t>时间</w:t>
      </w:r>
      <w:r>
        <w:rPr>
          <w:rFonts w:ascii="宋体;方正书宋_GBK" w:hAnsi="宋体;方正书宋_GBK" w:cs="宋体;方正书宋_GBK"/>
          <w:sz w:val="18"/>
          <w:szCs w:val="18"/>
        </w:rPr>
        <w:t>前</w:t>
      </w:r>
      <w:r>
        <w:rPr>
          <w:rFonts w:ascii="宋体;方正书宋_GBK" w:hAnsi="宋体;方正书宋_GBK" w:cs="宋体;方正书宋_GBK"/>
          <w:sz w:val="18"/>
          <w:szCs w:val="18"/>
        </w:rPr>
        <w:t>为</w:t>
      </w:r>
      <w:r>
        <w:rPr>
          <w:rFonts w:ascii="宋体;方正书宋_GBK" w:hAnsi="宋体;方正书宋_GBK" w:cs="宋体;方正书宋_GBK"/>
          <w:sz w:val="18"/>
          <w:szCs w:val="18"/>
        </w:rPr>
        <w:t>承揽方入场安装提供所需的必要条件。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 </w:t>
      </w:r>
      <w:r>
        <w:rPr>
          <w:rFonts w:cs="宋体;方正书宋_GBK" w:ascii="宋体;方正书宋_GBK" w:hAnsi="宋体;方正书宋_GBK"/>
          <w:sz w:val="18"/>
          <w:szCs w:val="18"/>
        </w:rPr>
        <w:t>2.</w:t>
      </w:r>
      <w:r>
        <w:rPr>
          <w:rFonts w:ascii="宋体;方正书宋_GBK" w:hAnsi="宋体;方正书宋_GBK" w:cs="宋体;方正书宋_GBK"/>
          <w:sz w:val="18"/>
          <w:szCs w:val="18"/>
        </w:rPr>
        <w:t>承揽方在完成</w:t>
      </w:r>
      <w:r>
        <w:rPr>
          <w:rFonts w:ascii="宋体;方正书宋_GBK" w:hAnsi="宋体;方正书宋_GBK" w:cs="宋体;方正书宋_GBK"/>
          <w:sz w:val="18"/>
          <w:szCs w:val="18"/>
        </w:rPr>
        <w:t>定作商品的安装后，应对定作商</w:t>
      </w:r>
      <w:r>
        <w:rPr>
          <w:rFonts w:ascii="宋体;方正书宋_GBK" w:hAnsi="宋体;方正书宋_GBK" w:cs="宋体;方正书宋_GBK"/>
          <w:sz w:val="18"/>
          <w:szCs w:val="18"/>
        </w:rPr>
        <w:t>品质量自行检验</w:t>
      </w:r>
      <w:r>
        <w:rPr>
          <w:rFonts w:ascii="宋体;方正书宋_GBK" w:hAnsi="宋体;方正书宋_GBK" w:cs="宋体;方正书宋_GBK"/>
          <w:sz w:val="18"/>
          <w:szCs w:val="18"/>
        </w:rPr>
        <w:t>，</w:t>
      </w:r>
      <w:r>
        <w:rPr>
          <w:rFonts w:ascii="宋体;方正书宋_GBK" w:hAnsi="宋体;方正书宋_GBK" w:cs="宋体;方正书宋_GBK"/>
          <w:sz w:val="18"/>
          <w:szCs w:val="18"/>
        </w:rPr>
        <w:t>自行检验</w:t>
      </w:r>
      <w:r>
        <w:rPr>
          <w:rFonts w:ascii="宋体;方正书宋_GBK" w:hAnsi="宋体;方正书宋_GBK" w:cs="宋体;方正书宋_GBK"/>
          <w:sz w:val="18"/>
          <w:szCs w:val="18"/>
        </w:rPr>
        <w:t>合格</w:t>
      </w:r>
      <w:r>
        <w:rPr>
          <w:rFonts w:ascii="宋体;方正书宋_GBK" w:hAnsi="宋体;方正书宋_GBK" w:cs="宋体;方正书宋_GBK"/>
          <w:sz w:val="18"/>
          <w:szCs w:val="18"/>
        </w:rPr>
        <w:t>后方可</w:t>
      </w:r>
      <w:r>
        <w:rPr>
          <w:rFonts w:ascii="宋体;方正书宋_GBK" w:hAnsi="宋体;方正书宋_GBK" w:cs="宋体;方正书宋_GBK"/>
          <w:sz w:val="18"/>
          <w:szCs w:val="18"/>
        </w:rPr>
        <w:t>交付定作方</w:t>
      </w:r>
      <w:r>
        <w:rPr>
          <w:rFonts w:ascii="宋体;方正书宋_GBK" w:hAnsi="宋体;方正书宋_GBK" w:cs="宋体;方正书宋_GBK"/>
          <w:sz w:val="18"/>
          <w:szCs w:val="18"/>
        </w:rPr>
        <w:t>验收</w:t>
      </w:r>
      <w:r>
        <w:rPr>
          <w:rFonts w:ascii="宋体;方正书宋_GBK" w:hAnsi="宋体;方正书宋_GBK" w:cs="宋体;方正书宋_GBK"/>
          <w:sz w:val="18"/>
          <w:szCs w:val="18"/>
        </w:rPr>
        <w:t>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 </w:t>
      </w:r>
      <w:r>
        <w:rPr>
          <w:rFonts w:cs="宋体;方正书宋_GBK" w:ascii="宋体;方正书宋_GBK" w:hAnsi="宋体;方正书宋_GBK"/>
          <w:sz w:val="18"/>
          <w:szCs w:val="18"/>
        </w:rPr>
        <w:t>3.</w:t>
      </w:r>
      <w:r>
        <w:rPr>
          <w:rFonts w:ascii="宋体;方正书宋_GBK" w:hAnsi="宋体;方正书宋_GBK" w:cs="宋体;方正书宋_GBK"/>
          <w:sz w:val="18"/>
          <w:szCs w:val="18"/>
        </w:rPr>
        <w:t>定作方应在承揽方交付时</w:t>
      </w:r>
      <w:r>
        <w:rPr>
          <w:rFonts w:ascii="宋体;方正书宋_GBK" w:hAnsi="宋体;方正书宋_GBK" w:cs="宋体;方正书宋_GBK"/>
          <w:b/>
          <w:sz w:val="18"/>
          <w:szCs w:val="18"/>
        </w:rPr>
        <w:t>对</w:t>
      </w:r>
      <w:r>
        <w:rPr>
          <w:rFonts w:ascii="宋体;方正书宋_GBK" w:hAnsi="宋体;方正书宋_GBK" w:cs="宋体;方正书宋_GBK"/>
          <w:b/>
          <w:sz w:val="18"/>
          <w:szCs w:val="18"/>
          <w:u w:val="dottedHeavy"/>
        </w:rPr>
        <w:t>定作商品的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定作商品基本情况、</w:t>
      </w:r>
      <w:r>
        <w:rPr>
          <w:rFonts w:ascii="宋体;方正书宋_GBK" w:hAnsi="宋体;方正书宋_GBK" w:cs="宋体;方正书宋_GBK"/>
          <w:b/>
          <w:sz w:val="18"/>
          <w:szCs w:val="18"/>
          <w:u w:val="dottedHeavy"/>
        </w:rPr>
        <w:t>包装、有无外观瑕疵等进行验收，并对《使用说明书》、《产品合格证》等材料是否齐全进行确认。</w:t>
      </w:r>
      <w:r>
        <w:rPr>
          <w:rFonts w:ascii="宋体;方正书宋_GBK" w:hAnsi="宋体;方正书宋_GBK" w:cs="宋体;方正书宋_GBK"/>
          <w:sz w:val="18"/>
          <w:szCs w:val="18"/>
        </w:rPr>
        <w:t>定作方发现问题应当场提出，由双方协商达成解决方案，并以书面方式进行确认。</w:t>
      </w:r>
    </w:p>
    <w:p>
      <w:pPr>
        <w:pStyle w:val="Normal"/>
        <w:spacing w:lineRule="exact" w:line="320"/>
        <w:ind w:firstLine="180" w:start="180" w:end="0"/>
        <w:rPr>
          <w:rFonts w:ascii="黑体;方正黑体_GBK" w:hAnsi="黑体;方正黑体_GBK" w:eastAsia="黑体;方正黑体_GBK" w:cs="宋体;方正书宋_GBK"/>
          <w:b/>
          <w:sz w:val="18"/>
          <w:szCs w:val="18"/>
          <w:u w:val="dottedHeavy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4.</w:t>
      </w:r>
      <w:r>
        <w:rPr>
          <w:rFonts w:eastAsia="黑体;方正黑体_GBK" w:ascii="黑体;方正黑体_GBK" w:hAnsi="黑体;方正黑体_GBK"/>
          <w:sz w:val="18"/>
          <w:szCs w:val="18"/>
        </w:rPr>
        <w:t xml:space="preserve"> </w:t>
      </w:r>
      <w:r>
        <w:rPr>
          <w:rFonts w:ascii="黑体;方正黑体_GBK" w:hAnsi="黑体;方正黑体_GBK" w:eastAsia="黑体;方正黑体_GBK"/>
          <w:sz w:val="18"/>
          <w:szCs w:val="18"/>
        </w:rPr>
        <w:t>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pStyle w:val="Normal"/>
        <w:numPr>
          <w:ilvl w:val="0"/>
          <w:numId w:val="0"/>
        </w:numPr>
        <w:spacing w:lineRule="exact" w:line="320"/>
        <w:outlineLvl w:val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   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三、质量标准</w:t>
      </w:r>
    </w:p>
    <w:p>
      <w:pPr>
        <w:pStyle w:val="Normal"/>
        <w:spacing w:lineRule="exact" w:line="32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   </w:t>
      </w:r>
      <w:r>
        <w:rPr>
          <w:rFonts w:cs="宋体;方正书宋_GBK" w:ascii="宋体;方正书宋_GBK" w:hAnsi="宋体;方正书宋_GBK"/>
          <w:sz w:val="18"/>
          <w:szCs w:val="18"/>
        </w:rPr>
        <w:t>1.</w:t>
      </w:r>
      <w:r>
        <w:rPr>
          <w:rFonts w:ascii="宋体;方正书宋_GBK" w:hAnsi="宋体;方正书宋_GBK" w:cs="宋体;方正书宋_GBK"/>
          <w:sz w:val="18"/>
          <w:szCs w:val="18"/>
          <w:u w:val="dotted"/>
        </w:rPr>
        <w:t>定作商品涉及水、电、气改造的，应符合国家、行业等相关技术规定。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 </w:t>
      </w:r>
      <w:r>
        <w:rPr>
          <w:rFonts w:cs="宋体;方正书宋_GBK" w:ascii="宋体;方正书宋_GBK" w:hAnsi="宋体;方正书宋_GBK"/>
          <w:sz w:val="18"/>
          <w:szCs w:val="18"/>
        </w:rPr>
        <w:t>2</w:t>
      </w:r>
      <w:r>
        <w:rPr>
          <w:rFonts w:cs="宋体;方正书宋_GBK" w:ascii="宋体;方正书宋_GBK" w:hAnsi="宋体;方正书宋_GBK"/>
          <w:sz w:val="18"/>
          <w:szCs w:val="18"/>
        </w:rPr>
        <w:t>.</w:t>
      </w:r>
      <w:r>
        <w:rPr>
          <w:rFonts w:ascii="宋体;方正书宋_GBK" w:hAnsi="宋体;方正书宋_GBK" w:cs="宋体;方正书宋_GBK"/>
          <w:sz w:val="18"/>
          <w:szCs w:val="18"/>
        </w:rPr>
        <w:t>承揽方</w:t>
      </w:r>
      <w:r>
        <w:rPr>
          <w:rFonts w:ascii="宋体;方正书宋_GBK" w:hAnsi="宋体;方正书宋_GBK" w:cs="宋体;方正书宋_GBK"/>
          <w:sz w:val="18"/>
          <w:szCs w:val="18"/>
        </w:rPr>
        <w:t>所提供的材料</w:t>
      </w:r>
      <w:r>
        <w:rPr>
          <w:rFonts w:ascii="宋体;方正书宋_GBK" w:hAnsi="宋体;方正书宋_GBK" w:cs="宋体;方正书宋_GBK"/>
          <w:sz w:val="18"/>
          <w:szCs w:val="18"/>
        </w:rPr>
        <w:t>应符合《室内装饰装修材料有害物质限量》和其他相关质量标准要求。</w:t>
      </w:r>
    </w:p>
    <w:p>
      <w:pPr>
        <w:pStyle w:val="Normal"/>
        <w:spacing w:lineRule="exact" w:line="320"/>
        <w:ind w:firstLine="180"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cs="宋体;方正书宋_GBK" w:ascii="宋体;方正书宋_GBK" w:hAnsi="宋体;方正书宋_GBK"/>
          <w:sz w:val="18"/>
          <w:szCs w:val="18"/>
        </w:rPr>
        <w:t>3.</w:t>
      </w:r>
      <w:r>
        <w:rPr>
          <w:rFonts w:ascii="宋体;方正书宋_GBK" w:hAnsi="宋体;方正书宋_GBK" w:cs="宋体;方正书宋_GBK"/>
          <w:sz w:val="18"/>
          <w:szCs w:val="18"/>
        </w:rPr>
        <w:t>承揽方交</w:t>
      </w:r>
      <w:r>
        <w:rPr>
          <w:rFonts w:ascii="宋体;方正书宋_GBK" w:hAnsi="宋体;方正书宋_GBK" w:cs="宋体;方正书宋_GBK"/>
          <w:sz w:val="18"/>
          <w:szCs w:val="18"/>
        </w:rPr>
        <w:t>付的定作商品应</w:t>
      </w:r>
      <w:r>
        <w:rPr>
          <w:rFonts w:ascii="宋体;方正书宋_GBK" w:hAnsi="宋体;方正书宋_GBK" w:cs="宋体;方正书宋_GBK"/>
          <w:sz w:val="18"/>
          <w:szCs w:val="18"/>
        </w:rPr>
        <w:t>符合</w:t>
      </w:r>
      <w:r>
        <w:rPr>
          <w:rFonts w:ascii="宋体;方正书宋_GBK" w:hAnsi="宋体;方正书宋_GBK" w:cs="宋体;方正书宋_GBK"/>
          <w:sz w:val="18"/>
          <w:szCs w:val="18"/>
        </w:rPr>
        <w:t>合同</w:t>
      </w:r>
      <w:r>
        <w:rPr>
          <w:rFonts w:ascii="宋体;方正书宋_GBK" w:hAnsi="宋体;方正书宋_GBK" w:cs="宋体;方正书宋_GBK"/>
          <w:sz w:val="18"/>
          <w:szCs w:val="18"/>
        </w:rPr>
        <w:t>约定</w:t>
      </w:r>
      <w:r>
        <w:rPr>
          <w:rFonts w:ascii="宋体;方正书宋_GBK" w:hAnsi="宋体;方正书宋_GBK" w:cs="宋体;方正书宋_GBK"/>
          <w:sz w:val="18"/>
          <w:szCs w:val="18"/>
        </w:rPr>
        <w:t>和国家</w:t>
      </w:r>
      <w:r>
        <w:rPr>
          <w:rFonts w:ascii="宋体;方正书宋_GBK" w:hAnsi="宋体;方正书宋_GBK" w:cs="宋体;方正书宋_GBK"/>
          <w:sz w:val="18"/>
          <w:szCs w:val="18"/>
        </w:rPr>
        <w:t>、行业关于产品质量</w:t>
      </w:r>
      <w:r>
        <w:rPr>
          <w:rFonts w:ascii="宋体;方正书宋_GBK" w:hAnsi="宋体;方正书宋_GBK" w:cs="宋体;方正书宋_GBK"/>
          <w:sz w:val="18"/>
          <w:szCs w:val="18"/>
        </w:rPr>
        <w:t>、</w:t>
      </w:r>
      <w:r>
        <w:rPr>
          <w:rFonts w:ascii="宋体;方正书宋_GBK" w:hAnsi="宋体;方正书宋_GBK" w:cs="宋体;方正书宋_GBK"/>
          <w:sz w:val="18"/>
          <w:szCs w:val="18"/>
        </w:rPr>
        <w:t>安全、</w:t>
      </w:r>
      <w:r>
        <w:rPr>
          <w:rFonts w:ascii="宋体;方正书宋_GBK" w:hAnsi="宋体;方正书宋_GBK" w:cs="宋体;方正书宋_GBK"/>
          <w:sz w:val="18"/>
          <w:szCs w:val="18"/>
        </w:rPr>
        <w:t>健康、</w:t>
      </w:r>
      <w:r>
        <w:rPr>
          <w:rFonts w:ascii="宋体;方正书宋_GBK" w:hAnsi="宋体;方正书宋_GBK" w:cs="宋体;方正书宋_GBK"/>
          <w:sz w:val="18"/>
          <w:szCs w:val="18"/>
        </w:rPr>
        <w:t>环</w:t>
      </w:r>
      <w:r>
        <w:rPr>
          <w:rFonts w:ascii="宋体;方正书宋_GBK" w:hAnsi="宋体;方正书宋_GBK" w:cs="宋体;方正书宋_GBK"/>
          <w:sz w:val="18"/>
          <w:szCs w:val="18"/>
        </w:rPr>
        <w:t>保</w:t>
      </w:r>
      <w:r>
        <w:rPr>
          <w:rFonts w:ascii="宋体;方正书宋_GBK" w:hAnsi="宋体;方正书宋_GBK" w:cs="宋体;方正书宋_GBK"/>
          <w:sz w:val="18"/>
          <w:szCs w:val="18"/>
        </w:rPr>
        <w:t>等</w:t>
      </w:r>
      <w:r>
        <w:rPr>
          <w:rFonts w:ascii="宋体;方正书宋_GBK" w:hAnsi="宋体;方正书宋_GBK" w:cs="宋体;方正书宋_GBK"/>
          <w:sz w:val="18"/>
          <w:szCs w:val="18"/>
        </w:rPr>
        <w:t>方面的法律、法规</w:t>
      </w:r>
      <w:r>
        <w:rPr>
          <w:rFonts w:ascii="宋体;方正书宋_GBK" w:hAnsi="宋体;方正书宋_GBK" w:cs="宋体;方正书宋_GBK"/>
          <w:sz w:val="18"/>
          <w:szCs w:val="18"/>
        </w:rPr>
        <w:t>和</w:t>
      </w:r>
      <w:r>
        <w:rPr>
          <w:rFonts w:ascii="宋体;方正书宋_GBK" w:hAnsi="宋体;方正书宋_GBK" w:cs="宋体;方正书宋_GBK"/>
          <w:sz w:val="18"/>
          <w:szCs w:val="18"/>
        </w:rPr>
        <w:t>标准的规定</w:t>
      </w:r>
      <w:r>
        <w:rPr>
          <w:rFonts w:ascii="宋体;方正书宋_GBK" w:hAnsi="宋体;方正书宋_GBK" w:cs="宋体;方正书宋_GBK"/>
          <w:sz w:val="18"/>
          <w:szCs w:val="18"/>
        </w:rPr>
        <w:t>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 </w:t>
      </w:r>
      <w:r>
        <w:rPr>
          <w:rFonts w:cs="宋体;方正书宋_GBK" w:ascii="宋体;方正书宋_GBK" w:hAnsi="宋体;方正书宋_GBK"/>
          <w:sz w:val="18"/>
          <w:szCs w:val="18"/>
        </w:rPr>
        <w:t>4</w:t>
      </w:r>
      <w:r>
        <w:rPr>
          <w:rFonts w:cs="宋体;方正书宋_GBK" w:ascii="宋体;方正书宋_GBK" w:hAnsi="宋体;方正书宋_GBK"/>
          <w:sz w:val="18"/>
          <w:szCs w:val="18"/>
        </w:rPr>
        <w:t>.</w:t>
      </w:r>
      <w:r>
        <w:rPr>
          <w:rFonts w:ascii="宋体;方正书宋_GBK" w:hAnsi="宋体;方正书宋_GBK" w:cs="宋体;方正书宋_GBK"/>
          <w:sz w:val="18"/>
          <w:szCs w:val="18"/>
        </w:rPr>
        <w:t>定作商品为儿童家具的，应符合《儿童家具通用技术条件》（</w:t>
      </w:r>
      <w:r>
        <w:rPr>
          <w:rFonts w:cs="宋体;方正书宋_GBK" w:ascii="宋体;方正书宋_GBK" w:hAnsi="宋体;方正书宋_GBK"/>
          <w:sz w:val="18"/>
          <w:szCs w:val="18"/>
        </w:rPr>
        <w:t>GB 28007</w:t>
      </w:r>
      <w:r>
        <w:rPr>
          <w:rFonts w:ascii="宋体;方正书宋_GBK" w:hAnsi="宋体;方正书宋_GBK" w:cs="宋体;方正书宋_GBK"/>
          <w:sz w:val="18"/>
          <w:szCs w:val="18"/>
        </w:rPr>
        <w:t>）及相关产品的国家、行业等标准的要求。</w:t>
      </w:r>
    </w:p>
    <w:p>
      <w:pPr>
        <w:pStyle w:val="Normal"/>
        <w:spacing w:lineRule="exact" w:line="320"/>
        <w:ind w:start="180" w:end="0"/>
        <w:rPr>
          <w:rFonts w:ascii="宋体;方正书宋_GBK" w:hAnsi="宋体;方正书宋_GBK" w:cs="宋体;方正书宋_GBK"/>
          <w:sz w:val="18"/>
          <w:szCs w:val="18"/>
        </w:rPr>
      </w:pPr>
      <w:r>
        <w:rPr>
          <w:rFonts w:ascii="宋体;方正书宋_GBK" w:hAnsi="宋体;方正书宋_GBK" w:cs="宋体;方正书宋_GBK" w:eastAsia="宋体;方正书宋_GBK"/>
          <w:sz w:val="18"/>
          <w:szCs w:val="18"/>
        </w:rPr>
        <w:t xml:space="preserve">  </w:t>
      </w:r>
      <w:r>
        <w:rPr>
          <w:rFonts w:cs="宋体;方正书宋_GBK" w:ascii="宋体;方正书宋_GBK" w:hAnsi="宋体;方正书宋_GBK"/>
          <w:sz w:val="18"/>
          <w:szCs w:val="18"/>
        </w:rPr>
        <w:t>5.</w:t>
      </w:r>
      <w:r>
        <w:rPr>
          <w:rFonts w:ascii="宋体;方正书宋_GBK" w:hAnsi="宋体;方正书宋_GBK" w:cs="宋体;方正书宋_GBK"/>
          <w:sz w:val="18"/>
          <w:szCs w:val="18"/>
        </w:rPr>
        <w:t>承揽方安装后</w:t>
      </w:r>
      <w:r>
        <w:rPr>
          <w:rFonts w:ascii="宋体;方正书宋_GBK" w:hAnsi="宋体;方正书宋_GBK" w:cs="宋体;方正书宋_GBK"/>
          <w:sz w:val="18"/>
          <w:szCs w:val="18"/>
        </w:rPr>
        <w:t>应向定作方提</w:t>
      </w:r>
      <w:r>
        <w:rPr>
          <w:rFonts w:ascii="宋体;方正书宋_GBK" w:hAnsi="宋体;方正书宋_GBK" w:cs="宋体;方正书宋_GBK"/>
          <w:sz w:val="18"/>
          <w:szCs w:val="18"/>
        </w:rPr>
        <w:t>交必</w:t>
      </w:r>
      <w:r>
        <w:rPr>
          <w:rFonts w:ascii="宋体;方正书宋_GBK" w:hAnsi="宋体;方正书宋_GBK" w:cs="宋体;方正书宋_GBK"/>
          <w:sz w:val="18"/>
          <w:szCs w:val="18"/>
        </w:rPr>
        <w:t>要的技术资料</w:t>
      </w:r>
      <w:r>
        <w:rPr>
          <w:rFonts w:ascii="宋体;方正书宋_GBK" w:hAnsi="宋体;方正书宋_GBK" w:cs="宋体;方正书宋_GBK"/>
          <w:sz w:val="18"/>
          <w:szCs w:val="18"/>
        </w:rPr>
        <w:t>、</w:t>
      </w:r>
      <w:r>
        <w:rPr>
          <w:rFonts w:ascii="宋体;方正书宋_GBK" w:hAnsi="宋体;方正书宋_GBK" w:cs="宋体;方正书宋_GBK"/>
          <w:sz w:val="18"/>
          <w:szCs w:val="18"/>
        </w:rPr>
        <w:t>有关质量证明</w:t>
      </w:r>
      <w:r>
        <w:rPr>
          <w:rFonts w:ascii="宋体;方正书宋_GBK" w:hAnsi="宋体;方正书宋_GBK" w:cs="宋体;方正书宋_GBK"/>
          <w:sz w:val="18"/>
          <w:szCs w:val="18"/>
        </w:rPr>
        <w:t>文件和</w:t>
      </w:r>
      <w:r>
        <w:rPr>
          <w:rFonts w:ascii="宋体;方正书宋_GBK" w:hAnsi="宋体;方正书宋_GBK" w:cs="宋体;方正书宋_GBK"/>
          <w:sz w:val="18"/>
          <w:szCs w:val="18"/>
        </w:rPr>
        <w:t>使用说明</w:t>
      </w:r>
      <w:r>
        <w:rPr>
          <w:rFonts w:ascii="宋体;方正书宋_GBK" w:hAnsi="宋体;方正书宋_GBK" w:cs="宋体;方正书宋_GBK"/>
          <w:sz w:val="18"/>
          <w:szCs w:val="18"/>
        </w:rPr>
        <w:t>文</w:t>
      </w:r>
      <w:r>
        <w:rPr>
          <w:rFonts w:ascii="宋体;方正书宋_GBK" w:hAnsi="宋体;方正书宋_GBK" w:cs="宋体;方正书宋_GBK"/>
          <w:sz w:val="18"/>
          <w:szCs w:val="18"/>
        </w:rPr>
        <w:t>件。</w:t>
      </w:r>
    </w:p>
    <w:p>
      <w:pPr>
        <w:pStyle w:val="Normal"/>
        <w:numPr>
          <w:ilvl w:val="0"/>
          <w:numId w:val="0"/>
        </w:numPr>
        <w:spacing w:lineRule="exact" w:line="320"/>
        <w:ind w:firstLine="361" w:end="0"/>
        <w:outlineLvl w:val="0"/>
        <w:rPr>
          <w:rFonts w:ascii="黑体;方正黑体_GBK" w:hAnsi="黑体;方正黑体_GBK" w:eastAsia="黑体;方正黑体_GBK" w:cs="黑体;方正黑体_GBK"/>
          <w:b/>
          <w:bCs/>
          <w:sz w:val="18"/>
          <w:szCs w:val="18"/>
        </w:rPr>
      </w:pP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四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、</w:t>
      </w:r>
      <w:r>
        <w:rPr>
          <w:rFonts w:ascii="黑体;方正黑体_GBK" w:hAnsi="黑体;方正黑体_GBK" w:cs="黑体;方正黑体_GBK" w:eastAsia="黑体;方正黑体_GBK"/>
          <w:b/>
          <w:bCs/>
          <w:sz w:val="18"/>
          <w:szCs w:val="18"/>
        </w:rPr>
        <w:t>违约责任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1.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因承揽方原因导致定作商品未达到有关质量标准的，承揽方应修理或重作。因修理或重作造成迟延交付的，按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第六条“</w:t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>违约金</w:t>
      </w:r>
      <w:r>
        <w:rPr>
          <w:rFonts w:ascii="黑体;方正黑体_GBK" w:hAnsi="黑体;方正黑体_GBK" w:cs="黑体;方正黑体_GBK" w:eastAsia="黑体;方正黑体_GBK"/>
          <w:sz w:val="18"/>
          <w:szCs w:val="18"/>
        </w:rPr>
        <w:t>”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第</w:t>
      </w: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1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款的标准支付违约金。经承揽方修理或重作后，仍未达到质量标准的，定作方有权解除合同，承揽方应赔偿定作方损失（包括但不限于相应的检测费、交通费、误工费等）。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2.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定作方中途变更或解除合同，应及时以书面方式通知承揽方；给承揽方造成损失的，应承担相应赔偿责任。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b w:val="false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b w:val="false"/>
          <w:sz w:val="18"/>
          <w:szCs w:val="18"/>
        </w:rPr>
        <w:t>3.</w:t>
      </w:r>
      <w:r>
        <w:rPr>
          <w:rFonts w:ascii="黑体;方正黑体_GBK" w:hAnsi="黑体;方正黑体_GBK" w:cs="宋体;方正书宋_GBK" w:eastAsia="黑体;方正黑体_GBK"/>
          <w:b w:val="false"/>
          <w:sz w:val="18"/>
          <w:szCs w:val="18"/>
        </w:rPr>
        <w:t>定作方应协助承揽方完成工作。如因定作方不履行协助义务致使承揽方不能完成定作工作的，承揽方可以催告定作方履行协助义务，并可以顺延履行期限；经催告，定作方仍不履行的，承揽方有权解除合同。</w:t>
      </w:r>
    </w:p>
    <w:p>
      <w:pPr>
        <w:pStyle w:val="Normal"/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4.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设计图纸经双方签字确认后，因一方原因更改设计图纸的，由更改方承担延期交货安装、费用增加、损失承担等责任。</w:t>
      </w:r>
    </w:p>
    <w:p>
      <w:pPr>
        <w:pStyle w:val="Normal"/>
        <w:spacing w:lineRule="exact" w:line="320"/>
        <w:ind w:firstLine="360" w:end="0"/>
        <w:rPr>
          <w:rFonts w:ascii="黑体;方正黑体_GBK" w:hAnsi="黑体;方正黑体_GBK" w:eastAsia="黑体;方正黑体_GBK"/>
          <w:sz w:val="18"/>
          <w:szCs w:val="18"/>
        </w:rPr>
      </w:pPr>
      <w:r>
        <w:rPr>
          <w:rFonts w:eastAsia="黑体;方正黑体_GBK" w:ascii="黑体;方正黑体_GBK" w:hAnsi="黑体;方正黑体_GBK"/>
          <w:sz w:val="18"/>
          <w:szCs w:val="18"/>
        </w:rPr>
        <w:t>5.</w:t>
      </w:r>
      <w:r>
        <w:rPr>
          <w:rFonts w:ascii="黑体;方正黑体_GBK" w:hAnsi="黑体;方正黑体_GBK" w:eastAsia="黑体;方正黑体_GBK"/>
          <w:sz w:val="18"/>
          <w:szCs w:val="18"/>
        </w:rPr>
        <w:t>在部分或全部商品安装完毕后，若非因承揽方原因造成部分或全部货物需要多次拆卸、安装，定作方有义务协助承揽方安装完毕，因此造成的运费、人工等费用，由定作方承担。</w:t>
      </w:r>
    </w:p>
    <w:p>
      <w:pPr>
        <w:pStyle w:val="Normal"/>
        <w:spacing w:lineRule="exact" w:line="320"/>
        <w:ind w:firstLine="356" w:end="0"/>
        <w:rPr>
          <w:rFonts w:ascii="黑体;方正黑体_GBK" w:hAnsi="黑体;方正黑体_GBK" w:eastAsia="黑体;方正黑体_GBK"/>
          <w:sz w:val="18"/>
          <w:szCs w:val="18"/>
        </w:rPr>
      </w:pPr>
      <w:r>
        <w:rPr>
          <w:rFonts w:eastAsia="黑体;方正黑体_GBK" w:ascii="黑体;方正黑体_GBK" w:hAnsi="黑体;方正黑体_GBK"/>
          <w:sz w:val="18"/>
          <w:szCs w:val="18"/>
        </w:rPr>
        <w:t>6.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承揽方或主办单位做出对定作方更有利的责任承诺的，按照该承诺执行。</w:t>
      </w:r>
    </w:p>
    <w:p>
      <w:pPr>
        <w:pStyle w:val="Normal"/>
        <w:spacing w:lineRule="exact" w:line="320"/>
        <w:ind w:firstLine="360" w:end="0"/>
        <w:rPr>
          <w:rFonts w:ascii="黑体;方正黑体_GBK" w:hAnsi="黑体;方正黑体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黑体;方正黑体_GBK" w:hAnsi="黑体;方正黑体_GBK"/>
          <w:sz w:val="18"/>
          <w:szCs w:val="18"/>
        </w:rPr>
        <w:t>7.</w:t>
      </w:r>
      <w:r>
        <w:rPr>
          <w:rFonts w:ascii="黑体;方正黑体_GBK" w:hAnsi="黑体;方正黑体_GBK" w:cs="宋体;方正书宋_GBK" w:eastAsia="黑体;方正黑体_GBK"/>
          <w:sz w:val="18"/>
          <w:szCs w:val="18"/>
        </w:rPr>
        <w:t>在展销会或市场内签订的合同，展销会或市场主办单位应在合同上盖章并留存本合同。定作方撤离展销会或市场的，承揽方可要求主办单位先行承担赔偿责任；主办单位承担责任后，有权向承揽方追偿。</w:t>
      </w:r>
    </w:p>
    <w:p>
      <w:pPr>
        <w:pStyle w:val="Normal"/>
        <w:spacing w:lineRule="exact" w:line="320"/>
        <w:ind w:firstLine="360" w:end="0"/>
        <w:rPr>
          <w:rFonts w:ascii="宋体;方正书宋_GBK" w:hAnsi="宋体;方正书宋_GBK" w:eastAsia="黑体;方正黑体_GBK" w:cs="宋体;方正书宋_GBK"/>
          <w:sz w:val="18"/>
          <w:szCs w:val="18"/>
        </w:rPr>
      </w:pPr>
      <w:r>
        <w:rPr>
          <w:rFonts w:eastAsia="黑体;方正黑体_GBK" w:cs="宋体;方正书宋_GBK" w:ascii="宋体;方正书宋_GBK" w:hAnsi="宋体;方正书宋_GBK"/>
          <w:sz w:val="18"/>
          <w:szCs w:val="18"/>
        </w:rPr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420" w:end="0"/>
        <w:jc w:val="center"/>
        <w:rPr>
          <w:rFonts w:ascii="黑体;方正黑体_GBK" w:hAnsi="黑体;方正黑体_GBK" w:eastAsia="黑体;方正黑体_GBK" w:cs="仿宋_GB2312"/>
          <w:b w:val="false"/>
          <w:bCs/>
          <w:szCs w:val="21"/>
          <w:u w:val="wave"/>
        </w:rPr>
      </w:pPr>
      <w:r>
        <w:rPr>
          <w:rFonts w:ascii="黑体;方正黑体_GBK" w:hAnsi="黑体;方正黑体_GBK" w:cs="仿宋_GB2312" w:eastAsia="黑体;方正黑体_GBK"/>
          <w:szCs w:val="21"/>
          <w:u w:val="wave"/>
        </w:rPr>
        <w:t xml:space="preserve">风  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>险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 xml:space="preserve">  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>提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 xml:space="preserve">  </w:t>
      </w:r>
      <w:r>
        <w:rPr>
          <w:rFonts w:ascii="黑体;方正黑体_GBK" w:hAnsi="黑体;方正黑体_GBK" w:cs="仿宋_GB2312" w:eastAsia="黑体;方正黑体_GBK"/>
          <w:szCs w:val="21"/>
          <w:u w:val="wave"/>
        </w:rPr>
        <w:t>示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1.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定作多件商品或者对定作商品有更细致要求的，可另附清单作为合同附件，但其内容至少应包括本合同第一条所列举的项目和参数，以免产生消费纠纷。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2.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定金是保证合同订立或履行的一种担保方式。交易双方可根据实际情况选择是否使用定金规则。请在支付定金前，充分了解“定金”的法律概念，知悉违约的法律后果。如不想接受定金规则约束，建议选择“一次性付款”或“先付预付款”的方式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3.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在签署合同前，交易双方应当仔细阅读“违约责任”有关条款，充分了解构成违约的情形和后果，在平等协商的基础上合理确定违约金比率。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4.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请定作方注意留存发票、收据、合同等重要交易凭证和资料，作为将来主张权利的证据。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5.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请在充分考量费用成本、时间成本等因素的基础上，审慎选择纠纷解决途径。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6.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家居市场、展销会主办单位和其他主办单位在本合同中签章，目的在于证明本合同项下商品确为从本家居市场、展销会或其他主办单位处购买。定作方合法权益受到损害的，可按照通用条款中</w:t>
      </w:r>
      <w:r>
        <w:rPr>
          <w:rFonts w:ascii="黑体;方正黑体_GBK" w:hAnsi="黑体;方正黑体_GBK" w:cs="黑体;方正黑体_GBK" w:eastAsia="黑体;方正黑体_GBK"/>
          <w:bCs/>
          <w:sz w:val="18"/>
          <w:szCs w:val="18"/>
        </w:rPr>
        <w:t>“四、违约责任”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条款第五项请求家居市场、展销会主办单位先行赔偿。但法律另有规定或家居市场、展销会主办单位另外作出有利于买方承诺的，依照法律规定或其承诺执行。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7.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目前无相关法律、法规明确规定家居定作商品的“三包”期限及其义务、责任内容，对此双方当事人可自行约定。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firstLine="357" w:end="0"/>
        <w:rPr>
          <w:rFonts w:ascii="宋体;方正书宋_GBK" w:hAnsi="宋体;方正书宋_GBK" w:eastAsia="宋体;方正书宋_GBK" w:cs="宋体;方正书宋_GBK"/>
          <w:b w:val="false"/>
          <w:bCs/>
          <w:sz w:val="18"/>
          <w:szCs w:val="18"/>
        </w:rPr>
      </w:pP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8.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通用条款第三条第</w:t>
      </w:r>
      <w:r>
        <w:rPr>
          <w:rFonts w:eastAsia="宋体;方正书宋_GBK" w:cs="宋体;方正书宋_GBK" w:ascii="宋体;方正书宋_GBK" w:hAnsi="宋体;方正书宋_GBK"/>
          <w:b w:val="false"/>
          <w:bCs/>
          <w:sz w:val="18"/>
          <w:szCs w:val="18"/>
        </w:rPr>
        <w:t>5</w:t>
      </w:r>
      <w:r>
        <w:rPr>
          <w:rFonts w:ascii="宋体;方正书宋_GBK" w:hAnsi="宋体;方正书宋_GBK" w:cs="宋体;方正书宋_GBK" w:eastAsia="宋体;方正书宋_GBK"/>
          <w:b w:val="false"/>
          <w:bCs/>
          <w:sz w:val="18"/>
          <w:szCs w:val="18"/>
        </w:rPr>
        <w:t>项中的“必要的技术资料、有关质量证明文件和使用说明文件”为列举方式，承揽方只需提供其中之一，足以证明产品质量合格即可。</w: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300"/>
        <w:ind w:hanging="0" w:end="0"/>
        <w:jc w:val="center"/>
        <w:rPr>
          <w:lang w:eastAsia="zh-CN"/>
        </w:rPr>
      </w:pPr>
      <w:r>
        <w:rPr>
          <w:lang w:eastAsia="zh-CN"/>
        </w:rPr>
        <w:t>北京市工商行政管理局 天津市市场和质量监督管理委员会 河北省工商行政管理局 制定</w:t>
      </w:r>
    </w:p>
    <w:sectPr>
      <w:type w:val="nextPage"/>
      <w:pgSz w:w="11906" w:h="16838"/>
      <w:pgMar w:left="510" w:right="510" w:gutter="0" w:header="0" w:top="567" w:footer="0" w:bottom="510"/>
      <w:pgNumType w:fmt="decimal"/>
      <w:formProt w:val="false"/>
      <w:textDirection w:val="lrTb"/>
      <w:docGrid w:type="linesAndChar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等线">
    <w:altName w:val="汉仪中宋简"/>
    <w:charset w:val="86"/>
    <w:family w:val="auto"/>
    <w:pitch w:val="default"/>
  </w:font>
  <w:font w:name="方正宋三简体">
    <w:altName w:val="方正书宋_GBK"/>
    <w:charset w:val="00" w:characterSet="windows-125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黑体">
    <w:altName w:val="方正黑体_GBK"/>
    <w:charset w:val="00" w:characterSet="windows-1252"/>
    <w:family w:val="auto"/>
    <w:pitch w:val="default"/>
  </w:font>
  <w:font w:name="宋体">
    <w:altName w:val="方正书宋_GBK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汉仪中宋简" w:hAnsi="等线;汉仪中宋简" w:eastAsia="等线;汉仪中宋简" w:cs="Times New Roman;DejaVu Sans"/>
      <w:color w:val="auto"/>
      <w:kern w:val="2"/>
      <w:sz w:val="24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Char">
    <w:name w:val=" Char Char"/>
    <w:qFormat/>
    <w:rPr>
      <w:rFonts w:ascii="方正宋三简体;方正书宋_GBK" w:hAnsi="方正宋三简体;方正书宋_GBK" w:eastAsia="方正宋三简体;方正书宋_GBK"/>
      <w:b/>
      <w:sz w:val="21"/>
      <w:lang w:bidi="ar-SA"/>
    </w:rPr>
  </w:style>
  <w:style w:type="character" w:styleId="PageNumber">
    <w:name w:val="page number"/>
    <w:basedOn w:val="Style14"/>
    <w:rPr/>
  </w:style>
  <w:style w:type="character" w:styleId="CharChar5">
    <w:name w:val=" Char Char5"/>
    <w:qFormat/>
    <w:rPr>
      <w:rFonts w:ascii="方正宋三简体;方正书宋_GBK" w:hAnsi="方正宋三简体;方正书宋_GBK" w:eastAsia="方正宋三简体;方正书宋_GBK" w:cs="Times New Roman;DejaVu Sans"/>
      <w:b/>
      <w:sz w:val="21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pacing w:lineRule="exact" w:line="520"/>
      <w:ind w:firstLine="435" w:start="0" w:end="0"/>
    </w:pPr>
    <w:rPr>
      <w:rFonts w:ascii="方正宋三简体;方正书宋_GBK" w:hAnsi="方正宋三简体;方正书宋_GBK" w:eastAsia="方正宋三简体;方正书宋_GBK" w:cs="Times New Roman;DejaVu Sans"/>
      <w:b/>
      <w:kern w:val="0"/>
      <w:sz w:val="21"/>
      <w:szCs w:val="20"/>
      <w:lang w:val="zh-CN" w:eastAsia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LibreOffice/25.2.2.2$MacOSX_AARCH64 LibreOffice_project/7370d4be9e3cf6031a51beef54ff3bda878e3fac</Application>
  <AppVersion>15.0000</AppVersion>
  <Pages>4</Pages>
  <Words>3130</Words>
  <Characters>3179</Characters>
  <CharactersWithSpaces>3827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2018-06-22T18:37:00Z</dcterms:created>
  <dc:creator> </dc:creator>
  <dc:description/>
  <dc:language>zh-CN</dc:language>
  <cp:lastModifiedBy>scjgj</cp:lastModifiedBy>
  <cp:lastPrinted>2018-06-22T11:08:00Z</cp:lastPrinted>
  <dcterms:modified xsi:type="dcterms:W3CDTF">2023-11-02T01:30:49Z</dcterms:modified>
  <cp:revision>8</cp:revision>
  <dc:subject/>
  <dc:title>《北京市家具买卖合同》修订说明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