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 w:val="false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color w:val="000000"/>
          <w:sz w:val="40"/>
          <w:szCs w:val="40"/>
        </w:rPr>
        <w:t>内蒙古自治区肉牛买卖合同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both"/>
        <w:textAlignment w:val="auto"/>
        <w:rPr>
          <w:rFonts w:ascii="方正楷体_GBK" w:hAnsi="方正楷体_GBK" w:eastAsia="方正楷体_GBK" w:cs="方正楷体_GBK"/>
          <w:b w:val="false"/>
          <w:bCs w:val="false"/>
          <w:color w:val="000000"/>
          <w:kern w:val="0"/>
          <w:sz w:val="28"/>
          <w:szCs w:val="28"/>
          <w:lang w:bidi="ar"/>
        </w:rPr>
      </w:pPr>
      <w:r>
        <w:rPr>
          <w:rFonts w:eastAsia="方正楷体_GBK" w:cs="方正楷体_GBK" w:ascii="方正楷体_GBK" w:hAnsi="方正楷体_GBK"/>
          <w:b w:val="false"/>
          <w:bCs w:val="false"/>
          <w:color w:val="000000"/>
          <w:kern w:val="0"/>
          <w:sz w:val="28"/>
          <w:szCs w:val="28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  <w:lang w:bidi="ar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内蒙古自治区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eastAsia="zh-CN" w:bidi="ar"/>
        </w:rPr>
        <w:t>市场监督管理局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ind w:firstLine="168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 xml:space="preserve">                              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制定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内蒙古自治区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eastAsia="zh-CN" w:bidi="ar"/>
        </w:rPr>
        <w:t>农牧厅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 w:val="false"/>
          <w:bCs/>
          <w:color w:val="000000"/>
          <w:kern w:val="0"/>
          <w:sz w:val="22"/>
          <w:szCs w:val="22"/>
          <w:lang w:eastAsia="zh-CN" w:bidi="ar"/>
        </w:rPr>
      </w:pPr>
      <w:r>
        <w:rPr>
          <w:rFonts w:eastAsia="方正书宋_GBK" w:cs="方正书宋_GBK" w:ascii="方正书宋_GBK" w:hAnsi="方正书宋_GBK"/>
          <w:b w:val="false"/>
          <w:bCs/>
          <w:color w:val="000000"/>
          <w:kern w:val="0"/>
          <w:sz w:val="22"/>
          <w:szCs w:val="22"/>
          <w:lang w:eastAsia="zh-CN"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黑体_GBK" w:hAnsi="方正黑体_GBK" w:eastAsia="方正黑体_GBK" w:cs="方正黑体_GBK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Cs/>
          <w:color w:val="000000"/>
          <w:kern w:val="0"/>
          <w:sz w:val="28"/>
          <w:szCs w:val="28"/>
          <w:lang w:bidi="ar"/>
        </w:rPr>
        <w:t>说   明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一、本合同是根据有关法律规定制定的示范文本，供甲、乙双方签订合同时参照使用，双方当事人也可使用本合同电子版在电子商务平台上签约。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 xml:space="preserve">二、本合同条款均为提示性条款，供双方当事人约定采用。合同中的未尽事宜，可由双方当事人协商一致后，订立补充条款予以明确。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 xml:space="preserve">三、本合同签订前，双方当事人应提交能证明主体身份的身份证或营业执照，并将证明身份的材料复印件作为合同附件。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四、本合同中的部分条款内容为并列的选择内容，双方当事人可根据实际情况作出选择，在签订本合同时，要仔细阅读，选择的内容以划“√”方式选定；对于实际情况未发生或双方当事人不作约定时，应当在空格部位打“</w:t>
      </w:r>
      <w:r>
        <w:rPr>
          <w:rFonts w:eastAsia="方正书宋_GBK" w:cs="方正书宋_GBK" w:ascii="方正书宋_GBK" w:hAnsi="方正书宋_GBK"/>
          <w:color w:val="000000"/>
          <w:kern w:val="0"/>
          <w:sz w:val="22"/>
          <w:szCs w:val="22"/>
          <w:lang w:bidi="ar"/>
        </w:rPr>
        <w:t>×”</w:t>
      </w: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 xml:space="preserve">，以示删除不予适用。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 xml:space="preserve">五、本合同文本空格部位填写内容及其他需要删除或添加的内容，双方当事人应当协商确定后准确填写或对合同内容进行适当调整。合同签订生效后，未被修改的文本印刷文字视为双方同意内容。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kern w:val="0"/>
          <w:sz w:val="22"/>
          <w:szCs w:val="22"/>
          <w:lang w:bidi="ar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六、双方当事人可以根据实际情况决定本合同原件的份数，并在签订合同时认真核对，以确保各份合同内容一致；在任何情况下，卖方和买方都应当各自至少持有一份合同原件。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eastAsia="方正书宋_GBK" w:cs="方正书宋_GBK" w:ascii="方正书宋_GBK" w:hAnsi="方正书宋_GBK"/>
          <w:b/>
          <w:bCs/>
          <w:color w:val="000000"/>
          <w:kern w:val="0"/>
          <w:sz w:val="22"/>
          <w:szCs w:val="2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76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 w:val="false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color w:val="000000"/>
          <w:sz w:val="40"/>
          <w:szCs w:val="40"/>
        </w:rPr>
        <w:t>内蒙古自治区肉牛买卖合同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760"/>
        <w:jc w:val="center"/>
        <w:textAlignment w:val="auto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  <w:lang w:bidi="ar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  <w:lang w:bidi="ar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  <w:lang w:bidi="ar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  <w:lang w:bidi="ar"/>
        </w:rPr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pacing w:val="-35"/>
          <w:sz w:val="22"/>
          <w:szCs w:val="22"/>
          <w:u w:val="none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lang w:val="en-US"/>
        </w:rPr>
        <w:t>甲方（卖方）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 xml:space="preserve">  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ab/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  ，</w:t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住所：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ab/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pacing w:val="-35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lang w:val="en-US"/>
        </w:rPr>
        <w:t>乙方（买方）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ab/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</w:t>
      </w:r>
      <w:r>
        <w:rPr>
          <w:rFonts w:ascii="方正书宋_GBK" w:hAnsi="方正书宋_GBK" w:cs="方正书宋_GBK" w:eastAsia="方正书宋_GBK"/>
          <w:color w:val="000000"/>
          <w:spacing w:val="-35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pacing w:val="-35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  ，</w:t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住所：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 xml:space="preserve"> 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ab/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根据《中华人民共和国民法典》及相关法律法规，甲乙双方经平等互利、充分友好协商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就肉牛买卖的相关事宜，达成如下协议，双方共同遵照执行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第一条 合同标的物、数量、价款</w:t>
      </w:r>
    </w:p>
    <w:tbl>
      <w:tblPr>
        <w:tblW w:w="869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581"/>
        <w:gridCol w:w="1180"/>
        <w:gridCol w:w="907"/>
        <w:gridCol w:w="987"/>
        <w:gridCol w:w="1343"/>
        <w:gridCol w:w="1699"/>
      </w:tblGrid>
      <w:tr>
        <w:trPr>
          <w:trHeight w:val="62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品种</w:t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7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产地</w:t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8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单位</w:t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8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数量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单价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（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val="en-US" w:eastAsia="zh-CN"/>
              </w:rPr>
              <w:t>元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32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金额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（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val="en-US" w:eastAsia="zh-CN"/>
              </w:rPr>
              <w:t>元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74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75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4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5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1630" w:hRule="atLeast"/>
        </w:trPr>
        <w:tc>
          <w:tcPr>
            <w:tcW w:w="869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tabs>
                <w:tab w:val="clear" w:pos="420"/>
                <w:tab w:val="left" w:pos="5903" w:leader="none"/>
                <w:tab w:val="left" w:pos="7806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28"/>
              <w:textAlignment w:val="auto"/>
              <w:rPr>
                <w:rFonts w:ascii="方正书宋_GBK" w:hAnsi="方正书宋_GBK" w:eastAsia="方正书宋_GBK" w:cs="方正书宋_GBK"/>
                <w:spacing w:val="-9"/>
                <w:sz w:val="18"/>
                <w:szCs w:val="18"/>
                <w:u w:val="single"/>
                <w:lang w:val="en-US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</w:rPr>
              <w:t>额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（大写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</w:rPr>
              <w:t>）：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  <w:u w:val="single"/>
                <w:lang w:val="en-US"/>
              </w:rPr>
              <w:t xml:space="preserve">                          （含税）      </w:t>
            </w:r>
          </w:p>
          <w:p>
            <w:pPr>
              <w:pStyle w:val="TableParagraph"/>
              <w:keepNext w:val="false"/>
              <w:keepLines w:val="false"/>
              <w:tabs>
                <w:tab w:val="clear" w:pos="420"/>
                <w:tab w:val="left" w:pos="5903" w:leader="none"/>
                <w:tab w:val="left" w:pos="7806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28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小写：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  <w:lang w:val="en-US"/>
              </w:rPr>
              <w:t xml:space="preserve">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>（含税）</w:t>
            </w:r>
          </w:p>
        </w:tc>
      </w:tr>
    </w:tbl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  <w:lang w:val="en-US" w:eastAsia="zh-CN"/>
        </w:rPr>
        <w:t xml:space="preserve">   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第二条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货物质量标准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第三条 供货期限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种方式供货：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、一次性交付，甲方应于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日前向乙方交付本合同全部标的物。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、分批交付，甲方应分别于以下日期前向乙方交付本合同标的物。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）第一批，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（名称）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（数量），应于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日前交付。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）第二批，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（名称）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（数量），应于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日前交付。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）第三批，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（名称）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（数量），应于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日前交付。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 货物交付方式与验收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交货方式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种方式交货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）乙方提货：乙方或乙方指定人员应在本合同约定的交货期限内，到甲方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养殖场进行提货。乙方自行负责准备接收货物的车辆与称量设施。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）甲方送货：由甲方或甲方指定人员将货物运送到乙方指定地点卸载后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共同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过磅验收，乙方准备接收货物的场地与称量设施。乙方指定地点为：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、货物交付时，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乙方有权对甲方交付的货物进行清点、过磅、验收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并查验货物名称、品种、规格、数量、身体情况是否符合本合同约定。货物经乙方验收合格的，甲乙双方应共同在交货清单上进行签字确认。法律法规规定或行业政策要求需要货物强制进行检验、检疫或接种疫苗的，甲方应在交付货物时，同时提供货物检验、检疫合格证明及货物接种疫苗证明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、货物经质量验收合格的，并不免除甲方应承担的质量保证责任。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、货物经任何一次验收不合格的，乙方有权拒收货物，并向甲方提出书面异议，甲方应于接到乙方提出问题之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</w:rPr>
        <w:t>日起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</w:rPr>
        <w:t>日内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对乙方提出问题进行书面答复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甲方认可乙方提出问题的，由甲方负责进行退换货并承担因退换货产生的一切费用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若由此导致甲方逾期交货的，甲方应承担逾期交货的违约责任。甲方不认可乙方提出的异议的，双方应按本合同约定委托第三方机构对货物进行鉴定。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、双方对甲方交付的货物是否符合合同约定有异议的，双方可共同委托具有相应资质的鉴定机构进行鉴定，甲方收到乙方鉴定要求后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未与乙方共同委托鉴定机构的，乙方有权自行委托鉴定机构进行鉴定。该货物是否符合合同约定以鉴定结论为准。鉴定结论认为甲方交付的货物符合合同约定的，该货物鉴定所支付的费用由乙方承担；鉴定结论认为甲方交付的货物不符合合同约定的，该货物鉴定所支付的费用由甲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、因货物不合格或甲方提前交货至乙方指定场所的，乙方有权拒收。如甲方要求乙方代为保管货物的，保管期间产生的一切保管费用及风险由甲方承担。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第五条 货物风险承担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货物完成交付前的毁损灭失风险由甲方承担，交付之后由乙方承担。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第六条 货物结算与价款支付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、合同价款。本合同总价款为人民币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元（大写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元整）。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上述合同价款包括货款、税金等甲方履行本合同义务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eastAsia="zh-CN"/>
        </w:rPr>
        <w:t>及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乙方应向甲方支付的全部费用。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、支付方式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）本合同签订后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日内，乙方向甲方支付合同总价款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的定金，货物经乙方全部验收合格并完成交付后，乙方向甲方支付合同剩余全部价款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b/>
          <w:color w:val="0070C0"/>
          <w:sz w:val="22"/>
          <w:szCs w:val="22"/>
          <w:lang w:bidi="zh-CN"/>
        </w:rPr>
      </w:pPr>
      <w:bookmarkStart w:id="0" w:name="_Hlk67504241"/>
      <w:bookmarkEnd w:id="0"/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lang w:val="zh-CN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乙方每次向甲方支付货款后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bidi="zh-CN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日内，甲方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应向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开具并交付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方付款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额等额的合法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有效增值税专用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发票。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bookmarkStart w:id="1" w:name="_Hlk67504241"/>
      <w:bookmarkEnd w:id="1"/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、双方同意按以下第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种方式付款：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）乙方应将本合同货款通过银行转账的方式支付至甲方以下收款账户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开户银行：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账户名称：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账号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上述收款账户变更的，甲方应在乙方付款前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个工作日以书面方式通知乙方，甲方书面通知到达乙方前乙方已向上述账户付款的，视为乙方已履行完毕付款义务，由此导致的损失由甲方承担。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第七条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bookmarkStart w:id="2" w:name="_Hlk67502918"/>
      <w:bookmarkEnd w:id="2"/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、乙方逾期支付合同价款的，每逾期一日，应按逾期支付金额的万分之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向甲方支付违约金，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  <w:lang w:val="en-US" w:eastAsia="zh-CN"/>
        </w:rPr>
        <w:t>逾期超过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  <w:lang w:val="en-US" w:eastAsia="zh-CN"/>
        </w:rPr>
        <w:t>日，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甲方有权解除合同，并拒绝退还乙方已支付的定金。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、甲方逾期向乙方交付货物的，每逾期一日，应按逾期交付货物价款的万分之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向乙方支付违约金，逾期超过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日，乙方有权解除合同，甲方应双倍返还乙方支付的定金。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bookmarkStart w:id="3" w:name="_Hlk67502918"/>
      <w:bookmarkEnd w:id="3"/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第八条 争议解决方式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因本合同的执行发生任何争议，双方首先通过友好协商解决。协商不成的，双方按照以下第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）依法向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）依法向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人民法院提起诉讼。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第九条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>附则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、本合同自双方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val="en-US" w:eastAsia="zh-CN"/>
        </w:rPr>
        <w:t>签字盖章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后生效，一式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份，双方各执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、本合同未尽事宜，经双方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eastAsia="zh-CN"/>
        </w:rPr>
        <w:t>协商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一致，可签订补充协议。补充协议与本合同具有同等法律效力。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6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 xml:space="preserve">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                         乙方：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FF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FF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甲方电话：                     乙方电话：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签订日期：  年  月  日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签订日期：   年  月 日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960" w:start="57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960" w:start="57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587" w:right="1474" w:gutter="0" w:header="0" w:top="2098" w:footer="0" w:bottom="198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suff w:val="space"/>
      <w:lvlText w:val="（%1）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false"/>
      <w:keepLines w:val="false"/>
      <w:widowControl w:val="false"/>
      <w:numPr>
        <w:ilvl w:val="1"/>
        <w:numId w:val="1"/>
      </w:numPr>
      <w:spacing w:before="1" w:after="0"/>
      <w:ind w:hanging="0" w:start="901" w:end="0"/>
      <w:jc w:val="both"/>
      <w:outlineLvl w:val="1"/>
    </w:pPr>
    <w:rPr>
      <w:rFonts w:ascii="宋体" w:hAnsi="宋体" w:eastAsia="宋体" w:cs="宋体"/>
      <w:b/>
      <w:bCs/>
      <w:kern w:val="2"/>
      <w:sz w:val="28"/>
      <w:szCs w:val="28"/>
      <w:lang w:val="en-US" w:eastAsia="zh-CN" w:bidi="ar"/>
    </w:rPr>
  </w:style>
  <w:style w:type="character" w:styleId="Style13">
    <w:name w:val="默认段落字体"/>
    <w:qFormat/>
    <w:rPr/>
  </w:style>
  <w:style w:type="character" w:styleId="Style14">
    <w:name w:val="批注引用"/>
    <w:basedOn w:val="Style13"/>
    <w:qFormat/>
    <w:rPr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keepNext w:val="false"/>
      <w:keepLines w:val="false"/>
      <w:widowControl w:val="false"/>
      <w:spacing w:before="0" w:after="0"/>
      <w:ind w:hanging="0" w:start="0" w:end="0"/>
      <w:jc w:val="both"/>
    </w:pPr>
    <w:rPr>
      <w:rFonts w:ascii="宋体" w:hAnsi="宋体" w:eastAsia="宋体" w:cs="宋体"/>
      <w:kern w:val="2"/>
      <w:sz w:val="28"/>
      <w:szCs w:val="28"/>
      <w:lang w:val="en-US" w:eastAsia="zh-CN" w:bidi="ar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Paragraph">
    <w:name w:val="Table Paragraph"/>
    <w:basedOn w:val="Normal"/>
    <w:qFormat/>
    <w:pPr>
      <w:keepNext w:val="false"/>
      <w:keepLines w:val="false"/>
      <w:widowControl w:val="false"/>
      <w:spacing w:before="0" w:after="0"/>
      <w:ind w:hanging="0" w:start="0" w:end="0"/>
      <w:jc w:val="both"/>
    </w:pPr>
    <w:rPr>
      <w:rFonts w:ascii="宋体" w:hAnsi="宋体" w:eastAsia="宋体" w:cs="宋体"/>
      <w:kern w:val="2"/>
      <w:sz w:val="21"/>
      <w:szCs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LibreOffice/25.2.2.2$MacOSX_AARCH64 LibreOffice_project/7370d4be9e3cf6031a51beef54ff3bda878e3fac</Application>
  <AppVersion>15.0000</AppVersion>
  <Pages>6</Pages>
  <Words>2366</Words>
  <Characters>2370</Characters>
  <CharactersWithSpaces>3042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dc:description/>
  <dc:language>zh-CN</dc:language>
  <cp:lastModifiedBy>ApTx_4869</cp:lastModifiedBy>
  <dcterms:modified xsi:type="dcterms:W3CDTF">2022-01-27T15:50:19Z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37EDB03628C64DD797E6563CDF74F55A</vt:lpwstr>
  </property>
  <property fmtid="{D5CDD505-2E9C-101B-9397-08002B2CF9AE}" pid="3" name="KSOProductBuildVer">
    <vt:lpwstr>2052-11.1.0.11294</vt:lpwstr>
  </property>
</Properties>
</file>