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kern w:val="0"/>
          <w:sz w:val="28"/>
          <w:szCs w:val="28"/>
          <w:u w:val="single"/>
        </w:rPr>
      </w:pPr>
      <w:r>
        <w:rPr>
          <w:rFonts w:eastAsia="楷体_GB2312" w:ascii="楷体_GB2312" w:hAnsi="楷体_GB2312"/>
          <w:kern w:val="0"/>
          <w:sz w:val="28"/>
          <w:szCs w:val="28"/>
          <w:u w:val="single"/>
        </w:rPr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kern w:val="0"/>
          <w:sz w:val="28"/>
          <w:szCs w:val="30"/>
          <w:u w:val="single"/>
        </w:rPr>
      </w:pPr>
      <w:r>
        <w:rPr>
          <w:rFonts w:eastAsia="楷体_GB2312" w:ascii="楷体_GB2312" w:hAnsi="楷体_GB2312"/>
          <w:kern w:val="0"/>
          <w:sz w:val="28"/>
          <w:szCs w:val="30"/>
          <w:u w:val="single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kern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20"/>
          <w:kern w:val="0"/>
          <w:sz w:val="40"/>
          <w:szCs w:val="40"/>
        </w:rPr>
        <w:t>上海市农村土地经营权流转合</w:t>
      </w:r>
      <w:r>
        <w:rPr>
          <w:rFonts w:ascii="方正小标宋_GBK" w:hAnsi="方正小标宋_GBK" w:cs="方正小标宋_GBK" w:eastAsia="方正小标宋_GBK"/>
          <w:color w:val="000000"/>
          <w:kern w:val="0"/>
          <w:sz w:val="40"/>
          <w:szCs w:val="40"/>
        </w:rPr>
        <w:t>同</w:t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kern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100"/>
          <w:kern w:val="0"/>
          <w:sz w:val="40"/>
          <w:szCs w:val="40"/>
        </w:rPr>
        <w:t>示范文</w:t>
      </w:r>
      <w:r>
        <w:rPr>
          <w:rFonts w:ascii="方正小标宋_GBK" w:hAnsi="方正小标宋_GBK" w:cs="方正小标宋_GBK" w:eastAsia="方正小标宋_GBK"/>
          <w:color w:val="000000"/>
          <w:kern w:val="0"/>
          <w:sz w:val="40"/>
          <w:szCs w:val="40"/>
        </w:rPr>
        <w:t>本</w:t>
      </w:r>
    </w:p>
    <w:p>
      <w:pPr>
        <w:pStyle w:val="Normal"/>
        <w:snapToGrid w:val="false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</w:rPr>
      </w:pP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</w:rPr>
        <w:t>2019</w:t>
      </w: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版）</w:t>
      </w:r>
    </w:p>
    <w:p>
      <w:pPr>
        <w:pStyle w:val="Normal"/>
        <w:snapToGrid w:val="false"/>
        <w:spacing w:lineRule="auto" w:line="336"/>
        <w:rPr>
          <w:rFonts w:ascii="方正楷体_GBK" w:hAnsi="方正楷体_GBK" w:eastAsia="方正楷体_GBK" w:cs="方正楷体_GBK"/>
          <w:color w:val="000000"/>
          <w:kern w:val="0"/>
          <w:sz w:val="28"/>
          <w:szCs w:val="30"/>
        </w:rPr>
      </w:pP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spacing w:lineRule="auto" w:line="336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tabs>
          <w:tab w:val="clear" w:pos="420"/>
          <w:tab w:val="left" w:pos="2054" w:leader="none"/>
          <w:tab w:val="left" w:pos="2212" w:leader="none"/>
          <w:tab w:val="left" w:pos="2686" w:leader="none"/>
          <w:tab w:val="left" w:pos="5846" w:leader="none"/>
          <w:tab w:val="left" w:pos="6004" w:leader="none"/>
        </w:tabs>
        <w:snapToGrid w:val="false"/>
        <w:spacing w:before="0" w:after="60"/>
        <w:ind w:start="2381" w:end="0"/>
        <w:rPr>
          <w:rFonts w:ascii="方正小标宋_GBK" w:hAnsi="方正小标宋_GBK" w:eastAsia="方正小标宋_GBK" w:cs="方正小标宋_GBK"/>
          <w:kern w:val="0"/>
          <w:szCs w:val="21"/>
          <w:lang w:val="zh-CN" w:eastAsia="zh-CN"/>
        </w:rPr>
      </w:pPr>
      <w:r>
        <w:rPr>
          <w:rFonts w:ascii="方正小标宋_GBK" w:hAnsi="方正小标宋_GBK" w:cs="方正小标宋_GBK" w:eastAsia="方正小标宋_GBK"/>
          <w:kern w:val="0"/>
          <w:szCs w:val="21"/>
          <w:lang w:val="zh-CN" w:eastAsia="zh-CN"/>
        </w:rPr>
        <w:t>上海市市场监督管理局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3587115</wp:posOffset>
                </wp:positionH>
                <wp:positionV relativeFrom="paragraph">
                  <wp:posOffset>139065</wp:posOffset>
                </wp:positionV>
                <wp:extent cx="613410" cy="2997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9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jc w:val="center"/>
                              <w:rPr>
                                <w:rFonts w:ascii="黑体" w:hAnsi="黑体" w:eastAsia="黑体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Cs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36830" tIns="18415" rIns="36830" bIns="1841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23.6pt;mso-wrap-distance-left:9.05pt;mso-wrap-distance-right:9.05pt;mso-wrap-distance-top:0pt;mso-wrap-distance-bottom:0pt;margin-top:10.95pt;mso-position-vertical-relative:text;margin-left:282.45pt;mso-position-horizontal-relative:text">
                <v:fill opacity="0f"/>
                <v:textbox inset="0.0402777777777778in,0.0201388888888889in,0.0402777777777778in,0.0201388888888889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jc w:val="center"/>
                        <w:rPr>
                          <w:rFonts w:ascii="黑体" w:hAnsi="黑体" w:eastAsia="黑体"/>
                          <w:szCs w:val="32"/>
                        </w:rPr>
                      </w:pPr>
                      <w:r>
                        <w:rPr>
                          <w:rFonts w:ascii="黑体" w:hAnsi="黑体" w:eastAsia="黑体"/>
                          <w:szCs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054" w:leader="none"/>
          <w:tab w:val="left" w:pos="2212" w:leader="none"/>
          <w:tab w:val="left" w:pos="2686" w:leader="none"/>
          <w:tab w:val="left" w:pos="5846" w:leader="none"/>
          <w:tab w:val="left" w:pos="6004" w:leader="none"/>
        </w:tabs>
        <w:snapToGrid w:val="false"/>
        <w:spacing w:before="0" w:after="60"/>
        <w:ind w:start="2381" w:end="0"/>
        <w:rPr>
          <w:rFonts w:ascii="方正小标宋_GBK" w:hAnsi="方正小标宋_GBK" w:eastAsia="方正小标宋_GBK" w:cs="方正小标宋_GBK"/>
          <w:kern w:val="0"/>
          <w:szCs w:val="21"/>
          <w:lang w:val="zh-CN" w:eastAsia="zh-CN"/>
        </w:rPr>
      </w:pPr>
      <w:r>
        <w:rPr>
          <w:rFonts w:ascii="方正小标宋_GBK" w:hAnsi="方正小标宋_GBK" w:cs="方正小标宋_GBK" w:eastAsia="方正小标宋_GBK"/>
          <w:kern w:val="0"/>
          <w:szCs w:val="21"/>
          <w:lang w:val="zh-CN" w:eastAsia="zh-CN"/>
        </w:rPr>
        <w:t>上海市农业农村委员会</w:t>
      </w:r>
    </w:p>
    <w:p>
      <w:pPr>
        <w:pStyle w:val="Normal"/>
        <w:snapToGrid w:val="false"/>
        <w:rPr>
          <w:rFonts w:ascii="方正小标宋_GBK" w:hAnsi="方正小标宋_GBK" w:eastAsia="方正小标宋_GBK" w:cs="方正小标宋_GBK"/>
          <w:kern w:val="0"/>
          <w:szCs w:val="30"/>
          <w:lang w:val="zh-CN" w:eastAsia="zh-CN"/>
        </w:rPr>
      </w:pPr>
      <w:r>
        <w:rPr>
          <w:rFonts w:eastAsia="方正小标宋_GBK" w:cs="方正小标宋_GBK" w:ascii="方正小标宋_GBK" w:hAnsi="方正小标宋_GBK"/>
          <w:kern w:val="0"/>
          <w:szCs w:val="30"/>
          <w:lang w:val="zh-CN" w:eastAsia="zh-CN"/>
        </w:rPr>
      </w:r>
    </w:p>
    <w:p>
      <w:pPr>
        <w:pStyle w:val="Normal"/>
        <w:snapToGrid w:val="false"/>
        <w:rPr>
          <w:rFonts w:ascii="方正小标宋_GBK" w:hAnsi="方正小标宋_GBK" w:eastAsia="方正小标宋_GBK" w:cs="方正小标宋_GBK"/>
          <w:kern w:val="0"/>
          <w:szCs w:val="30"/>
        </w:rPr>
      </w:pPr>
      <w:r>
        <w:rPr>
          <w:rFonts w:eastAsia="方正小标宋_GBK" w:cs="方正小标宋_GBK" w:ascii="方正小标宋_GBK" w:hAnsi="方正小标宋_GBK"/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snapToGrid w:val="false"/>
        <w:rPr>
          <w:kern w:val="0"/>
          <w:szCs w:val="30"/>
        </w:rPr>
      </w:pPr>
      <w:r>
        <w:rPr>
          <w:kern w:val="0"/>
          <w:szCs w:val="30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黑体_GBK" w:hAnsi="方正黑体_GBK" w:eastAsia="方正黑体_GBK" w:cs="方正黑体_GBK"/>
          <w:b/>
          <w:bCs/>
          <w:kern w:val="0"/>
          <w:sz w:val="28"/>
          <w:szCs w:val="28"/>
        </w:rPr>
      </w:pPr>
      <w:r>
        <w:rPr>
          <w:rFonts w:ascii="方正黑体_GBK" w:hAnsi="方正黑体_GBK" w:cs="方正黑体_GBK" w:eastAsia="方正黑体_GBK"/>
          <w:b/>
          <w:bCs/>
          <w:kern w:val="0"/>
          <w:sz w:val="28"/>
          <w:szCs w:val="28"/>
        </w:rPr>
        <w:t>使用说明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kern w:val="0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一、本合同为示范文本，供当事人在农村土地经营权出租（转包）时参照使用。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二、本示范文本签订前请仔细阅读，签订合同的条款应当力求具体、确定。需要约定的条款请表述清楚，不需要约定的条款请载明“本合同不涉及此条款”或“本合同对此条款不需约定”。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三、本示范文本中农村土地经营权流转价款的事项，应当由当事人协商确定。流转的收益归农村土地经营权出让方所有，任何组织和个人不得擅自截留、扣缴。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四、本示范文本由上海市市场监督管理局、上海市农业农村委员会共同制定，并自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2019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15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日起在上海市范围内推行使用。今后在未制定新的版本前，本版本延续使用。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336"/>
        <w:ind w:firstLine="624" w:end="0"/>
        <w:rPr>
          <w:rFonts w:ascii="方正书宋_GBK" w:hAnsi="方正书宋_GBK" w:eastAsia="方正书宋_GBK" w:cs="宋体;方正书宋_GBK"/>
          <w:kern w:val="0"/>
          <w:sz w:val="22"/>
          <w:szCs w:val="30"/>
        </w:rPr>
      </w:pPr>
      <w:r>
        <w:rPr>
          <w:rFonts w:eastAsia="方正书宋_GBK" w:cs="宋体;方正书宋_GBK" w:ascii="方正书宋_GBK" w:hAnsi="方正书宋_GBK"/>
          <w:kern w:val="0"/>
          <w:sz w:val="22"/>
          <w:szCs w:val="30"/>
        </w:rPr>
      </w:r>
      <w:r>
        <w:br w:type="page"/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kern w:val="0"/>
          <w:sz w:val="28"/>
          <w:szCs w:val="28"/>
          <w:u w:val="single"/>
        </w:rPr>
      </w:pPr>
      <w:r>
        <w:rPr>
          <w:rFonts w:ascii="楷体_GB2312" w:hAnsi="楷体_GB2312" w:eastAsia="楷体_GB2312"/>
          <w:kern w:val="0"/>
          <w:sz w:val="28"/>
          <w:szCs w:val="28"/>
        </w:rPr>
        <w:t>编号：</w:t>
      </w:r>
      <w:r>
        <w:rPr>
          <w:rFonts w:ascii="楷体_GB2312" w:hAnsi="楷体_GB2312" w:eastAsia="楷体_GB2312"/>
          <w:kern w:val="0"/>
          <w:sz w:val="28"/>
          <w:szCs w:val="28"/>
          <w:u w:val="single"/>
        </w:rPr>
        <w:t>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ind w:firstLine="624" w:end="0"/>
        <w:rPr>
          <w:rFonts w:ascii="楷体_GB2312" w:hAnsi="楷体_GB2312" w:eastAsia="楷体_GB2312" w:cs="宋体;方正书宋_GBK"/>
          <w:kern w:val="0"/>
          <w:sz w:val="28"/>
          <w:szCs w:val="30"/>
          <w:u w:val="single"/>
        </w:rPr>
      </w:pPr>
      <w:r>
        <w:rPr>
          <w:rFonts w:eastAsia="楷体_GB2312" w:cs="宋体;方正书宋_GBK" w:ascii="楷体_GB2312" w:hAnsi="楷体_GB2312"/>
          <w:kern w:val="0"/>
          <w:sz w:val="28"/>
          <w:szCs w:val="30"/>
          <w:u w:val="single"/>
        </w:rPr>
      </w:r>
    </w:p>
    <w:p>
      <w:pPr>
        <w:pStyle w:val="Normal"/>
        <w:tabs>
          <w:tab w:val="clear" w:pos="420"/>
          <w:tab w:val="left" w:pos="790" w:leader="none"/>
        </w:tabs>
        <w:overflowPunct w:val="false"/>
        <w:snapToGrid w:val="false"/>
        <w:jc w:val="center"/>
        <w:rPr>
          <w:rFonts w:ascii="方正小标宋简体" w:hAnsi="方正小标宋简体" w:eastAsia="方正小标宋简体" w:cs="宋体;方正书宋_GBK"/>
          <w:kern w:val="0"/>
          <w:sz w:val="44"/>
          <w:szCs w:val="44"/>
        </w:rPr>
      </w:pPr>
      <w:r>
        <w:rPr>
          <w:rFonts w:ascii="方正小标宋_GBK" w:hAnsi="方正小标宋_GBK" w:cs="方正小标宋_GBK" w:eastAsia="方正小标宋_GBK"/>
          <w:kern w:val="0"/>
          <w:sz w:val="40"/>
          <w:szCs w:val="40"/>
        </w:rPr>
        <w:t>上海市农村土地经营权流转合同</w:t>
      </w:r>
    </w:p>
    <w:p>
      <w:pPr>
        <w:pStyle w:val="Normal"/>
        <w:tabs>
          <w:tab w:val="clear" w:pos="420"/>
          <w:tab w:val="left" w:pos="790" w:leader="none"/>
        </w:tabs>
        <w:overflowPunct w:val="false"/>
        <w:snapToGrid w:val="false"/>
        <w:jc w:val="center"/>
        <w:rPr>
          <w:rFonts w:ascii="方正小标宋简体" w:hAnsi="方正小标宋简体" w:eastAsia="方正小标宋简体" w:cs="宋体;方正书宋_GBK"/>
          <w:kern w:val="0"/>
          <w:sz w:val="44"/>
          <w:szCs w:val="44"/>
        </w:rPr>
      </w:pPr>
      <w:r>
        <w:rPr>
          <w:rFonts w:ascii="方正楷体_GBK" w:hAnsi="方正楷体_GBK" w:cs="方正楷体_GBK" w:eastAsia="方正楷体_GBK"/>
          <w:kern w:val="0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kern w:val="0"/>
          <w:sz w:val="28"/>
          <w:szCs w:val="28"/>
        </w:rPr>
        <w:t>2019</w:t>
      </w:r>
      <w:r>
        <w:rPr>
          <w:rFonts w:ascii="方正楷体_GBK" w:hAnsi="方正楷体_GBK" w:cs="方正楷体_GBK" w:eastAsia="方正楷体_GBK"/>
          <w:kern w:val="0"/>
          <w:sz w:val="28"/>
          <w:szCs w:val="28"/>
        </w:rPr>
        <w:t>版）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spacing w:lineRule="auto" w:line="288"/>
        <w:ind w:firstLine="624" w:end="0"/>
        <w:rPr>
          <w:rFonts w:ascii="方正小标宋简体" w:hAnsi="方正小标宋简体" w:eastAsia="方正小标宋简体" w:cs="宋体;方正书宋_GBK"/>
          <w:kern w:val="0"/>
          <w:sz w:val="44"/>
          <w:szCs w:val="30"/>
        </w:rPr>
      </w:pPr>
      <w:r>
        <w:rPr>
          <w:rFonts w:eastAsia="方正小标宋简体" w:cs="宋体;方正书宋_GBK" w:ascii="方正小标宋简体" w:hAnsi="方正小标宋简体"/>
          <w:kern w:val="0"/>
          <w:sz w:val="44"/>
          <w:szCs w:val="30"/>
        </w:rPr>
      </w:r>
    </w:p>
    <w:p>
      <w:pPr>
        <w:pStyle w:val="Normal"/>
        <w:snapToGrid w:val="false"/>
        <w:spacing w:lineRule="auto" w:line="324"/>
        <w:jc w:val="start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甲方（农村土地经营权出让方）：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　</w:t>
      </w:r>
    </w:p>
    <w:p>
      <w:pPr>
        <w:pStyle w:val="Normal"/>
        <w:snapToGrid w:val="false"/>
        <w:spacing w:lineRule="auto" w:line="324"/>
        <w:jc w:val="start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乙方（农村土地经营权受让方）：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overflowPunct w:val="false"/>
        <w:snapToGrid w:val="false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根据《中华人民共和国合同法》《中华人民共和国农村土地承包法》和国家环境保护的有关规定，本着平等、自愿的原则，甲乙双方就农村土地经营权流转事宜协商一致，订立本合同。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一、土地基本情况</w:t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．土地位置：该土地位于上海市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区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乡（镇）</w:t>
      </w:r>
    </w:p>
    <w:p>
      <w:pPr>
        <w:pStyle w:val="Normal"/>
        <w:snapToGrid w:val="false"/>
        <w:spacing w:lineRule="auto" w:line="324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村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组。</w:t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．流转面积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亩；其中：承包地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亩，自留地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亩，机动地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亩，集体其他耕地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亩。</w:t>
      </w:r>
    </w:p>
    <w:p>
      <w:pPr>
        <w:pStyle w:val="Normal"/>
        <w:snapToGrid w:val="false"/>
        <w:spacing w:lineRule="auto" w:line="324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．流转承包地情况：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749"/>
        <w:gridCol w:w="1591"/>
        <w:gridCol w:w="1124"/>
        <w:gridCol w:w="738"/>
        <w:gridCol w:w="738"/>
        <w:gridCol w:w="738"/>
        <w:gridCol w:w="738"/>
        <w:gridCol w:w="2429"/>
      </w:tblGrid>
      <w:tr>
        <w:trPr>
          <w:trHeight w:val="397" w:hRule="atLeast"/>
          <w:cantSplit w:val="true"/>
        </w:trPr>
        <w:tc>
          <w:tcPr>
            <w:tcW w:w="74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地块名称</w:t>
            </w:r>
          </w:p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（地块编号）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面积</w:t>
            </w:r>
          </w:p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（亩）</w:t>
            </w:r>
          </w:p>
        </w:tc>
        <w:tc>
          <w:tcPr>
            <w:tcW w:w="295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四至</w:t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土地承包经营权证或承包合同编号</w:t>
            </w:r>
          </w:p>
        </w:tc>
      </w:tr>
      <w:tr>
        <w:trPr>
          <w:trHeight w:val="397" w:hRule="atLeast"/>
          <w:cantSplit w:val="true"/>
        </w:trPr>
        <w:tc>
          <w:tcPr>
            <w:tcW w:w="7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59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东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南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西</w:t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北</w:t>
            </w:r>
          </w:p>
        </w:tc>
        <w:tc>
          <w:tcPr>
            <w:tcW w:w="242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．土地质量等级：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二、流转期限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土地经营权流转期限为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年，自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日起至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日止。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三、土地的用途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该土地以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方式流转给乙方经营，具体项目为：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。流转期限内，乙方不得擅自改变流转土地的用途或用于非农建设。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四、土地交付时间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甲方应于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日前将流转土地交付乙方。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五、流转价款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种方式确定流转价款：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．流转单价为每年每亩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．第一年流转单价为每亩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元；以后流转单价每年递增率为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％。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．流转单价为每年每亩按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斤稻谷计算，第一年流转单价按当地政府收购指导价折合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．其他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。流转单价为每年每亩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元，年合计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六、支付方式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种方式支付流转价款：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．一次性支付：乙方应于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日前向甲方全部支付完毕。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．分期支付：乙方应于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日前向甲方支付第一年度流转价款，以后每年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日前付清该年度流转价款。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．其它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　　　　　　　　　　　　　　　　　　　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七、风险保障金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乙方应于本合同签订之日起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日内向甲方支付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元作为农村土地流转风险保障金。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八、双方权利和义务</w:t>
      </w:r>
    </w:p>
    <w:p>
      <w:pPr>
        <w:pStyle w:val="Normal"/>
        <w:tabs>
          <w:tab w:val="clear" w:pos="420"/>
          <w:tab w:val="left" w:pos="1134" w:leader="none"/>
        </w:tabs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甲方有权获得流转收益，有权按照合同约定的期限到期收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回流转的土地。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甲方有权要求乙方按约履行合同义务，有权监督乙方合理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利用土地，制止乙方损坏土地、其他农业资源和环境的行为。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．甲方保证其流转的土地经营权合法、真实、有效。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在合同约定的期限内，甲方不得干涉乙方依法进行正常的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生产经营活动。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．乙方有权自主开展农业生产经营并取得相关收益。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经甲方同意，乙方可以依法投资改良土壤，建设农业生产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附属、配套设备，并取得相关生产经营收益。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乙方不得损害农田基础设施，不得从事掠夺性经营，不得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损害土地、其他农业资源和环境。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．未经甲方同意，乙方不得将土地再流转。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流转土地被依法征收、征用、占用时，双方有权依法获得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相应的补偿。征收、征用、占用时有关补偿费归属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</w:t>
      </w:r>
    </w:p>
    <w:p>
      <w:pPr>
        <w:pStyle w:val="Normal"/>
        <w:snapToGrid w:val="false"/>
        <w:spacing w:lineRule="auto" w:line="348"/>
        <w:rPr>
          <w:rFonts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九、违约责任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2"/>
          <w:kern w:val="0"/>
          <w:sz w:val="22"/>
          <w:szCs w:val="22"/>
        </w:rPr>
        <w:t>甲方逾期交付土地的，每逾期一天，应向乙方支付</w:t>
      </w:r>
      <w:r>
        <w:rPr>
          <w:rFonts w:ascii="方正书宋_GBK" w:hAnsi="方正书宋_GBK" w:cs="方正书宋_GBK" w:eastAsia="方正书宋_GBK"/>
          <w:spacing w:val="-2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spacing w:val="-2"/>
          <w:kern w:val="0"/>
          <w:sz w:val="22"/>
          <w:szCs w:val="22"/>
        </w:rPr>
        <w:t>元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违约金。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spacing w:val="4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4"/>
          <w:kern w:val="0"/>
          <w:sz w:val="22"/>
          <w:szCs w:val="22"/>
        </w:rPr>
        <w:t>乙方逾期支付流转价款的，每逾期一天，应向甲方支付</w:t>
      </w:r>
    </w:p>
    <w:p>
      <w:pPr>
        <w:pStyle w:val="Normal"/>
        <w:snapToGrid w:val="false"/>
        <w:spacing w:lineRule="auto" w:line="348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元违约金。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乙方有下列情形之一的，甲方有权解除合同；给甲方造成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损失的，乙方应予以赔偿：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）擅自改变土地的农业用途的；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）弃耕抛荒连续两年以上的；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）给土地造成严重损害或者严重破坏土地生态环境的；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）有其他严重违约行为的。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对于（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）项情形，甲方还有权要求乙方恢复土地原状，乙方所交风险保障金不予退还。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甲方非法干预乙方正常生产经营活动的，乙方有权解除合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同；给乙方造成损失的，甲方应予以赔偿。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．其他违约责任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　　　　　　　　　　　　　　　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十、其他约定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spacing w:val="4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4"/>
          <w:kern w:val="0"/>
          <w:sz w:val="22"/>
          <w:szCs w:val="22"/>
        </w:rPr>
        <w:t>合同期满，双方同意按以下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种方式处理</w:t>
      </w:r>
      <w:r>
        <w:rPr>
          <w:rFonts w:ascii="方正书宋_GBK" w:hAnsi="方正书宋_GBK" w:cs="方正书宋_GBK" w:eastAsia="方正书宋_GBK"/>
          <w:spacing w:val="4"/>
          <w:kern w:val="0"/>
          <w:sz w:val="22"/>
          <w:szCs w:val="22"/>
        </w:rPr>
        <w:t>乙方的相关设施及地上附着物。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）归甲方所有，甲方不作补偿。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spacing w:val="2"/>
          <w:kern w:val="0"/>
          <w:sz w:val="22"/>
          <w:szCs w:val="22"/>
        </w:rPr>
        <w:t>双方协商通过折价方式由甲方给予乙方补偿，归甲方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所有；协商不成的，由乙方在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日内拆除，恢复原状，甲方不作补偿。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．流转土地交还时，双方关于土地恢复原状的约定：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 </w:t>
      </w:r>
    </w:p>
    <w:p>
      <w:pPr>
        <w:pStyle w:val="Normal"/>
        <w:snapToGrid w:val="false"/>
        <w:spacing w:lineRule="auto" w:line="348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．其他约定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　　　　　　　　　　　　　　　　　　　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十一、争议解决方式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双方发生争议的，可以自行和解，也可以请求村民委员会、乡（镇）人民政府等调解解决。双方和解、调解不成或者不愿和解、调解的，可以向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区农村土地承包仲裁委员会申请仲裁，也可以直接向人民法院提起诉讼。</w:t>
      </w:r>
    </w:p>
    <w:p>
      <w:pPr>
        <w:pStyle w:val="Normal"/>
        <w:snapToGrid w:val="false"/>
        <w:spacing w:lineRule="auto" w:line="324"/>
        <w:ind w:firstLine="624" w:end="0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十二、附则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本合同未尽事项，双方可以另行签订补充协议。补充协议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与本合同具有同等法律效力。</w:t>
      </w:r>
    </w:p>
    <w:p>
      <w:pPr>
        <w:pStyle w:val="Normal"/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．本合同自甲乙双方签字或盖章之日起生效。</w:t>
      </w:r>
    </w:p>
    <w:p>
      <w:pPr>
        <w:pStyle w:val="Normal"/>
        <w:tabs>
          <w:tab w:val="clear" w:pos="420"/>
          <w:tab w:val="left" w:pos="1276" w:leader="none"/>
        </w:tabs>
        <w:snapToGrid w:val="false"/>
        <w:spacing w:lineRule="auto" w:line="348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2"/>
          <w:kern w:val="0"/>
          <w:sz w:val="22"/>
          <w:szCs w:val="22"/>
        </w:rPr>
        <w:t>甲乙双方可以自愿向乡镇农村土地流转管理部门办理合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同鉴证。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spacing w:val="-4"/>
          <w:kern w:val="0"/>
          <w:sz w:val="22"/>
          <w:szCs w:val="22"/>
        </w:rPr>
        <w:t>本合同一式四份，双方各执一份，发包方和乡（镇、街道）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农村土地承包管理部门各备案一份。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　　方（签字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签章）：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（农村土地经营权出让方）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身份证号（组织机构代码）：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住　　所：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联系方式：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签约日期：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乙　　方（签字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签章）：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（农村土地经营权受让方）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身份证号（组织机构代码）：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住　　所：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联系方式：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签约日期：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鉴 证 方（签字</w:t>
      </w: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签章）：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地　　址：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联系方式：</w:t>
      </w:r>
    </w:p>
    <w:p>
      <w:pPr>
        <w:sectPr>
          <w:footerReference w:type="default" r:id="rId2"/>
          <w:type w:val="nextPage"/>
          <w:pgSz w:w="11906" w:h="16838"/>
          <w:pgMar w:left="1588" w:right="1474" w:gutter="0" w:header="0" w:top="2098" w:footer="1418" w:bottom="1985"/>
          <w:pgNumType w:fmt="decimal"/>
          <w:formProt w:val="false"/>
          <w:textDirection w:val="lrTb"/>
          <w:docGrid w:type="linesAndChars" w:linePitch="579" w:charSpace="4294966271"/>
        </w:sect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鉴证日期：</w:t>
      </w:r>
      <w:bookmarkStart w:id="0" w:name="_GoBack"/>
      <w:bookmarkEnd w:id="0"/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</w:r>
    </w:p>
    <w:sectPr>
      <w:footerReference w:type="default" r:id="rId3"/>
      <w:footerReference w:type="first" r:id="rId4"/>
      <w:type w:val="nextPage"/>
      <w:pgSz w:w="11906" w:h="16838"/>
      <w:pgMar w:left="1588" w:right="1474" w:gutter="0" w:header="0" w:top="2098" w:footer="1418" w:bottom="1985"/>
      <w:pgNumType w:fmt="decimal"/>
      <w:formProt w:val="false"/>
      <w:textDirection w:val="lrTb"/>
      <w:docGrid w:type="linesAndChars" w:linePitch="579" w:charSpace="429496627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宋体">
    <w:altName w:val="方正书宋_GBK"/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altName w:val="DejaVu Sans"/>
    <w:charset w:val="00" w:characterSet="windows-1252"/>
    <w:family w:val="swiss"/>
    <w:pitch w:val="default"/>
  </w:font>
  <w:font w:name="楷体_GB2312"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  <w:font w:name="方正小标宋简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312" w:end="312"/>
      <w:jc w:val="end"/>
      <w:rPr/>
    </w:pPr>
    <w:r>
      <w:rPr>
        <w:rFonts w:ascii="宋体;方正书宋_GBK" w:hAnsi="宋体;方正书宋_GBK" w:cs="宋体;方正书宋_GBK" w:eastAsia="宋体;方正书宋_GBK"/>
        <w:sz w:val="28"/>
        <w:szCs w:val="28"/>
      </w:rPr>
      <w:t xml:space="preserve">— </w:t>
    </w:r>
    <w:r>
      <w:rPr>
        <w:rFonts w:ascii="宋体;方正书宋_GBK" w:hAnsi="宋体;方正书宋_GBK" w:cs="宋体;方正书宋_GBK" w:eastAsia="宋体;方正书宋_GBK"/>
        <w:sz w:val="28"/>
        <w:szCs w:val="28"/>
      </w:rPr>
      <w:fldChar w:fldCharType="begin"/>
    </w:r>
    <w:r>
      <w:rPr>
        <w:sz w:val="28"/>
        <w:szCs w:val="28"/>
        <w:rFonts w:ascii="宋体;方正书宋_GBK" w:hAnsi="宋体;方正书宋_GBK" w:cs="宋体;方正书宋_GBK" w:eastAsia="宋体;方正书宋_GBK"/>
      </w:rPr>
      <w:instrText xml:space="preserve"> PAGE </w:instrText>
    </w:r>
    <w:r>
      <w:rPr>
        <w:sz w:val="28"/>
        <w:szCs w:val="28"/>
        <w:rFonts w:ascii="宋体;方正书宋_GBK" w:hAnsi="宋体;方正书宋_GBK" w:cs="宋体;方正书宋_GBK" w:eastAsia="宋体;方正书宋_GBK"/>
      </w:rPr>
      <w:fldChar w:fldCharType="separate"/>
    </w:r>
    <w:r>
      <w:rPr>
        <w:sz w:val="28"/>
        <w:szCs w:val="28"/>
        <w:rFonts w:ascii="宋体;方正书宋_GBK" w:hAnsi="宋体;方正书宋_GBK" w:cs="宋体;方正书宋_GBK" w:eastAsia="宋体;方正书宋_GBK"/>
      </w:rPr>
      <w:t>6</w:t>
    </w:r>
    <w:r>
      <w:rPr>
        <w:sz w:val="28"/>
        <w:szCs w:val="28"/>
        <w:rFonts w:ascii="宋体;方正书宋_GBK" w:hAnsi="宋体;方正书宋_GBK" w:cs="宋体;方正书宋_GBK" w:eastAsia="宋体;方正书宋_GBK"/>
      </w:rPr>
      <w:fldChar w:fldCharType="end"/>
    </w:r>
    <w:r>
      <w:rPr>
        <w:rFonts w:ascii="宋体;方正书宋_GBK" w:hAnsi="宋体;方正书宋_GBK" w:cs="宋体;方正书宋_GBK" w:eastAsia="宋体;方正书宋_GBK"/>
        <w:sz w:val="28"/>
        <w:szCs w:val="28"/>
      </w:rPr>
      <w:t xml:space="preserve"> —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Cs w:val="28"/>
      </w:rPr>
    </w:pPr>
    <w:r>
      <w:rPr>
        <w:szCs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;Nimbus Roman No9 L"/>
      <w:color w:val="auto"/>
      <w:kern w:val="2"/>
      <w:sz w:val="3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360"/>
      <w:jc w:val="center"/>
      <w:outlineLvl w:val="0"/>
    </w:pPr>
    <w:rPr>
      <w:rFonts w:ascii="仿宋_GB2312" w:hAnsi="仿宋_GB2312" w:eastAsia="仿宋_GB2312" w:cs="宋体;方正书宋_GBK"/>
      <w:kern w:val="2"/>
      <w:sz w:val="32"/>
      <w:szCs w:val="4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/>
      <w:jc w:val="center"/>
      <w:outlineLvl w:val="1"/>
    </w:pPr>
    <w:rPr>
      <w:rFonts w:ascii="宋体;方正书宋_GBK" w:hAnsi="宋体;方正书宋_GBK" w:eastAsia="楷体" w:cs="宋体;方正书宋_GBK"/>
      <w:b/>
      <w:kern w:val="0"/>
      <w:sz w:val="24"/>
      <w:szCs w:val="36"/>
    </w:rPr>
  </w:style>
  <w:style w:type="character" w:styleId="Style12">
    <w:name w:val="默认段落字体"/>
    <w:qFormat/>
    <w:rPr/>
  </w:style>
  <w:style w:type="character" w:styleId="Char">
    <w:name w:val="批注框文本 Char"/>
    <w:basedOn w:val="Style12"/>
    <w:qFormat/>
    <w:rPr>
      <w:kern w:val="2"/>
      <w:sz w:val="18"/>
      <w:szCs w:val="18"/>
    </w:rPr>
  </w:style>
  <w:style w:type="character" w:styleId="Char1">
    <w:name w:val="页脚 Char"/>
    <w:basedOn w:val="Style12"/>
    <w:qFormat/>
    <w:rPr>
      <w:kern w:val="2"/>
      <w:sz w:val="18"/>
      <w:szCs w:val="18"/>
    </w:rPr>
  </w:style>
  <w:style w:type="character" w:styleId="Char2">
    <w:name w:val="页眉 Char"/>
    <w:basedOn w:val="Style12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3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rFonts w:ascii="Calibri;DejaVu Sans" w:hAnsi="Calibri;DejaVu Sans" w:cs="Calibri;DejaVu Sans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2019-10-18T10:59:00Z</dcterms:created>
  <dc:creator>yyx</dc:creator>
  <dc:description/>
  <dc:language>zh-CN</dc:language>
  <cp:lastModifiedBy>scjuser</cp:lastModifiedBy>
  <dcterms:modified xsi:type="dcterms:W3CDTF">2022-02-11T18:22:03Z</dcterms:modified>
  <cp:revision>2</cp:revision>
  <dc:subject/>
  <dc:title>上海市市场监督管理局 上海市农业农村委员会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