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18.xml" ContentType="application/vnd.openxmlformats-officedocument.wordprocessingml.footer+xml"/>
  <Override PartName="/word/header12.xml" ContentType="application/vnd.openxmlformats-officedocument.wordprocessingml.header+xml"/>
  <Override PartName="/word/footer8.xml" ContentType="application/vnd.openxmlformats-officedocument.wordprocessingml.footer+xml"/>
  <Override PartName="/word/footer20.xml" ContentType="application/vnd.openxmlformats-officedocument.wordprocessingml.footer+xml"/>
  <Override PartName="/word/header4.xml" ContentType="application/vnd.openxmlformats-officedocument.wordprocessingml.header+xml"/>
  <Override PartName="/word/header14.xml" ContentType="application/vnd.openxmlformats-officedocument.wordprocessingml.header+xml"/>
  <Override PartName="/word/footer19.xml" ContentType="application/vnd.openxmlformats-officedocument.wordprocessingml.footer+xml"/>
  <Override PartName="/word/header13.xml" ContentType="application/vnd.openxmlformats-officedocument.wordprocessingml.header+xml"/>
  <Override PartName="/word/footer9.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15.xml" ContentType="application/vnd.openxmlformats-officedocument.wordprocessingml.header+xml"/>
  <Override PartName="/word/_rels/document.xml.rels" ContentType="application/vnd.openxmlformats-package.relationships+xml"/>
  <Override PartName="/word/header6.xml" ContentType="application/vnd.openxmlformats-officedocument.wordprocessingml.header+xml"/>
  <Override PartName="/word/header1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17.xml" ContentType="application/vnd.openxmlformats-officedocument.wordprocessingml.header+xml"/>
  <Override PartName="/word/header8.xml" ContentType="application/vnd.openxmlformats-officedocument.wordprocessingml.header+xml"/>
  <Override PartName="/word/header18.xml" ContentType="application/vnd.openxmlformats-officedocument.wordprocessingml.header+xml"/>
  <Override PartName="/word/settings.xml" ContentType="application/vnd.openxmlformats-officedocument.wordprocessingml.settings+xml"/>
  <Override PartName="/word/header9.xml" ContentType="application/vnd.openxmlformats-officedocument.wordprocessingml.header+xml"/>
  <Override PartName="/word/header19.xml" ContentType="application/vnd.openxmlformats-officedocument.wordprocessingml.header+xml"/>
  <Override PartName="/word/styles.xml" ContentType="application/vnd.openxmlformats-officedocument.wordprocessingml.styles+xml"/>
  <Override PartName="/word/footer15.xml" ContentType="application/vnd.openxmlformats-officedocument.wordprocessingml.footer+xml"/>
  <Override PartName="/word/document.xml" ContentType="application/vnd.openxmlformats-officedocument.wordprocessingml.document.main+xml"/>
  <Override PartName="/word/footer17.xml" ContentType="application/vnd.openxmlformats-officedocument.wordprocessingml.footer+xml"/>
  <Override PartName="/word/header11.xml" ContentType="application/vnd.openxmlformats-officedocument.wordprocessingml.header+xml"/>
  <Override PartName="/word/header1.xml" ContentType="application/vnd.openxmlformats-officedocument.wordprocessingml.header+xml"/>
  <Override PartName="/word/footer16.xml" ContentType="application/vnd.openxmlformats-officedocument.wordprocessingml.footer+xml"/>
  <Override PartName="/word/header10.xml" ContentType="application/vnd.openxmlformats-officedocument.wordprocessingml.header+xml"/>
  <Override PartName="/word/header21.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footer10.xml" ContentType="application/vnd.openxmlformats-officedocument.wordprocessingml.footer+xml"/>
  <Override PartName="/word/header25.xml" ContentType="application/vnd.openxmlformats-officedocument.wordprocessingml.header+xml"/>
  <Override PartName="/word/footer11.xml" ContentType="application/vnd.openxmlformats-officedocument.wordprocessingml.footer+xml"/>
  <Override PartName="/word/header26.xml" ContentType="application/vnd.openxmlformats-officedocument.wordprocessingml.header+xml"/>
  <Override PartName="/word/header23.xml" ContentType="application/vnd.openxmlformats-officedocument.wordprocessingml.header+xml"/>
  <Override PartName="/word/footer29.xml" ContentType="application/vnd.openxmlformats-officedocument.wordprocessingml.footer+xml"/>
  <Override PartName="/word/header24.xml" ContentType="application/vnd.openxmlformats-officedocument.wordprocessingml.header+xml"/>
  <Override PartName="/word/footer26.xml" ContentType="application/vnd.openxmlformats-officedocument.wordprocessingml.footer+xml"/>
  <Override PartName="/word/header20.xml" ContentType="application/vnd.openxmlformats-officedocument.wordprocessingml.header+xml"/>
  <Override PartName="/word/footer25.xml" ContentType="application/vnd.openxmlformats-officedocument.wordprocessingml.footer+xml"/>
  <Override PartName="/word/footer12.xml" ContentType="application/vnd.openxmlformats-officedocument.wordprocessingml.footer+xml"/>
  <Override PartName="/word/header27.xml" ContentType="application/vnd.openxmlformats-officedocument.wordprocessingml.header+xml"/>
  <Override PartName="/word/footer13.xml" ContentType="application/vnd.openxmlformats-officedocument.wordprocessingml.footer+xml"/>
  <Override PartName="/word/header28.xml" ContentType="application/vnd.openxmlformats-officedocument.wordprocessingml.header+xml"/>
  <Override PartName="/word/footer14.xml" ContentType="application/vnd.openxmlformats-officedocument.wordprocessingml.footer+xml"/>
  <Override PartName="/word/header29.xml" ContentType="application/vnd.openxmlformats-officedocument.wordprocessingml.header+xml"/>
  <Override PartName="/word/footer30.xml" ContentType="application/vnd.openxmlformats-officedocument.wordprocessingml.footer+xml"/>
  <Override PartName="/word/footer33.xml" ContentType="application/vnd.openxmlformats-officedocument.wordprocessingml.footer+xml"/>
  <Override PartName="/word/header32.xml" ContentType="application/vnd.openxmlformats-officedocument.wordprocessingml.header+xml"/>
  <Override PartName="/word/header30.xml" ContentType="application/vnd.openxmlformats-officedocument.wordprocessingml.header+xml"/>
  <Override PartName="/word/footer31.xml" ContentType="application/vnd.openxmlformats-officedocument.wordprocessingml.footer+xml"/>
  <Override PartName="/word/footer34.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header31.xml" ContentType="application/vnd.openxmlformats-officedocument.wordprocessingml.header+xml"/>
  <Override PartName="/word/footer32.xml" ContentType="application/vnd.openxmlformats-officedocument.wordprocessingml.footer+xml"/>
  <Override PartName="/word/footer24.xml" ContentType="application/vnd.openxmlformats-officedocument.wordprocessingml.footer+xml"/>
  <Override PartName="/word/numbering.xml" ContentType="application/vnd.openxmlformats-officedocument.wordprocessingml.numbering+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argefont"/>
        <w:spacing w:before="0" w:after="0"/>
        <w:ind w:hanging="0" w:end="0"/>
        <w:rPr>
          <w:rFonts w:ascii="方正书宋_GBK" w:hAnsi="方正书宋_GBK" w:eastAsia="方正书宋_GBK" w:cs="方正书宋_GBK"/>
          <w:color w:val="000000"/>
          <w:kern w:val="0"/>
          <w:sz w:val="28"/>
          <w:szCs w:val="28"/>
          <w:lang w:val="en-US" w:eastAsia="zh-CN" w:bidi="ar-SA"/>
        </w:rPr>
      </w:pPr>
      <w:r>
        <w:rPr>
          <w:rFonts w:eastAsia="仿宋_GB2312;仿宋" w:cs="Times New Roman" w:ascii="Times New Roman" w:hAnsi="Times New Roman"/>
          <w:color w:val="000000"/>
          <w:kern w:val="0"/>
          <w:sz w:val="28"/>
          <w:szCs w:val="28"/>
          <w:lang w:val="en-US" w:eastAsia="zh-CN" w:bidi="ar-SA"/>
        </w:rPr>
        <w:t>BF</w:t>
      </w:r>
      <w:r>
        <w:rPr>
          <w:rFonts w:eastAsia="仿宋_GB2312;仿宋" w:cs="仿宋_GB2312;仿宋" w:ascii="仿宋_GB2312;仿宋" w:hAnsi="仿宋_GB2312;仿宋"/>
          <w:color w:val="000000"/>
          <w:kern w:val="0"/>
          <w:sz w:val="28"/>
          <w:szCs w:val="28"/>
          <w:lang w:val="en-US" w:eastAsia="zh-CN" w:bidi="ar-SA"/>
        </w:rPr>
        <w:t>—</w:t>
      </w:r>
      <w:r>
        <w:rPr>
          <w:rFonts w:eastAsia="仿宋_GB2312;仿宋" w:cs="Times New Roman" w:ascii="Times New Roman" w:hAnsi="Times New Roman"/>
          <w:color w:val="000000"/>
          <w:kern w:val="0"/>
          <w:sz w:val="28"/>
          <w:szCs w:val="28"/>
          <w:lang w:val="en-US" w:eastAsia="zh-CN" w:bidi="ar-SA"/>
        </w:rPr>
        <w:t>2023</w:t>
      </w:r>
      <w:r>
        <w:rPr>
          <w:rFonts w:eastAsia="仿宋_GB2312;仿宋" w:cs="仿宋_GB2312;仿宋" w:ascii="仿宋_GB2312;仿宋" w:hAnsi="仿宋_GB2312;仿宋"/>
          <w:color w:val="000000"/>
          <w:kern w:val="0"/>
          <w:sz w:val="28"/>
          <w:szCs w:val="28"/>
          <w:lang w:val="en-US" w:eastAsia="zh-CN" w:bidi="ar-SA"/>
        </w:rPr>
        <w:t>—</w:t>
      </w:r>
      <w:r>
        <w:rPr>
          <w:rFonts w:eastAsia="仿宋_GB2312;仿宋" w:cs="Times New Roman" w:ascii="Times New Roman" w:hAnsi="Times New Roman"/>
          <w:color w:val="000000"/>
          <w:kern w:val="0"/>
          <w:sz w:val="28"/>
          <w:szCs w:val="28"/>
          <w:lang w:val="en-US" w:eastAsia="zh-CN" w:bidi="ar-SA"/>
        </w:rPr>
        <w:t xml:space="preserve">0143  </w:t>
      </w:r>
      <w:r>
        <w:rPr>
          <w:sz w:val="32"/>
          <w:szCs w:val="32"/>
        </w:rPr>
        <w:t xml:space="preserve">         </w:t>
      </w:r>
      <w:r>
        <w:rPr>
          <w:sz w:val="32"/>
          <w:szCs w:val="32"/>
          <w:lang w:val="en-US" w:eastAsia="zh-CN"/>
        </w:rPr>
        <w:t xml:space="preserve">      </w:t>
      </w:r>
      <w:r>
        <w:rPr>
          <w:sz w:val="32"/>
          <w:szCs w:val="32"/>
        </w:rPr>
        <w:t xml:space="preserve"> </w:t>
      </w:r>
      <w:r>
        <w:rPr>
          <w:sz w:val="32"/>
          <w:szCs w:val="32"/>
        </w:rPr>
        <w:t xml:space="preserve"> </w:t>
      </w:r>
      <w:r>
        <w:rPr>
          <w:rFonts w:ascii="方正书宋_GBK" w:hAnsi="方正书宋_GBK" w:cs="方正书宋_GBK" w:eastAsia="方正书宋_GBK"/>
          <w:color w:val="000000"/>
          <w:kern w:val="0"/>
          <w:sz w:val="28"/>
          <w:szCs w:val="28"/>
          <w:lang w:val="en-US" w:eastAsia="zh-CN" w:bidi="ar-SA"/>
        </w:rPr>
        <w:t xml:space="preserve">合同编号： </w:t>
      </w:r>
    </w:p>
    <w:p>
      <w:pPr>
        <w:pStyle w:val="largefontstyle1"/>
        <w:tabs>
          <w:tab w:val="clear" w:pos="420"/>
          <w:tab w:val="left" w:pos="4080" w:leader="none"/>
          <w:tab w:val="center" w:pos="4393" w:leader="none"/>
        </w:tabs>
        <w:spacing w:before="0" w:after="0"/>
        <w:rPr>
          <w:sz w:val="28"/>
          <w:szCs w:val="18"/>
        </w:rPr>
      </w:pPr>
      <w:r>
        <w:rPr>
          <w:sz w:val="28"/>
          <w:szCs w:val="18"/>
        </w:rPr>
        <w:tab/>
        <w:tab/>
      </w:r>
    </w:p>
    <w:p>
      <w:pPr>
        <w:pStyle w:val="largefontstyle1"/>
        <w:tabs>
          <w:tab w:val="clear" w:pos="420"/>
          <w:tab w:val="left" w:pos="4080" w:leader="none"/>
          <w:tab w:val="center" w:pos="4393" w:leader="none"/>
        </w:tabs>
        <w:spacing w:before="0" w:after="0"/>
        <w:rPr>
          <w:sz w:val="28"/>
          <w:szCs w:val="18"/>
        </w:rPr>
      </w:pPr>
      <w:r>
        <w:rPr>
          <w:sz w:val="28"/>
          <w:szCs w:val="18"/>
        </w:rPr>
      </w:r>
    </w:p>
    <w:p>
      <w:pPr>
        <w:pStyle w:val="largefontstyle1"/>
        <w:tabs>
          <w:tab w:val="clear" w:pos="420"/>
          <w:tab w:val="left" w:pos="4080" w:leader="none"/>
          <w:tab w:val="center" w:pos="4393" w:leader="none"/>
        </w:tabs>
        <w:spacing w:before="0" w:after="0"/>
        <w:rPr>
          <w:sz w:val="28"/>
          <w:szCs w:val="18"/>
        </w:rPr>
      </w:pPr>
      <w:r>
        <w:rPr>
          <w:sz w:val="28"/>
          <w:szCs w:val="18"/>
        </w:rPr>
      </w:r>
    </w:p>
    <w:p>
      <w:pPr>
        <w:pStyle w:val="largefontstyle1"/>
        <w:tabs>
          <w:tab w:val="clear" w:pos="420"/>
          <w:tab w:val="left" w:pos="4080" w:leader="none"/>
          <w:tab w:val="center" w:pos="4393" w:leader="none"/>
        </w:tabs>
        <w:spacing w:before="0" w:after="0"/>
        <w:ind w:hanging="0" w:end="0"/>
        <w:rPr>
          <w:sz w:val="28"/>
          <w:szCs w:val="18"/>
        </w:rPr>
      </w:pPr>
      <w:r>
        <w:rPr>
          <w:sz w:val="28"/>
          <w:szCs w:val="18"/>
        </w:rPr>
      </w:r>
    </w:p>
    <w:p>
      <w:pPr>
        <w:pStyle w:val="Heading11"/>
        <w:keepNext w:val="true"/>
        <w:keepLines/>
        <w:pageBreakBefore w:val="false"/>
        <w:kinsoku w:val="true"/>
        <w:overflowPunct w:val="true"/>
        <w:autoSpaceDE w:val="true"/>
        <w:bidi w:val="0"/>
        <w:snapToGrid w:val="true"/>
        <w:spacing w:lineRule="exact" w:line="560" w:before="0" w:after="0"/>
        <w:ind w:hanging="0" w:end="0"/>
        <w:jc w:val="center"/>
        <w:textAlignment w:val="auto"/>
        <w:rPr>
          <w:rFonts w:ascii="方正小标宋_GBK;微软雅黑" w:hAnsi="方正小标宋_GBK;微软雅黑" w:eastAsia="方正小标宋_GBK;微软雅黑" w:cs="方正小标宋_GBK;微软雅黑"/>
          <w:color w:val="000000"/>
          <w:kern w:val="0"/>
          <w:sz w:val="40"/>
          <w:szCs w:val="40"/>
          <w:lang w:val="en-US" w:eastAsia="zh-CN" w:bidi="ar-SA"/>
        </w:rPr>
      </w:pPr>
      <w:r>
        <w:rPr>
          <w:rFonts w:ascii="方正小标宋_GBK;微软雅黑" w:hAnsi="方正小标宋_GBK;微软雅黑" w:cs="方正小标宋_GBK;微软雅黑" w:eastAsia="方正小标宋_GBK;微软雅黑"/>
          <w:color w:val="000000"/>
          <w:kern w:val="0"/>
          <w:sz w:val="40"/>
          <w:szCs w:val="40"/>
          <w:lang w:val="en-US" w:eastAsia="zh-CN" w:bidi="ar-SA"/>
        </w:rPr>
        <w:t xml:space="preserve">北京市共有产权住房 </w:t>
      </w:r>
    </w:p>
    <w:p>
      <w:pPr>
        <w:pStyle w:val="Heading11"/>
        <w:keepNext w:val="true"/>
        <w:keepLines/>
        <w:pageBreakBefore w:val="false"/>
        <w:kinsoku w:val="true"/>
        <w:overflowPunct w:val="true"/>
        <w:autoSpaceDE w:val="true"/>
        <w:bidi w:val="0"/>
        <w:snapToGrid w:val="true"/>
        <w:spacing w:lineRule="exact" w:line="560" w:before="0" w:after="0"/>
        <w:ind w:hanging="0" w:end="0"/>
        <w:jc w:val="center"/>
        <w:textAlignment w:val="auto"/>
        <w:rPr>
          <w:rFonts w:ascii="方正小标宋_GBK;微软雅黑" w:hAnsi="方正小标宋_GBK;微软雅黑" w:eastAsia="方正小标宋_GBK;微软雅黑" w:cs="方正小标宋_GBK;微软雅黑"/>
          <w:color w:val="000000"/>
          <w:kern w:val="0"/>
          <w:sz w:val="40"/>
          <w:szCs w:val="40"/>
          <w:lang w:val="en-US" w:eastAsia="zh-CN" w:bidi="ar-SA"/>
        </w:rPr>
      </w:pPr>
      <w:r>
        <w:rPr>
          <w:rFonts w:ascii="方正小标宋_GBK;微软雅黑" w:hAnsi="方正小标宋_GBK;微软雅黑" w:cs="方正小标宋_GBK;微软雅黑" w:eastAsia="方正小标宋_GBK;微软雅黑"/>
          <w:color w:val="000000"/>
          <w:kern w:val="0"/>
          <w:sz w:val="40"/>
          <w:szCs w:val="40"/>
          <w:lang w:val="en-US" w:eastAsia="zh-CN" w:bidi="ar-SA"/>
        </w:rPr>
        <w:t>预售合同</w:t>
      </w:r>
    </w:p>
    <w:p>
      <w:pPr>
        <w:pStyle w:val="largefont"/>
        <w:spacing w:before="0" w:after="0"/>
        <w:ind w:hanging="0" w:end="0"/>
        <w:rPr>
          <w:rStyle w:val="Strong"/>
          <w:rFonts w:ascii="方正书宋_GBK" w:hAnsi="方正书宋_GBK" w:eastAsia="方正书宋_GBK" w:cs="方正书宋_GBK"/>
          <w:sz w:val="28"/>
          <w:szCs w:val="28"/>
        </w:rPr>
      </w:pPr>
      <w:r>
        <w:rPr>
          <w:rFonts w:eastAsia="方正小标宋_GBK;微软雅黑" w:cs="方正书宋_GBK" w:ascii="方正小标宋_GBK;微软雅黑" w:hAnsi="方正小标宋_GBK;微软雅黑"/>
          <w:color w:val="000000"/>
          <w:kern w:val="0"/>
          <w:sz w:val="40"/>
          <w:szCs w:val="40"/>
          <w:lang w:val="en-US" w:eastAsia="zh-CN" w:bidi="ar-SA"/>
        </w:rPr>
      </w:r>
    </w:p>
    <w:p>
      <w:pPr>
        <w:pStyle w:val="largefont"/>
        <w:spacing w:lineRule="exact" w:line="500" w:before="0" w:after="0"/>
        <w:ind w:firstLine="560" w:end="0"/>
        <w:rPr>
          <w:rStyle w:val="Strong"/>
          <w:rFonts w:ascii="方正书宋_GBK" w:hAnsi="方正书宋_GBK" w:eastAsia="方正书宋_GBK" w:cs="方正书宋_GBK"/>
          <w:b w:val="false"/>
          <w:bCs w:val="false"/>
          <w:sz w:val="28"/>
          <w:szCs w:val="28"/>
          <w:u w:val="single"/>
        </w:rPr>
      </w:pPr>
      <w:r>
        <w:rPr>
          <w:rStyle w:val="Strong"/>
          <w:rFonts w:ascii="方正书宋_GBK" w:hAnsi="方正书宋_GBK" w:cs="方正书宋_GBK" w:eastAsia="方正书宋_GBK"/>
          <w:b w:val="false"/>
          <w:bCs w:val="false"/>
          <w:sz w:val="28"/>
          <w:szCs w:val="28"/>
        </w:rPr>
        <w:t xml:space="preserve">甲方（开发企业）： </w:t>
      </w:r>
      <w:r>
        <w:rPr>
          <w:rStyle w:val="Strong"/>
          <w:rFonts w:ascii="方正书宋_GBK" w:hAnsi="方正书宋_GBK" w:cs="方正书宋_GBK" w:eastAsia="方正书宋_GBK"/>
          <w:b w:val="false"/>
          <w:bCs w:val="false"/>
          <w:sz w:val="28"/>
          <w:szCs w:val="28"/>
          <w:u w:val="single"/>
        </w:rPr>
        <w:t xml:space="preserve">                                    </w:t>
      </w:r>
    </w:p>
    <w:p>
      <w:pPr>
        <w:pStyle w:val="largefont"/>
        <w:spacing w:lineRule="exact" w:line="500" w:before="0" w:after="0"/>
        <w:ind w:firstLine="560" w:end="0"/>
        <w:rPr>
          <w:rStyle w:val="Strong"/>
          <w:rFonts w:ascii="方正书宋_GBK" w:hAnsi="方正书宋_GBK" w:eastAsia="方正书宋_GBK" w:cs="方正书宋_GBK"/>
          <w:b w:val="false"/>
          <w:bCs w:val="false"/>
          <w:sz w:val="28"/>
          <w:szCs w:val="28"/>
          <w:u w:val="single"/>
        </w:rPr>
      </w:pPr>
      <w:r>
        <w:rPr>
          <w:rStyle w:val="Strong"/>
          <w:rFonts w:ascii="方正书宋_GBK" w:hAnsi="方正书宋_GBK" w:cs="方正书宋_GBK" w:eastAsia="方正书宋_GBK"/>
          <w:b w:val="false"/>
          <w:bCs w:val="false"/>
          <w:sz w:val="28"/>
          <w:szCs w:val="28"/>
        </w:rPr>
        <w:t xml:space="preserve">乙方（购 房 人）： </w:t>
      </w:r>
      <w:r>
        <w:rPr>
          <w:rStyle w:val="Strong"/>
          <w:rFonts w:ascii="方正书宋_GBK" w:hAnsi="方正书宋_GBK" w:cs="方正书宋_GBK" w:eastAsia="方正书宋_GBK"/>
          <w:b w:val="false"/>
          <w:bCs w:val="false"/>
          <w:sz w:val="28"/>
          <w:szCs w:val="28"/>
          <w:u w:val="single"/>
        </w:rPr>
        <w:t xml:space="preserve">                                    </w:t>
      </w:r>
    </w:p>
    <w:p>
      <w:pPr>
        <w:pStyle w:val="largefont"/>
        <w:spacing w:lineRule="exact" w:line="500" w:before="0" w:after="0"/>
        <w:ind w:firstLine="560" w:end="0"/>
        <w:rPr>
          <w:rStyle w:val="Strong"/>
          <w:rFonts w:ascii="方正书宋_GBK" w:hAnsi="方正书宋_GBK" w:eastAsia="方正书宋_GBK" w:cs="方正书宋_GBK"/>
          <w:b w:val="false"/>
          <w:bCs w:val="false"/>
          <w:sz w:val="28"/>
          <w:szCs w:val="28"/>
          <w:u w:val="single"/>
        </w:rPr>
      </w:pPr>
      <w:r>
        <w:rPr>
          <w:rStyle w:val="Strong"/>
          <w:rFonts w:ascii="方正书宋_GBK" w:hAnsi="方正书宋_GBK" w:cs="方正书宋_GBK" w:eastAsia="方正书宋_GBK"/>
          <w:b w:val="false"/>
          <w:bCs w:val="false"/>
          <w:sz w:val="28"/>
          <w:szCs w:val="28"/>
        </w:rPr>
        <w:t xml:space="preserve">丙方（代持机构）： </w:t>
      </w:r>
      <w:r>
        <w:rPr>
          <w:rStyle w:val="Strong"/>
          <w:rFonts w:ascii="方正书宋_GBK" w:hAnsi="方正书宋_GBK" w:cs="方正书宋_GBK" w:eastAsia="方正书宋_GBK"/>
          <w:b w:val="false"/>
          <w:bCs w:val="false"/>
          <w:sz w:val="28"/>
          <w:szCs w:val="28"/>
          <w:u w:val="single"/>
        </w:rPr>
        <w:t xml:space="preserve">                                    </w:t>
      </w:r>
    </w:p>
    <w:p>
      <w:pPr>
        <w:pStyle w:val="largefont"/>
        <w:spacing w:lineRule="exact" w:line="500" w:before="0" w:after="0"/>
        <w:ind w:firstLine="616" w:end="0"/>
        <w:rPr>
          <w:rStyle w:val="Strong"/>
          <w:rFonts w:ascii="方正书宋_GBK" w:hAnsi="方正书宋_GBK" w:eastAsia="方正书宋_GBK" w:cs="方正书宋_GBK"/>
          <w:b w:val="false"/>
          <w:bCs w:val="false"/>
          <w:sz w:val="28"/>
          <w:szCs w:val="28"/>
        </w:rPr>
      </w:pPr>
      <w:r>
        <w:rPr>
          <w:rStyle w:val="Strong"/>
          <w:rFonts w:ascii="方正书宋_GBK" w:hAnsi="方正书宋_GBK" w:cs="方正书宋_GBK" w:eastAsia="方正书宋_GBK"/>
          <w:b w:val="false"/>
          <w:bCs w:val="false"/>
          <w:spacing w:val="168"/>
          <w:kern w:val="0"/>
          <w:sz w:val="28"/>
          <w:szCs w:val="28"/>
        </w:rPr>
        <w:t>预售证</w:t>
      </w:r>
      <w:r>
        <w:rPr>
          <w:rStyle w:val="Strong"/>
          <w:rFonts w:ascii="方正书宋_GBK" w:hAnsi="方正书宋_GBK" w:cs="方正书宋_GBK" w:eastAsia="方正书宋_GBK"/>
          <w:b w:val="false"/>
          <w:bCs w:val="false"/>
          <w:spacing w:val="0"/>
          <w:kern w:val="0"/>
          <w:sz w:val="28"/>
          <w:szCs w:val="28"/>
        </w:rPr>
        <w:t>号</w:t>
      </w:r>
      <w:r>
        <w:rPr>
          <w:rStyle w:val="Strong"/>
          <w:rFonts w:ascii="方正书宋_GBK" w:hAnsi="方正书宋_GBK" w:cs="方正书宋_GBK" w:eastAsia="方正书宋_GBK"/>
          <w:b w:val="false"/>
          <w:bCs w:val="false"/>
          <w:sz w:val="28"/>
          <w:szCs w:val="28"/>
        </w:rPr>
        <w:t>：</w:t>
      </w:r>
      <w:r>
        <w:rPr>
          <w:rStyle w:val="Strong"/>
          <w:rFonts w:ascii="方正书宋_GBK" w:hAnsi="方正书宋_GBK" w:cs="方正书宋_GBK" w:eastAsia="方正书宋_GBK"/>
          <w:b w:val="false"/>
          <w:bCs w:val="false"/>
          <w:sz w:val="28"/>
          <w:szCs w:val="28"/>
          <w:u w:val="none"/>
        </w:rPr>
        <w:t xml:space="preserve"> </w:t>
      </w:r>
      <w:r>
        <w:rPr>
          <w:rStyle w:val="Strong"/>
          <w:rFonts w:ascii="方正书宋_GBK" w:hAnsi="方正书宋_GBK" w:cs="方正书宋_GBK" w:eastAsia="方正书宋_GBK"/>
          <w:b w:val="false"/>
          <w:bCs w:val="false"/>
          <w:sz w:val="28"/>
          <w:szCs w:val="28"/>
          <w:u w:val="single"/>
        </w:rPr>
        <w:t xml:space="preserve">                                     </w:t>
      </w:r>
      <w:r>
        <w:rPr>
          <w:rStyle w:val="Strong"/>
          <w:rFonts w:ascii="方正书宋_GBK" w:hAnsi="方正书宋_GBK" w:cs="方正书宋_GBK" w:eastAsia="方正书宋_GBK"/>
          <w:b w:val="false"/>
          <w:bCs w:val="false"/>
          <w:sz w:val="28"/>
          <w:szCs w:val="28"/>
        </w:rPr>
        <w:t xml:space="preserve">                                  </w:t>
      </w:r>
    </w:p>
    <w:p>
      <w:pPr>
        <w:pStyle w:val="largefont"/>
        <w:spacing w:lineRule="exact" w:line="500" w:before="0" w:after="0"/>
        <w:ind w:firstLine="616" w:end="0"/>
        <w:rPr>
          <w:rStyle w:val="Strong"/>
          <w:rFonts w:ascii="方正书宋_GBK" w:hAnsi="方正书宋_GBK" w:eastAsia="方正书宋_GBK" w:cs="方正书宋_GBK"/>
          <w:b w:val="false"/>
          <w:bCs w:val="false"/>
          <w:sz w:val="28"/>
          <w:szCs w:val="28"/>
          <w:u w:val="single"/>
        </w:rPr>
      </w:pPr>
      <w:r>
        <w:rPr>
          <w:rStyle w:val="Strong"/>
          <w:rFonts w:ascii="方正书宋_GBK" w:hAnsi="方正书宋_GBK" w:cs="方正书宋_GBK" w:eastAsia="方正书宋_GBK"/>
          <w:b w:val="false"/>
          <w:bCs w:val="false"/>
          <w:spacing w:val="168"/>
          <w:kern w:val="0"/>
          <w:sz w:val="28"/>
          <w:szCs w:val="28"/>
        </w:rPr>
        <w:t>项目名</w:t>
      </w:r>
      <w:r>
        <w:rPr>
          <w:rStyle w:val="Strong"/>
          <w:rFonts w:ascii="方正书宋_GBK" w:hAnsi="方正书宋_GBK" w:cs="方正书宋_GBK" w:eastAsia="方正书宋_GBK"/>
          <w:b w:val="false"/>
          <w:bCs w:val="false"/>
          <w:spacing w:val="0"/>
          <w:kern w:val="0"/>
          <w:sz w:val="28"/>
          <w:szCs w:val="28"/>
        </w:rPr>
        <w:t>称</w:t>
      </w:r>
      <w:r>
        <w:rPr>
          <w:rStyle w:val="Strong"/>
          <w:rFonts w:ascii="方正书宋_GBK" w:hAnsi="方正书宋_GBK" w:cs="方正书宋_GBK" w:eastAsia="方正书宋_GBK"/>
          <w:b w:val="false"/>
          <w:bCs w:val="false"/>
          <w:sz w:val="28"/>
          <w:szCs w:val="28"/>
        </w:rPr>
        <w:t>：</w:t>
      </w:r>
      <w:r>
        <w:rPr>
          <w:rStyle w:val="Strong"/>
          <w:rFonts w:ascii="方正书宋_GBK" w:hAnsi="方正书宋_GBK" w:cs="方正书宋_GBK" w:eastAsia="方正书宋_GBK"/>
          <w:b w:val="false"/>
          <w:bCs w:val="false"/>
          <w:sz w:val="28"/>
          <w:szCs w:val="28"/>
          <w:u w:val="none"/>
        </w:rPr>
        <w:t xml:space="preserve"> </w:t>
      </w:r>
      <w:r>
        <w:rPr>
          <w:rStyle w:val="Strong"/>
          <w:rFonts w:ascii="方正书宋_GBK" w:hAnsi="方正书宋_GBK" w:cs="方正书宋_GBK" w:eastAsia="方正书宋_GBK"/>
          <w:b w:val="false"/>
          <w:bCs w:val="false"/>
          <w:sz w:val="28"/>
          <w:szCs w:val="28"/>
          <w:u w:val="single"/>
        </w:rPr>
        <w:t xml:space="preserve">                                  </w:t>
      </w:r>
      <w:r>
        <w:rPr>
          <w:rStyle w:val="Strong"/>
          <w:rFonts w:ascii="方正书宋_GBK" w:hAnsi="方正书宋_GBK" w:cs="方正书宋_GBK" w:eastAsia="方正书宋_GBK"/>
          <w:b w:val="false"/>
          <w:bCs w:val="false"/>
          <w:sz w:val="28"/>
          <w:szCs w:val="28"/>
          <w:u w:val="single"/>
          <w:lang w:val="en-US" w:eastAsia="zh-CN"/>
        </w:rPr>
        <w:t xml:space="preserve"> </w:t>
      </w:r>
      <w:r>
        <w:rPr>
          <w:rStyle w:val="Strong"/>
          <w:rFonts w:ascii="方正书宋_GBK" w:hAnsi="方正书宋_GBK" w:cs="方正书宋_GBK" w:eastAsia="方正书宋_GBK"/>
          <w:b w:val="false"/>
          <w:bCs w:val="false"/>
          <w:sz w:val="28"/>
          <w:szCs w:val="28"/>
          <w:u w:val="single"/>
        </w:rPr>
        <w:t xml:space="preserve">  </w:t>
      </w:r>
    </w:p>
    <w:p>
      <w:pPr>
        <w:pStyle w:val="largefont"/>
        <w:spacing w:lineRule="exact" w:line="500" w:before="0" w:after="0"/>
        <w:ind w:firstLine="616" w:end="0"/>
        <w:rPr>
          <w:rStyle w:val="Strong"/>
          <w:rFonts w:ascii="方正书宋_GBK" w:hAnsi="方正书宋_GBK" w:eastAsia="方正书宋_GBK" w:cs="方正书宋_GBK"/>
          <w:b w:val="false"/>
          <w:bCs w:val="false"/>
          <w:sz w:val="28"/>
          <w:szCs w:val="28"/>
          <w:u w:val="single"/>
        </w:rPr>
      </w:pPr>
      <w:r>
        <w:rPr>
          <w:rStyle w:val="Strong"/>
          <w:rFonts w:ascii="方正书宋_GBK" w:hAnsi="方正书宋_GBK" w:cs="方正书宋_GBK" w:eastAsia="方正书宋_GBK"/>
          <w:b w:val="false"/>
          <w:bCs w:val="false"/>
          <w:spacing w:val="168"/>
          <w:kern w:val="0"/>
          <w:sz w:val="28"/>
          <w:szCs w:val="28"/>
          <w:lang w:eastAsia="zh-CN"/>
        </w:rPr>
        <w:t>房屋</w:t>
      </w:r>
      <w:r>
        <w:rPr>
          <w:rStyle w:val="Strong"/>
          <w:rFonts w:ascii="方正书宋_GBK" w:hAnsi="方正书宋_GBK" w:cs="方正书宋_GBK" w:eastAsia="方正书宋_GBK"/>
          <w:b w:val="false"/>
          <w:bCs w:val="false"/>
          <w:spacing w:val="168"/>
          <w:kern w:val="0"/>
          <w:sz w:val="28"/>
          <w:szCs w:val="28"/>
        </w:rPr>
        <w:t>坐</w:t>
      </w:r>
      <w:r>
        <w:rPr>
          <w:rStyle w:val="Strong"/>
          <w:rFonts w:ascii="方正书宋_GBK" w:hAnsi="方正书宋_GBK" w:cs="方正书宋_GBK" w:eastAsia="方正书宋_GBK"/>
          <w:b w:val="false"/>
          <w:bCs w:val="false"/>
          <w:spacing w:val="0"/>
          <w:kern w:val="0"/>
          <w:sz w:val="28"/>
          <w:szCs w:val="28"/>
        </w:rPr>
        <w:t>落</w:t>
      </w:r>
      <w:r>
        <w:rPr>
          <w:rStyle w:val="Strong"/>
          <w:rFonts w:ascii="方正书宋_GBK" w:hAnsi="方正书宋_GBK" w:cs="方正书宋_GBK" w:eastAsia="方正书宋_GBK"/>
          <w:b w:val="false"/>
          <w:bCs w:val="false"/>
          <w:sz w:val="28"/>
          <w:szCs w:val="28"/>
        </w:rPr>
        <w:t>：</w:t>
      </w:r>
      <w:r>
        <w:rPr>
          <w:rStyle w:val="Strong"/>
          <w:rFonts w:ascii="方正书宋_GBK" w:hAnsi="方正书宋_GBK" w:cs="方正书宋_GBK" w:eastAsia="方正书宋_GBK"/>
          <w:b w:val="false"/>
          <w:bCs w:val="false"/>
          <w:sz w:val="28"/>
          <w:szCs w:val="28"/>
          <w:u w:val="none"/>
        </w:rPr>
        <w:t xml:space="preserve"> </w:t>
      </w:r>
      <w:r>
        <w:rPr>
          <w:rStyle w:val="Strong"/>
          <w:rFonts w:ascii="方正书宋_GBK" w:hAnsi="方正书宋_GBK" w:cs="方正书宋_GBK" w:eastAsia="方正书宋_GBK"/>
          <w:b w:val="false"/>
          <w:bCs w:val="false"/>
          <w:sz w:val="28"/>
          <w:szCs w:val="28"/>
          <w:u w:val="single"/>
        </w:rPr>
        <w:t xml:space="preserve">                                     </w:t>
      </w:r>
    </w:p>
    <w:p>
      <w:pPr>
        <w:pStyle w:val="largefont"/>
        <w:spacing w:before="0" w:after="0"/>
        <w:ind w:hanging="0" w:end="0"/>
        <w:rPr>
          <w:rStyle w:val="Strong"/>
          <w:rFonts w:ascii="方正书宋_GBK" w:hAnsi="方正书宋_GBK" w:eastAsia="方正书宋_GBK" w:cs="方正书宋_GBK"/>
          <w:b w:val="false"/>
          <w:bCs w:val="false"/>
          <w:sz w:val="28"/>
          <w:szCs w:val="28"/>
          <w:u w:val="single"/>
        </w:rPr>
      </w:pPr>
      <w:r>
        <w:rPr/>
      </w:r>
    </w:p>
    <w:p>
      <w:pPr>
        <w:pStyle w:val="largefont"/>
        <w:spacing w:before="0" w:after="0"/>
        <w:ind w:hanging="0" w:end="0"/>
        <w:rPr>
          <w:rFonts w:ascii="方正书宋_GBK" w:hAnsi="方正书宋_GBK" w:eastAsia="方正书宋_GBK" w:cs="方正书宋_GBK"/>
          <w:b w:val="false"/>
          <w:bCs w:val="false"/>
          <w:sz w:val="28"/>
          <w:szCs w:val="28"/>
        </w:rPr>
      </w:pPr>
      <w:r>
        <w:rPr>
          <w:rFonts w:eastAsia="方正书宋_GBK" w:cs="方正书宋_GBK" w:ascii="方正书宋_GBK" w:hAnsi="方正书宋_GBK"/>
          <w:b w:val="false"/>
          <w:bCs w:val="false"/>
          <w:sz w:val="28"/>
          <w:szCs w:val="28"/>
        </w:rPr>
      </w:r>
    </w:p>
    <w:p>
      <w:pPr>
        <w:pStyle w:val="largefont"/>
        <w:spacing w:before="0" w:after="0"/>
        <w:ind w:hanging="0" w:end="0"/>
        <w:rPr>
          <w:rFonts w:ascii="方正书宋_GBK" w:hAnsi="方正书宋_GBK" w:eastAsia="方正书宋_GBK" w:cs="方正书宋_GBK"/>
          <w:b w:val="false"/>
          <w:bCs w:val="false"/>
          <w:sz w:val="28"/>
          <w:szCs w:val="28"/>
        </w:rPr>
      </w:pPr>
      <w:r>
        <w:rPr>
          <w:rFonts w:eastAsia="方正书宋_GBK" w:cs="方正书宋_GBK" w:ascii="方正书宋_GBK" w:hAnsi="方正书宋_GBK"/>
          <w:b w:val="false"/>
          <w:bCs w:val="false"/>
          <w:sz w:val="28"/>
          <w:szCs w:val="28"/>
        </w:rPr>
      </w:r>
    </w:p>
    <w:p>
      <w:pPr>
        <w:pStyle w:val="largefont"/>
        <w:spacing w:before="0" w:after="0"/>
        <w:ind w:hanging="0" w:end="0"/>
        <w:rPr>
          <w:rFonts w:ascii="方正书宋_GBK" w:hAnsi="方正书宋_GBK" w:eastAsia="方正书宋_GBK" w:cs="方正书宋_GBK"/>
          <w:b w:val="false"/>
          <w:bCs w:val="false"/>
          <w:sz w:val="28"/>
          <w:szCs w:val="28"/>
        </w:rPr>
      </w:pPr>
      <w:r>
        <w:rPr>
          <w:rFonts w:eastAsia="方正书宋_GBK" w:cs="方正书宋_GBK" w:ascii="方正书宋_GBK" w:hAnsi="方正书宋_GBK"/>
          <w:b w:val="false"/>
          <w:bCs w:val="false"/>
          <w:sz w:val="28"/>
          <w:szCs w:val="28"/>
        </w:rPr>
      </w:r>
    </w:p>
    <w:p>
      <w:pPr>
        <w:pStyle w:val="largefont"/>
        <w:spacing w:before="0" w:after="0"/>
        <w:ind w:firstLine="2340" w:end="1947"/>
        <w:jc w:val="center"/>
        <w:rPr>
          <w:rFonts w:ascii="方正书宋_GBK" w:hAnsi="方正书宋_GBK" w:eastAsia="方正书宋_GBK" w:cs="方正书宋_GBK"/>
          <w:b w:val="false"/>
          <w:bCs w:val="false"/>
          <w:sz w:val="28"/>
          <w:szCs w:val="28"/>
          <w:u w:val="single"/>
        </w:rPr>
      </w:pPr>
      <w:r>
        <w:rPr>
          <w:rStyle w:val="Strong"/>
          <w:rFonts w:ascii="方正书宋_GBK" w:hAnsi="方正书宋_GBK" w:cs="方正书宋_GBK" w:eastAsia="方正书宋_GBK"/>
          <w:b w:val="false"/>
          <w:bCs w:val="false"/>
          <w:sz w:val="28"/>
          <w:szCs w:val="28"/>
        </w:rPr>
        <w:t>北京市住房和城乡建设委员会</w:t>
      </w:r>
    </w:p>
    <w:p>
      <w:pPr>
        <w:pStyle w:val="largefontstyle3"/>
        <w:spacing w:before="0" w:after="0"/>
        <w:ind w:firstLine="2340" w:end="1947"/>
        <w:jc w:val="center"/>
        <w:rPr>
          <w:rFonts w:ascii="方正书宋_GBK" w:hAnsi="方正书宋_GBK" w:eastAsia="方正书宋_GBK" w:cs="方正书宋_GBK"/>
          <w:b w:val="false"/>
          <w:bCs w:val="false"/>
          <w:sz w:val="28"/>
          <w:szCs w:val="28"/>
        </w:rPr>
      </w:pPr>
      <w:r>
        <w:rPr>
          <w:rStyle w:val="Strong"/>
          <w:rFonts w:ascii="方正书宋_GBK" w:hAnsi="方正书宋_GBK" w:cs="方正书宋_GBK" w:eastAsia="方正书宋_GBK"/>
          <w:b w:val="false"/>
          <w:bCs w:val="false"/>
          <w:sz w:val="28"/>
          <w:szCs w:val="28"/>
        </w:rPr>
        <w:t>北京市市场监督管理局</w:t>
      </w:r>
    </w:p>
    <w:p>
      <w:pPr>
        <w:sectPr>
          <w:headerReference w:type="default" r:id="rId2"/>
          <w:headerReference w:type="first" r:id="rId3"/>
          <w:footerReference w:type="default" r:id="rId4"/>
          <w:footerReference w:type="first" r:id="rId5"/>
          <w:type w:val="nextPage"/>
          <w:pgSz w:w="11906" w:h="16838"/>
          <w:pgMar w:left="1559" w:right="1559" w:gutter="0" w:header="851" w:top="1440" w:footer="992" w:bottom="1440"/>
          <w:pgNumType w:start="0" w:fmt="decimal"/>
          <w:formProt w:val="false"/>
          <w:titlePg/>
          <w:textDirection w:val="lrTb"/>
          <w:docGrid w:type="lines" w:linePitch="312" w:charSpace="0"/>
        </w:sectPr>
        <w:pStyle w:val="largefont"/>
        <w:spacing w:before="0" w:after="0"/>
        <w:jc w:val="center"/>
        <w:rPr>
          <w:rFonts w:ascii="方正书宋_GBK" w:hAnsi="方正书宋_GBK" w:eastAsia="方正书宋_GBK" w:cs="方正书宋_GBK"/>
          <w:b w:val="false"/>
          <w:bCs w:val="false"/>
          <w:sz w:val="28"/>
          <w:szCs w:val="28"/>
        </w:rPr>
      </w:pPr>
      <w:r>
        <w:rPr>
          <w:rFonts w:eastAsia="方正书宋_GBK" w:cs="方正书宋_GBK" w:ascii="方正书宋_GBK" w:hAnsi="方正书宋_GBK"/>
          <w:b w:val="false"/>
          <w:bCs w:val="false"/>
          <w:sz w:val="28"/>
          <w:szCs w:val="28"/>
        </w:rPr>
        <w:t>202</w:t>
      </w:r>
      <w:r>
        <w:rPr>
          <w:rFonts w:eastAsia="方正书宋_GBK" w:cs="方正书宋_GBK" w:ascii="方正书宋_GBK" w:hAnsi="方正书宋_GBK"/>
          <w:b w:val="false"/>
          <w:bCs w:val="false"/>
          <w:sz w:val="28"/>
          <w:szCs w:val="28"/>
          <w:lang w:val="en-US" w:eastAsia="zh-CN"/>
        </w:rPr>
        <w:t>3</w:t>
      </w:r>
      <w:r>
        <w:rPr>
          <w:rFonts w:ascii="方正书宋_GBK" w:hAnsi="方正书宋_GBK" w:cs="方正书宋_GBK" w:eastAsia="方正书宋_GBK"/>
          <w:b w:val="false"/>
          <w:bCs w:val="false"/>
          <w:sz w:val="28"/>
          <w:szCs w:val="28"/>
        </w:rPr>
        <w:t>年</w:t>
      </w:r>
      <w:r>
        <w:rPr>
          <w:rFonts w:eastAsia="方正书宋_GBK" w:cs="方正书宋_GBK" w:ascii="方正书宋_GBK" w:hAnsi="方正书宋_GBK"/>
          <w:b w:val="false"/>
          <w:bCs w:val="false"/>
          <w:sz w:val="28"/>
          <w:szCs w:val="28"/>
          <w:lang w:val="en-US" w:eastAsia="zh-CN"/>
        </w:rPr>
        <w:t>10</w:t>
      </w:r>
      <w:r>
        <w:rPr>
          <w:rFonts w:ascii="方正书宋_GBK" w:hAnsi="方正书宋_GBK" w:cs="方正书宋_GBK" w:eastAsia="方正书宋_GBK"/>
          <w:b w:val="false"/>
          <w:bCs w:val="false"/>
          <w:sz w:val="28"/>
          <w:szCs w:val="28"/>
        </w:rPr>
        <w:t>月</w:t>
      </w:r>
    </w:p>
    <w:p>
      <w:pPr>
        <w:pStyle w:val="largefont"/>
        <w:spacing w:before="0" w:after="0"/>
        <w:jc w:val="center"/>
        <w:rPr>
          <w:rFonts w:ascii="方正小标宋简体;方正舒体" w:hAnsi="方正小标宋简体;方正舒体" w:eastAsia="方正小标宋简体;方正舒体" w:cs="方正小标宋简体;方正舒体"/>
          <w:b w:val="false"/>
          <w:bCs/>
          <w:sz w:val="28"/>
          <w:szCs w:val="28"/>
        </w:rPr>
      </w:pPr>
      <w:r>
        <w:rPr>
          <w:rFonts w:ascii="黑体" w:hAnsi="黑体" w:cs="Times New Roman" w:eastAsia="黑体"/>
          <w:b w:val="false"/>
          <w:bCs/>
          <w:sz w:val="36"/>
          <w:szCs w:val="36"/>
        </w:rPr>
        <w:t>目   录</w:t>
      </w:r>
    </w:p>
    <w:p>
      <w:pPr>
        <w:pStyle w:val="largefont"/>
        <w:keepNext w:val="false"/>
        <w:keepLines w:val="false"/>
        <w:pageBreakBefore w:val="false"/>
        <w:widowControl/>
        <w:kinsoku w:val="true"/>
        <w:overflowPunct w:val="true"/>
        <w:autoSpaceDE w:val="true"/>
        <w:bidi w:val="0"/>
        <w:snapToGrid w:val="true"/>
        <w:spacing w:lineRule="exact" w:line="560" w:before="312" w:after="0"/>
        <w:ind w:firstLine="482" w:end="0"/>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说明</w:t>
      </w:r>
    </w:p>
    <w:p>
      <w:pPr>
        <w:pStyle w:val="largefont"/>
        <w:keepNext w:val="false"/>
        <w:keepLines w:val="false"/>
        <w:pageBreakBefore w:val="false"/>
        <w:widowControl/>
        <w:kinsoku w:val="true"/>
        <w:overflowPunct w:val="true"/>
        <w:autoSpaceDE w:val="true"/>
        <w:bidi w:val="0"/>
        <w:snapToGrid w:val="true"/>
        <w:spacing w:lineRule="exact" w:line="560" w:before="312" w:after="0"/>
        <w:ind w:firstLine="482" w:end="0"/>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特别提示</w:t>
      </w:r>
    </w:p>
    <w:p>
      <w:pPr>
        <w:pStyle w:val="largefont"/>
        <w:keepNext w:val="false"/>
        <w:keepLines w:val="false"/>
        <w:pageBreakBefore w:val="false"/>
        <w:widowControl/>
        <w:kinsoku w:val="true"/>
        <w:overflowPunct w:val="true"/>
        <w:autoSpaceDE w:val="true"/>
        <w:bidi w:val="0"/>
        <w:snapToGrid w:val="true"/>
        <w:spacing w:lineRule="exact" w:line="560" w:before="312" w:after="0"/>
        <w:ind w:firstLine="482" w:end="0"/>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术语解释</w:t>
      </w:r>
    </w:p>
    <w:p>
      <w:pPr>
        <w:pStyle w:val="largefont"/>
        <w:keepNext w:val="false"/>
        <w:keepLines w:val="false"/>
        <w:pageBreakBefore w:val="false"/>
        <w:widowControl/>
        <w:kinsoku w:val="true"/>
        <w:overflowPunct w:val="true"/>
        <w:autoSpaceDE w:val="true"/>
        <w:bidi w:val="0"/>
        <w:snapToGrid w:val="true"/>
        <w:spacing w:lineRule="exact" w:line="560" w:before="312" w:after="0"/>
        <w:ind w:firstLine="482" w:end="0"/>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第一章 合同当事人</w:t>
      </w:r>
    </w:p>
    <w:p>
      <w:pPr>
        <w:pStyle w:val="largefont"/>
        <w:keepNext w:val="false"/>
        <w:keepLines w:val="false"/>
        <w:pageBreakBefore w:val="false"/>
        <w:widowControl/>
        <w:kinsoku w:val="true"/>
        <w:overflowPunct w:val="true"/>
        <w:autoSpaceDE w:val="true"/>
        <w:bidi w:val="0"/>
        <w:snapToGrid w:val="true"/>
        <w:spacing w:lineRule="exact" w:line="560" w:before="312" w:after="0"/>
        <w:ind w:firstLine="482" w:end="0"/>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第二章 共有产权住房基本状况</w:t>
      </w:r>
    </w:p>
    <w:p>
      <w:pPr>
        <w:pStyle w:val="largefont"/>
        <w:keepNext w:val="false"/>
        <w:keepLines w:val="false"/>
        <w:pageBreakBefore w:val="false"/>
        <w:widowControl/>
        <w:kinsoku w:val="true"/>
        <w:overflowPunct w:val="true"/>
        <w:autoSpaceDE w:val="true"/>
        <w:bidi w:val="0"/>
        <w:snapToGrid w:val="true"/>
        <w:spacing w:lineRule="exact" w:line="560" w:before="312" w:after="0"/>
        <w:ind w:firstLine="482" w:end="0"/>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第三章 共有产权住房价款</w:t>
      </w:r>
    </w:p>
    <w:p>
      <w:pPr>
        <w:pStyle w:val="largefont"/>
        <w:keepNext w:val="false"/>
        <w:keepLines w:val="false"/>
        <w:pageBreakBefore w:val="false"/>
        <w:widowControl/>
        <w:kinsoku w:val="true"/>
        <w:overflowPunct w:val="true"/>
        <w:autoSpaceDE w:val="true"/>
        <w:bidi w:val="0"/>
        <w:snapToGrid w:val="true"/>
        <w:spacing w:lineRule="exact" w:line="560" w:before="312" w:after="0"/>
        <w:ind w:firstLine="482" w:end="0"/>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第四章 共有产权住房交付条件和交付手续</w:t>
      </w:r>
    </w:p>
    <w:p>
      <w:pPr>
        <w:pStyle w:val="largefont"/>
        <w:keepNext w:val="false"/>
        <w:keepLines w:val="false"/>
        <w:pageBreakBefore w:val="false"/>
        <w:widowControl/>
        <w:kinsoku w:val="true"/>
        <w:overflowPunct w:val="true"/>
        <w:autoSpaceDE w:val="true"/>
        <w:bidi w:val="0"/>
        <w:snapToGrid w:val="true"/>
        <w:spacing w:lineRule="exact" w:line="560" w:before="312" w:after="0"/>
        <w:ind w:firstLine="482" w:end="0"/>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第五章 面积差异处理方式</w:t>
      </w:r>
    </w:p>
    <w:p>
      <w:pPr>
        <w:pStyle w:val="largefont"/>
        <w:keepNext w:val="false"/>
        <w:keepLines w:val="false"/>
        <w:pageBreakBefore w:val="false"/>
        <w:widowControl/>
        <w:kinsoku w:val="true"/>
        <w:overflowPunct w:val="true"/>
        <w:autoSpaceDE w:val="true"/>
        <w:bidi w:val="0"/>
        <w:snapToGrid w:val="true"/>
        <w:spacing w:lineRule="exact" w:line="560" w:before="312" w:after="0"/>
        <w:ind w:firstLine="482" w:end="0"/>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第六章 规划设计变更</w:t>
      </w:r>
    </w:p>
    <w:p>
      <w:pPr>
        <w:pStyle w:val="largefont"/>
        <w:keepNext w:val="false"/>
        <w:keepLines w:val="false"/>
        <w:pageBreakBefore w:val="false"/>
        <w:widowControl/>
        <w:kinsoku w:val="true"/>
        <w:overflowPunct w:val="true"/>
        <w:autoSpaceDE w:val="true"/>
        <w:bidi w:val="0"/>
        <w:snapToGrid w:val="true"/>
        <w:spacing w:lineRule="exact" w:line="560" w:before="312" w:after="0"/>
        <w:ind w:firstLine="482" w:end="0"/>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第七章 共有产权住房质量和保修责任</w:t>
      </w:r>
    </w:p>
    <w:p>
      <w:pPr>
        <w:pStyle w:val="largefont"/>
        <w:keepNext w:val="false"/>
        <w:keepLines w:val="false"/>
        <w:pageBreakBefore w:val="false"/>
        <w:widowControl/>
        <w:kinsoku w:val="true"/>
        <w:overflowPunct w:val="true"/>
        <w:autoSpaceDE w:val="true"/>
        <w:bidi w:val="0"/>
        <w:snapToGrid w:val="true"/>
        <w:spacing w:lineRule="exact" w:line="560" w:before="312" w:after="0"/>
        <w:ind w:firstLine="482" w:end="0"/>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第八章 合同备案和不动产登记</w:t>
      </w:r>
    </w:p>
    <w:p>
      <w:pPr>
        <w:pStyle w:val="largefont"/>
        <w:keepNext w:val="false"/>
        <w:keepLines w:val="false"/>
        <w:pageBreakBefore w:val="false"/>
        <w:widowControl/>
        <w:kinsoku w:val="true"/>
        <w:overflowPunct w:val="true"/>
        <w:autoSpaceDE w:val="true"/>
        <w:bidi w:val="0"/>
        <w:snapToGrid w:val="true"/>
        <w:spacing w:lineRule="exact" w:line="560" w:before="312" w:after="0"/>
        <w:ind w:firstLine="482" w:end="0"/>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第九章 前期物业管理</w:t>
      </w:r>
    </w:p>
    <w:p>
      <w:pPr>
        <w:pStyle w:val="largefont"/>
        <w:keepNext w:val="false"/>
        <w:keepLines w:val="false"/>
        <w:pageBreakBefore w:val="false"/>
        <w:widowControl/>
        <w:kinsoku w:val="true"/>
        <w:overflowPunct w:val="true"/>
        <w:autoSpaceDE w:val="true"/>
        <w:bidi w:val="0"/>
        <w:snapToGrid w:val="true"/>
        <w:spacing w:lineRule="exact" w:line="560" w:before="312" w:after="0"/>
        <w:ind w:firstLine="482" w:end="0"/>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第十章 其他约定</w:t>
      </w:r>
    </w:p>
    <w:p>
      <w:pPr>
        <w:pStyle w:val="largefont"/>
        <w:spacing w:before="0" w:after="0"/>
        <w:ind w:firstLine="2941" w:end="0"/>
        <w:rPr>
          <w:rFonts w:ascii="方正黑体_GBK;微软雅黑" w:hAnsi="方正黑体_GBK;微软雅黑" w:eastAsia="方正黑体_GBK;微软雅黑" w:cs="方正黑体_GBK;微软雅黑"/>
          <w:b/>
          <w:bCs/>
          <w:sz w:val="28"/>
          <w:szCs w:val="28"/>
        </w:rPr>
      </w:pPr>
      <w:r>
        <w:rPr>
          <w:rFonts w:eastAsia="方正黑体_GBK;微软雅黑" w:cs="方正黑体_GBK;微软雅黑" w:ascii="方正黑体_GBK;微软雅黑" w:hAnsi="方正黑体_GBK;微软雅黑"/>
          <w:b/>
          <w:bCs/>
          <w:sz w:val="28"/>
          <w:szCs w:val="28"/>
        </w:rPr>
      </w:r>
    </w:p>
    <w:p>
      <w:pPr>
        <w:pStyle w:val="largefont"/>
        <w:spacing w:before="0" w:after="0"/>
        <w:ind w:firstLine="2752" w:end="0"/>
        <w:rPr>
          <w:rStyle w:val="Strong"/>
          <w:rFonts w:ascii="方正黑体_GBK;微软雅黑" w:hAnsi="方正黑体_GBK;微软雅黑" w:eastAsia="方正黑体_GBK;微软雅黑" w:cs="方正黑体_GBK;微软雅黑"/>
          <w:b w:val="false"/>
          <w:sz w:val="28"/>
          <w:szCs w:val="28"/>
        </w:rPr>
      </w:pPr>
      <w:r>
        <w:rPr>
          <w:rFonts w:eastAsia="方正黑体_GBK;微软雅黑" w:cs="方正黑体_GBK;微软雅黑" w:ascii="方正黑体_GBK;微软雅黑" w:hAnsi="方正黑体_GBK;微软雅黑"/>
          <w:b/>
          <w:sz w:val="28"/>
          <w:szCs w:val="28"/>
        </w:rPr>
      </w:r>
    </w:p>
    <w:p>
      <w:pPr>
        <w:sectPr>
          <w:headerReference w:type="default" r:id="rId6"/>
          <w:headerReference w:type="first" r:id="rId7"/>
          <w:footerReference w:type="default" r:id="rId8"/>
          <w:footerReference w:type="first" r:id="rId9"/>
          <w:type w:val="nextPage"/>
          <w:pgSz w:w="11906" w:h="16838"/>
          <w:pgMar w:left="1559" w:right="1559" w:gutter="0" w:header="851" w:top="1440" w:footer="992" w:bottom="1440"/>
          <w:pgNumType w:start="1" w:fmt="decimal"/>
          <w:formProt w:val="false"/>
          <w:textDirection w:val="lrTb"/>
          <w:docGrid w:type="lines" w:linePitch="312" w:charSpace="0"/>
        </w:sectPr>
        <w:pStyle w:val="largefont"/>
        <w:spacing w:before="0" w:after="0"/>
        <w:ind w:firstLine="3538" w:end="0"/>
        <w:rPr>
          <w:rStyle w:val="Strong"/>
          <w:rFonts w:ascii="黑体" w:hAnsi="黑体" w:eastAsia="黑体" w:cs="黑体"/>
          <w:b w:val="false"/>
          <w:sz w:val="36"/>
          <w:szCs w:val="36"/>
        </w:rPr>
      </w:pPr>
      <w:r>
        <w:rPr/>
      </w:r>
      <w:r>
        <w:br w:type="page"/>
      </w:r>
    </w:p>
    <w:p>
      <w:pPr>
        <w:pStyle w:val="largefont"/>
        <w:keepNext w:val="false"/>
        <w:keepLines w:val="false"/>
        <w:pageBreakBefore w:val="false"/>
        <w:widowControl/>
        <w:kinsoku w:val="true"/>
        <w:overflowPunct w:val="true"/>
        <w:autoSpaceDE w:val="true"/>
        <w:bidi w:val="0"/>
        <w:snapToGrid w:val="true"/>
        <w:spacing w:lineRule="exact" w:line="420" w:before="0" w:after="0"/>
        <w:ind w:hanging="0" w:end="0"/>
        <w:jc w:val="center"/>
        <w:textAlignment w:val="auto"/>
        <w:rPr>
          <w:rFonts w:ascii="方正黑体_GBK;微软雅黑" w:hAnsi="方正黑体_GBK;微软雅黑" w:eastAsia="方正黑体_GBK;微软雅黑" w:cs="方正黑体_GBK;微软雅黑"/>
          <w:sz w:val="28"/>
          <w:szCs w:val="28"/>
        </w:rPr>
      </w:pPr>
      <w:r>
        <w:rPr>
          <w:rStyle w:val="Strong"/>
          <w:rFonts w:ascii="方正黑体_GBK;微软雅黑" w:hAnsi="方正黑体_GBK;微软雅黑" w:cs="方正黑体_GBK;微软雅黑" w:eastAsia="方正黑体_GBK;微软雅黑"/>
          <w:b w:val="false"/>
          <w:sz w:val="28"/>
          <w:szCs w:val="28"/>
        </w:rPr>
        <w:t>说   明</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 xml:space="preserve">本合同文本为示范文本，由北京市住房和城乡建设委员会、北京市市场监督管理局共同制定，适用于共有产权住房预售。 </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签订本合同文本前，甲方应当向乙方</w:t>
      </w:r>
      <w:r>
        <w:rPr>
          <w:rFonts w:ascii="方正书宋_GBK" w:hAnsi="方正书宋_GBK" w:cs="方正书宋_GBK" w:eastAsia="方正书宋_GBK"/>
          <w:color w:val="000000"/>
          <w:sz w:val="22"/>
          <w:szCs w:val="22"/>
          <w:lang w:eastAsia="zh-CN"/>
        </w:rPr>
        <w:t>、丙方</w:t>
      </w:r>
      <w:r>
        <w:rPr>
          <w:rFonts w:ascii="方正书宋_GBK" w:hAnsi="方正书宋_GBK" w:cs="方正书宋_GBK" w:eastAsia="方正书宋_GBK"/>
          <w:color w:val="000000"/>
          <w:sz w:val="22"/>
          <w:szCs w:val="22"/>
        </w:rPr>
        <w:t>出示《北京市商品房预售许可证》及其他有关证书和证明文件。</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甲方应当就合同重大事项对乙方、丙方尽到提示义务。乙方、丙方应当审慎签订合同，并在签订本合同前仔细阅读合同条款，特别是其中具有选择性、补充性、修改性的内容，注意防范潜在的市场交易风险。</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当事人应当按照自愿、平等、公平及诚实信用的原则订立合同，任何一方不得将自己的意志强加给另一方。三方当事人可以在协商一致的基础上对本合同文本的内容进行修改、增补或删减。合同生效后，未被修改的文本打印文字视为三方当事人同意内容</w:t>
      </w:r>
      <w:r>
        <w:rPr>
          <w:rFonts w:ascii="方正书宋_GBK" w:hAnsi="方正书宋_GBK" w:cs="方正书宋_GBK" w:eastAsia="方正书宋_GBK"/>
          <w:color w:val="000000"/>
          <w:sz w:val="22"/>
          <w:szCs w:val="22"/>
          <w:lang w:eastAsia="zh-CN"/>
        </w:rPr>
        <w:t>。</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三方当事人可以针对合同中未约定或约定不详的内容，根据所售房屋及所在项目的具体情况在相关条款后的空白行中进行补充约定，也可以另行签订补充协议</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lang w:val="en-US" w:eastAsia="zh-CN"/>
        </w:rPr>
        <w:t>补充协议内容不得与主合同条款冲突。</w:t>
      </w:r>
      <w:r>
        <w:rPr>
          <w:rFonts w:ascii="方正书宋_GBK" w:hAnsi="方正书宋_GBK" w:cs="方正书宋_GBK" w:eastAsia="方正书宋_GBK"/>
          <w:color w:val="000000"/>
          <w:sz w:val="22"/>
          <w:szCs w:val="22"/>
        </w:rPr>
        <w:t>合同当事人不得擅自添加、修改附件内容</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lang w:val="en-US" w:eastAsia="zh-CN"/>
        </w:rPr>
        <w:t>且附件内容不得与主合同条款冲突。</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本合同文本</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rPr>
        <w:t>【 】</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rPr>
        <w:t>中选择内容、空格部位填写内容及其他需要删除或添加的内容，三方当事人应当协商确定。</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rPr>
        <w:t>【 】</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rPr>
        <w:t>中选择内容，以</w:t>
      </w:r>
      <w:r>
        <w:rPr>
          <w:rFonts w:ascii="方正书宋_GBK" w:hAnsi="方正书宋_GBK" w:cs="方正书宋_GBK" w:eastAsia="方正书宋_GBK"/>
          <w:color w:val="000000"/>
          <w:sz w:val="22"/>
          <w:szCs w:val="22"/>
          <w:lang w:val="en-US" w:eastAsia="zh-CN"/>
        </w:rPr>
        <w:t>打</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rPr>
        <w:t xml:space="preserve"> 方式选定；对于实际情况未发生或双方当事人不作约定时，应当在空格部位打 </w:t>
      </w:r>
      <w:r>
        <w:rPr>
          <w:rFonts w:ascii="方正书宋_GBK" w:hAnsi="方正书宋_GBK" w:cs="方正书宋_GBK" w:eastAsia="方正书宋_GBK"/>
          <w:color w:val="000000"/>
          <w:sz w:val="22"/>
          <w:szCs w:val="22"/>
          <w:lang w:eastAsia="zh-CN"/>
        </w:rPr>
        <w:t>“</w:t>
      </w:r>
      <w:r>
        <w:rPr>
          <w:rFonts w:eastAsia="方正书宋_GBK" w:cs="方正书宋_GBK" w:ascii="方正书宋_GBK" w:hAnsi="方正书宋_GBK"/>
          <w:color w:val="000000"/>
          <w:sz w:val="22"/>
          <w:szCs w:val="22"/>
        </w:rPr>
        <w:t>×</w:t>
      </w:r>
      <w:r>
        <w:rPr>
          <w:rFonts w:eastAsia="方正书宋_GBK" w:cs="方正书宋_GBK" w:ascii="方正书宋_GBK" w:hAnsi="方正书宋_GBK"/>
          <w:color w:val="000000"/>
          <w:sz w:val="22"/>
          <w:szCs w:val="22"/>
          <w:lang w:eastAsia="zh-CN"/>
        </w:rPr>
        <w:t>”</w:t>
      </w:r>
      <w:r>
        <w:rPr>
          <w:rFonts w:ascii="方正书宋_GBK" w:hAnsi="方正书宋_GBK" w:cs="方正书宋_GBK" w:eastAsia="方正书宋_GBK"/>
          <w:color w:val="000000"/>
          <w:sz w:val="22"/>
          <w:szCs w:val="22"/>
        </w:rPr>
        <w:t>，以示删除。</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 xml:space="preserve">根据《中华人民共和国民法典》的规定，当事人可以约定一方违约时应当根据违约情况向对方支付一定数额的违约金，也可以约定因违约产生的损失赔偿额的计算方法。约定的违约金低于造成的损失的，当事人可以请求人民法院或仲裁机构予以增加；约定的违约金过分高于造成的损失的，当事人可以请求人民法院或仲裁机构予以适当减少。 </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8.</w:t>
      </w:r>
      <w:r>
        <w:rPr>
          <w:rFonts w:ascii="方正书宋_GBK" w:hAnsi="方正书宋_GBK" w:cs="方正书宋_GBK" w:eastAsia="方正书宋_GBK"/>
          <w:color w:val="000000"/>
          <w:sz w:val="22"/>
          <w:szCs w:val="22"/>
        </w:rPr>
        <w:t xml:space="preserve">当事人在履行合同中发生争议的，可以通过消费者协会、房地产行业协会等相关机构调解，也可以选择向有管辖权的人民法院起诉，或选择向仲裁委员会申请仲裁。如选择申请仲裁的，可以向北京仲裁委员会、中国国际经济贸易仲裁委员会、外地的仲裁委员会申请。 </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9.</w:t>
      </w:r>
      <w:r>
        <w:rPr>
          <w:rFonts w:ascii="方正书宋_GBK" w:hAnsi="方正书宋_GBK" w:cs="方正书宋_GBK" w:eastAsia="方正书宋_GBK"/>
          <w:color w:val="000000"/>
          <w:sz w:val="22"/>
          <w:szCs w:val="22"/>
        </w:rPr>
        <w:t>当事人可以根据实际情况决定本合同原件的份数，并在签订合同时认真核对，确保各份合同内容一致；在任何情况下，甲方、乙方和丙方都应当至少持有一份合同原件。</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10.</w:t>
      </w:r>
      <w:r>
        <w:rPr>
          <w:rFonts w:ascii="方正书宋_GBK" w:hAnsi="方正书宋_GBK" w:cs="方正书宋_GBK" w:eastAsia="方正书宋_GBK"/>
          <w:color w:val="000000"/>
          <w:sz w:val="22"/>
          <w:szCs w:val="22"/>
        </w:rPr>
        <w:t>本合同文本中涉及的国家、地方及相关行业规范、标准为本共有产权住房规划设计节点时需符合的规范、标准。</w:t>
      </w:r>
    </w:p>
    <w:p>
      <w:pPr>
        <w:pStyle w:val="Normal"/>
        <w:keepNext w:val="false"/>
        <w:keepLines w:val="false"/>
        <w:pageBreakBefore w:val="false"/>
        <w:kinsoku w:val="true"/>
        <w:overflowPunct w:val="true"/>
        <w:autoSpaceDE w:val="true"/>
        <w:bidi w:val="0"/>
        <w:snapToGrid w:val="true"/>
        <w:spacing w:lineRule="exact" w:line="420"/>
        <w:ind w:firstLine="440" w:end="0"/>
        <w:jc w:val="center"/>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sectPr>
          <w:headerReference w:type="default" r:id="rId10"/>
          <w:headerReference w:type="first" r:id="rId11"/>
          <w:footerReference w:type="default" r:id="rId12"/>
          <w:footerReference w:type="first" r:id="rId13"/>
          <w:type w:val="nextPage"/>
          <w:pgSz w:w="11906" w:h="16838"/>
          <w:pgMar w:left="1559" w:right="1559" w:gutter="0" w:header="851" w:top="1440" w:footer="992" w:bottom="1440"/>
          <w:pgNumType w:fmt="decimal"/>
          <w:formProt w:val="false"/>
          <w:textDirection w:val="lrTb"/>
          <w:docGrid w:type="lines" w:linePitch="312" w:charSpace="0"/>
        </w:sectPr>
        <w:pStyle w:val="Normal"/>
        <w:keepNext w:val="false"/>
        <w:keepLines w:val="false"/>
        <w:pageBreakBefore w:val="false"/>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r>
        <w:br w:type="page"/>
      </w:r>
    </w:p>
    <w:p>
      <w:pPr>
        <w:pStyle w:val="largefont"/>
        <w:keepNext w:val="false"/>
        <w:keepLines w:val="false"/>
        <w:pageBreakBefore w:val="false"/>
        <w:widowControl/>
        <w:kinsoku w:val="true"/>
        <w:overflowPunct w:val="true"/>
        <w:autoSpaceDE w:val="true"/>
        <w:bidi w:val="0"/>
        <w:snapToGrid w:val="true"/>
        <w:spacing w:lineRule="exact" w:line="420" w:before="0" w:after="0"/>
        <w:ind w:hanging="0" w:end="0"/>
        <w:jc w:val="center"/>
        <w:textAlignment w:val="auto"/>
        <w:rPr>
          <w:rStyle w:val="Strong"/>
          <w:rFonts w:ascii="方正黑体_GBK;微软雅黑" w:hAnsi="方正黑体_GBK;微软雅黑" w:eastAsia="方正黑体_GBK;微软雅黑" w:cs="方正黑体_GBK;微软雅黑"/>
          <w:b w:val="false"/>
          <w:bCs w:val="false"/>
          <w:sz w:val="28"/>
          <w:szCs w:val="28"/>
        </w:rPr>
      </w:pPr>
      <w:r>
        <w:rPr>
          <w:rStyle w:val="Strong"/>
          <w:rFonts w:ascii="方正黑体_GBK;微软雅黑" w:hAnsi="方正黑体_GBK;微软雅黑" w:cs="方正黑体_GBK;微软雅黑" w:eastAsia="方正黑体_GBK;微软雅黑"/>
          <w:b w:val="false"/>
          <w:bCs w:val="false"/>
          <w:sz w:val="28"/>
          <w:szCs w:val="28"/>
        </w:rPr>
        <w:t>特别提示</w:t>
      </w:r>
    </w:p>
    <w:p>
      <w:pPr>
        <w:pStyle w:val="largefont"/>
        <w:keepNext w:val="false"/>
        <w:keepLines w:val="false"/>
        <w:pageBreakBefore w:val="false"/>
        <w:kinsoku w:val="true"/>
        <w:overflowPunct w:val="true"/>
        <w:autoSpaceDE w:val="true"/>
        <w:bidi w:val="0"/>
        <w:snapToGrid w:val="true"/>
        <w:spacing w:lineRule="exact" w:line="420" w:before="0" w:after="0"/>
        <w:ind w:firstLine="530" w:end="0"/>
        <w:textAlignment w:val="auto"/>
        <w:rPr>
          <w:rStyle w:val="Strong"/>
          <w:rFonts w:ascii="方正黑体_GBK;微软雅黑" w:hAnsi="方正黑体_GBK;微软雅黑" w:eastAsia="方正黑体_GBK;微软雅黑" w:cs="方正黑体_GBK;微软雅黑"/>
          <w:b w:val="false"/>
          <w:bCs w:val="false"/>
          <w:sz w:val="28"/>
          <w:szCs w:val="28"/>
        </w:rPr>
      </w:pPr>
      <w:r>
        <w:rPr/>
      </w:r>
    </w:p>
    <w:p>
      <w:pPr>
        <w:pStyle w:val="largefont"/>
        <w:keepNext w:val="false"/>
        <w:keepLines w:val="false"/>
        <w:pageBreakBefore w:val="false"/>
        <w:kinsoku w:val="true"/>
        <w:overflowPunct w:val="true"/>
        <w:autoSpaceDE w:val="true"/>
        <w:bidi w:val="0"/>
        <w:snapToGrid w:val="true"/>
        <w:spacing w:lineRule="exact" w:line="420" w:before="0" w:after="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您购买的房屋为共有产权住房，在签订合同前，请您认真阅读并知晓《北京市共有产权住房管理暂行办法》全部内容，按照《北京市共有产权住房管理暂行办法》规定和合同约定保障自身权益，履行相应义务。</w:t>
      </w:r>
    </w:p>
    <w:p>
      <w:pPr>
        <w:pStyle w:val="largefont"/>
        <w:keepNext w:val="false"/>
        <w:keepLines w:val="false"/>
        <w:pageBreakBefore w:val="false"/>
        <w:kinsoku w:val="true"/>
        <w:overflowPunct w:val="true"/>
        <w:autoSpaceDE w:val="true"/>
        <w:bidi w:val="0"/>
        <w:snapToGrid w:val="true"/>
        <w:spacing w:lineRule="exact" w:line="420" w:before="0" w:after="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甲方应当按照规划行政主管部门核发的建设工程规划许可证规定的条件建设、交付该共有产权住房，并按照规划性质销售。乙方使用该房屋期间，不得擅自改变该共有产权住房的</w:t>
      </w:r>
      <w:r>
        <w:rPr>
          <w:rFonts w:ascii="方正书宋_GBK" w:hAnsi="方正书宋_GBK" w:cs="方正书宋_GBK" w:eastAsia="方正书宋_GBK"/>
          <w:sz w:val="22"/>
          <w:szCs w:val="22"/>
          <w:lang w:eastAsia="zh-CN"/>
        </w:rPr>
        <w:t>用途</w:t>
      </w:r>
      <w:r>
        <w:rPr>
          <w:rFonts w:ascii="方正书宋_GBK" w:hAnsi="方正书宋_GBK" w:cs="方正书宋_GBK" w:eastAsia="方正书宋_GBK"/>
          <w:sz w:val="22"/>
          <w:szCs w:val="22"/>
        </w:rPr>
        <w:t>、建筑主体结构和承重结构。</w:t>
      </w:r>
    </w:p>
    <w:p>
      <w:pPr>
        <w:pStyle w:val="largefont"/>
        <w:keepNext w:val="false"/>
        <w:keepLines w:val="false"/>
        <w:pageBreakBefore w:val="false"/>
        <w:kinsoku w:val="true"/>
        <w:overflowPunct w:val="true"/>
        <w:autoSpaceDE w:val="true"/>
        <w:bidi w:val="0"/>
        <w:snapToGrid w:val="true"/>
        <w:spacing w:lineRule="exact" w:line="420" w:before="0" w:after="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丙方应按照《关于加强本市共有产权住房政府产权份额代持机构管理的通知》</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（京建发〔</w:t>
      </w:r>
      <w:r>
        <w:rPr>
          <w:rFonts w:eastAsia="方正书宋_GBK" w:cs="方正书宋_GBK" w:ascii="方正书宋_GBK" w:hAnsi="方正书宋_GBK"/>
          <w:sz w:val="22"/>
          <w:szCs w:val="22"/>
        </w:rPr>
        <w:t>2021</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419</w:t>
      </w:r>
      <w:r>
        <w:rPr>
          <w:rFonts w:ascii="方正书宋_GBK" w:hAnsi="方正书宋_GBK" w:cs="方正书宋_GBK" w:eastAsia="方正书宋_GBK"/>
          <w:sz w:val="22"/>
          <w:szCs w:val="22"/>
        </w:rPr>
        <w:t>号）的相关规定履行管理、监督等职责。</w:t>
      </w:r>
    </w:p>
    <w:p>
      <w:pPr>
        <w:pStyle w:val="largefont"/>
        <w:keepNext w:val="false"/>
        <w:keepLines w:val="false"/>
        <w:pageBreakBefore w:val="false"/>
        <w:kinsoku w:val="true"/>
        <w:overflowPunct w:val="true"/>
        <w:autoSpaceDE w:val="true"/>
        <w:bidi w:val="0"/>
        <w:snapToGrid w:val="true"/>
        <w:spacing w:lineRule="exact" w:line="420" w:before="0" w:after="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本项目于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日取得国有建设用地使用权挂牌出让成交确认书，挂牌出让文件中约定</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pacing w:val="14"/>
          <w:sz w:val="22"/>
          <w:szCs w:val="22"/>
          <w:u w:val="single"/>
        </w:rPr>
        <w:t xml:space="preserve"> </w:t>
      </w:r>
      <w:r>
        <w:rPr>
          <w:rFonts w:ascii="方正书宋_GBK" w:hAnsi="方正书宋_GBK" w:cs="方正书宋_GBK" w:eastAsia="方正书宋_GBK"/>
          <w:sz w:val="22"/>
          <w:szCs w:val="22"/>
        </w:rPr>
        <w:t>。根据《北京市共有产权住房管理暂行办法》（京建法〔</w:t>
      </w:r>
      <w:r>
        <w:rPr>
          <w:rFonts w:eastAsia="方正书宋_GBK" w:cs="方正书宋_GBK" w:ascii="方正书宋_GBK" w:hAnsi="方正书宋_GBK"/>
          <w:sz w:val="22"/>
          <w:szCs w:val="22"/>
        </w:rPr>
        <w:t>2017</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16</w:t>
      </w:r>
      <w:r>
        <w:rPr>
          <w:rFonts w:ascii="方正书宋_GBK" w:hAnsi="方正书宋_GBK" w:cs="方正书宋_GBK" w:eastAsia="方正书宋_GBK"/>
          <w:sz w:val="22"/>
          <w:szCs w:val="22"/>
        </w:rPr>
        <w:t>号）有关规定，</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项目转化为共有产权住房项目进行销售、管理。不适用</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关于印发</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北京市共有产权住房规划设计宜居建设导则（试行）</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的通知》（京建法〔</w:t>
      </w:r>
      <w:r>
        <w:rPr>
          <w:rFonts w:eastAsia="方正书宋_GBK" w:cs="方正书宋_GBK" w:ascii="方正书宋_GBK" w:hAnsi="方正书宋_GBK"/>
          <w:sz w:val="22"/>
          <w:szCs w:val="22"/>
        </w:rPr>
        <w:t>2017</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20</w:t>
      </w:r>
      <w:r>
        <w:rPr>
          <w:rFonts w:ascii="方正书宋_GBK" w:hAnsi="方正书宋_GBK" w:cs="方正书宋_GBK" w:eastAsia="方正书宋_GBK"/>
          <w:sz w:val="22"/>
          <w:szCs w:val="22"/>
        </w:rPr>
        <w:t>号）</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北京市共有产权住房规划设计宜居建设导则（</w:t>
      </w:r>
      <w:r>
        <w:rPr>
          <w:rFonts w:eastAsia="方正书宋_GBK" w:cs="方正书宋_GBK" w:ascii="方正书宋_GBK" w:hAnsi="方正书宋_GBK"/>
          <w:sz w:val="22"/>
          <w:szCs w:val="22"/>
          <w:lang w:val="en-US" w:eastAsia="zh-CN"/>
        </w:rPr>
        <w:t>2021</w:t>
      </w:r>
      <w:r>
        <w:rPr>
          <w:rFonts w:ascii="方正书宋_GBK" w:hAnsi="方正书宋_GBK" w:cs="方正书宋_GBK" w:eastAsia="方正书宋_GBK"/>
          <w:sz w:val="22"/>
          <w:szCs w:val="22"/>
          <w:lang w:val="en-US" w:eastAsia="zh-CN"/>
        </w:rPr>
        <w:t>年版</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本项目于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日取得国有建设用地使用权挂牌出让成交确认书，并按照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pacing w:val="14"/>
          <w:sz w:val="22"/>
          <w:szCs w:val="22"/>
          <w:u w:val="single"/>
        </w:rPr>
        <w:t xml:space="preserve"> </w:t>
      </w:r>
      <w:r>
        <w:rPr>
          <w:rFonts w:ascii="方正书宋_GBK" w:hAnsi="方正书宋_GBK" w:cs="方正书宋_GBK" w:eastAsia="方正书宋_GBK"/>
          <w:sz w:val="22"/>
          <w:szCs w:val="22"/>
        </w:rPr>
        <w:t>有关要求进行设计建设，适用《关于印发</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北京市共有产权住房规划设计宜居建设导则（试行）</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的通知》（京建法〔</w:t>
      </w:r>
      <w:r>
        <w:rPr>
          <w:rFonts w:eastAsia="方正书宋_GBK" w:cs="方正书宋_GBK" w:ascii="方正书宋_GBK" w:hAnsi="方正书宋_GBK"/>
          <w:sz w:val="22"/>
          <w:szCs w:val="22"/>
        </w:rPr>
        <w:t>2017</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20</w:t>
      </w:r>
      <w:r>
        <w:rPr>
          <w:rFonts w:ascii="方正书宋_GBK" w:hAnsi="方正书宋_GBK" w:cs="方正书宋_GBK" w:eastAsia="方正书宋_GBK"/>
          <w:sz w:val="22"/>
          <w:szCs w:val="22"/>
        </w:rPr>
        <w:t>号）相关</w:t>
      </w:r>
      <w:r>
        <w:rPr>
          <w:rFonts w:ascii="方正书宋_GBK" w:hAnsi="方正书宋_GBK" w:cs="方正书宋_GBK" w:eastAsia="方正书宋_GBK"/>
          <w:sz w:val="22"/>
          <w:szCs w:val="22"/>
          <w:lang w:eastAsia="zh-CN"/>
        </w:rPr>
        <w:t>管理</w:t>
      </w:r>
      <w:r>
        <w:rPr>
          <w:rFonts w:ascii="方正书宋_GBK" w:hAnsi="方正书宋_GBK" w:cs="方正书宋_GBK" w:eastAsia="方正书宋_GBK"/>
          <w:sz w:val="22"/>
          <w:szCs w:val="22"/>
        </w:rPr>
        <w:t>规定</w:t>
      </w:r>
      <w:r>
        <w:rPr>
          <w:rFonts w:ascii="方正书宋_GBK" w:hAnsi="方正书宋_GBK" w:cs="方正书宋_GBK" w:eastAsia="方正书宋_GBK"/>
          <w:sz w:val="22"/>
          <w:szCs w:val="22"/>
          <w:lang w:eastAsia="zh-CN"/>
        </w:rPr>
        <w:t>，建设标准执行【《</w:t>
      </w:r>
      <w:r>
        <w:rPr>
          <w:rFonts w:ascii="方正书宋_GBK" w:hAnsi="方正书宋_GBK" w:cs="方正书宋_GBK" w:eastAsia="方正书宋_GBK"/>
          <w:sz w:val="22"/>
          <w:szCs w:val="22"/>
        </w:rPr>
        <w:t>北京市共有产权住房规划设计宜居建设导则（试行）</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北京市共有产权住房规划设计宜居建设导则（</w:t>
      </w:r>
      <w:r>
        <w:rPr>
          <w:rFonts w:eastAsia="方正书宋_GBK" w:cs="方正书宋_GBK" w:ascii="方正书宋_GBK" w:hAnsi="方正书宋_GBK"/>
          <w:sz w:val="22"/>
          <w:szCs w:val="22"/>
          <w:lang w:val="en-US" w:eastAsia="zh-CN"/>
        </w:rPr>
        <w:t>2021</w:t>
      </w:r>
      <w:r>
        <w:rPr>
          <w:rFonts w:ascii="方正书宋_GBK" w:hAnsi="方正书宋_GBK" w:cs="方正书宋_GBK" w:eastAsia="方正书宋_GBK"/>
          <w:sz w:val="22"/>
          <w:szCs w:val="22"/>
          <w:lang w:val="en-US" w:eastAsia="zh-CN"/>
        </w:rPr>
        <w:t>年版</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自交房之日起五年内不得对内部装饰装修进行拆除。</w:t>
      </w:r>
    </w:p>
    <w:p>
      <w:pPr>
        <w:pStyle w:val="largefont"/>
        <w:keepNext w:val="false"/>
        <w:keepLines w:val="false"/>
        <w:pageBreakBefore w:val="false"/>
        <w:kinsoku w:val="true"/>
        <w:overflowPunct w:val="true"/>
        <w:autoSpaceDE w:val="true"/>
        <w:bidi w:val="0"/>
        <w:snapToGrid w:val="true"/>
        <w:spacing w:lineRule="exact" w:line="420" w:before="0" w:after="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乙方应严格按照本市共有产权住房转让有关规定执行：</w:t>
      </w:r>
    </w:p>
    <w:p>
      <w:pPr>
        <w:pStyle w:val="largefont"/>
        <w:keepNext w:val="false"/>
        <w:keepLines w:val="false"/>
        <w:pageBreakBefore w:val="false"/>
        <w:numPr>
          <w:ilvl w:val="0"/>
          <w:numId w:val="0"/>
        </w:numPr>
        <w:tabs>
          <w:tab w:val="clear" w:pos="420"/>
          <w:tab w:val="left" w:pos="312" w:leader="none"/>
        </w:tabs>
        <w:kinsoku w:val="true"/>
        <w:overflowPunct w:val="true"/>
        <w:autoSpaceDE w:val="true"/>
        <w:bidi w:val="0"/>
        <w:snapToGrid w:val="true"/>
        <w:spacing w:lineRule="exact" w:line="420" w:before="0" w:after="0"/>
        <w:ind w:firstLine="442" w:start="0" w:end="0"/>
        <w:jc w:val="both"/>
        <w:textAlignment w:val="auto"/>
        <w:rPr>
          <w:rFonts w:ascii="方正书宋_GBK" w:hAnsi="方正书宋_GBK" w:eastAsia="方正书宋_GBK" w:cs="方正书宋_GBK"/>
          <w:b/>
          <w:bCs/>
          <w:sz w:val="22"/>
          <w:szCs w:val="22"/>
        </w:rPr>
      </w:pPr>
      <w:r>
        <w:rPr>
          <w:rFonts w:eastAsia="方正书宋_GBK" w:cs="方正书宋_GBK" w:ascii="方正书宋_GBK" w:hAnsi="方正书宋_GBK"/>
          <w:b/>
          <w:bCs/>
          <w:sz w:val="22"/>
          <w:szCs w:val="22"/>
          <w:lang w:val="en-US" w:eastAsia="zh-CN"/>
        </w:rPr>
        <w:t>1.</w:t>
      </w:r>
      <w:r>
        <w:rPr>
          <w:rFonts w:ascii="方正书宋_GBK" w:hAnsi="方正书宋_GBK" w:cs="方正书宋_GBK" w:eastAsia="方正书宋_GBK"/>
          <w:b/>
          <w:bCs/>
          <w:sz w:val="22"/>
          <w:szCs w:val="22"/>
        </w:rPr>
        <w:t>乙方已详细阅读并知晓《国务院办公厅关于进一步做好房地产市场调控工作有关问题的通知》</w:t>
      </w:r>
      <w:r>
        <w:rPr>
          <w:rFonts w:eastAsia="方正书宋_GBK" w:cs="方正书宋_GBK" w:ascii="方正书宋_GBK" w:hAnsi="方正书宋_GBK"/>
          <w:b/>
          <w:bCs/>
          <w:sz w:val="22"/>
          <w:szCs w:val="22"/>
          <w:lang w:val="en-US" w:eastAsia="zh-CN"/>
        </w:rPr>
        <w:t>(</w:t>
      </w:r>
      <w:r>
        <w:rPr>
          <w:rFonts w:ascii="方正书宋_GBK" w:hAnsi="方正书宋_GBK" w:cs="方正书宋_GBK" w:eastAsia="方正书宋_GBK"/>
          <w:b/>
          <w:bCs/>
          <w:sz w:val="22"/>
          <w:szCs w:val="22"/>
        </w:rPr>
        <w:t>国办发〔</w:t>
      </w:r>
      <w:r>
        <w:rPr>
          <w:rFonts w:eastAsia="方正书宋_GBK" w:cs="方正书宋_GBK" w:ascii="方正书宋_GBK" w:hAnsi="方正书宋_GBK"/>
          <w:b/>
          <w:bCs/>
          <w:sz w:val="22"/>
          <w:szCs w:val="22"/>
        </w:rPr>
        <w:t>2011</w:t>
      </w:r>
      <w:r>
        <w:rPr>
          <w:rFonts w:ascii="方正书宋_GBK" w:hAnsi="方正书宋_GBK" w:cs="方正书宋_GBK" w:eastAsia="方正书宋_GBK"/>
          <w:b/>
          <w:bCs/>
          <w:sz w:val="22"/>
          <w:szCs w:val="22"/>
        </w:rPr>
        <w:t>〕</w:t>
      </w:r>
      <w:r>
        <w:rPr>
          <w:rFonts w:eastAsia="方正书宋_GBK" w:cs="方正书宋_GBK" w:ascii="方正书宋_GBK" w:hAnsi="方正书宋_GBK"/>
          <w:b/>
          <w:bCs/>
          <w:sz w:val="22"/>
          <w:szCs w:val="22"/>
        </w:rPr>
        <w:t>1</w:t>
      </w:r>
      <w:r>
        <w:rPr>
          <w:rFonts w:ascii="方正书宋_GBK" w:hAnsi="方正书宋_GBK" w:cs="方正书宋_GBK" w:eastAsia="方正书宋_GBK"/>
          <w:b/>
          <w:bCs/>
          <w:sz w:val="22"/>
          <w:szCs w:val="22"/>
        </w:rPr>
        <w:t>号</w:t>
      </w:r>
      <w:r>
        <w:rPr>
          <w:rStyle w:val="Strong"/>
          <w:rFonts w:eastAsia="方正书宋_GBK" w:cs="方正书宋_GBK" w:ascii="方正书宋_GBK" w:hAnsi="方正书宋_GBK"/>
          <w:sz w:val="22"/>
          <w:szCs w:val="22"/>
          <w:lang w:val="en-US" w:eastAsia="zh-CN"/>
        </w:rPr>
        <w:t>)</w:t>
      </w:r>
      <w:r>
        <w:rPr>
          <w:rStyle w:val="Strong"/>
          <w:rFonts w:ascii="方正书宋_GBK" w:hAnsi="方正书宋_GBK" w:cs="方正书宋_GBK" w:eastAsia="方正书宋_GBK"/>
          <w:sz w:val="22"/>
          <w:szCs w:val="22"/>
          <w:lang w:eastAsia="zh-CN"/>
        </w:rPr>
        <w:t>、</w:t>
      </w:r>
      <w:r>
        <w:rPr>
          <w:rFonts w:ascii="方正书宋_GBK" w:hAnsi="方正书宋_GBK" w:cs="方正书宋_GBK" w:eastAsia="方正书宋_GBK"/>
          <w:b/>
          <w:bCs/>
          <w:sz w:val="22"/>
          <w:szCs w:val="22"/>
        </w:rPr>
        <w:t>《北京市人民政府办公厅关于贯彻落实国务院办公厅文件精神进一步加强本市房地产市场调控工作的通知》</w:t>
      </w:r>
      <w:r>
        <w:rPr>
          <w:rFonts w:ascii="方正书宋_GBK" w:hAnsi="方正书宋_GBK" w:cs="方正书宋_GBK" w:eastAsia="方正书宋_GBK"/>
          <w:b/>
          <w:bCs/>
          <w:color w:val="000000"/>
          <w:sz w:val="22"/>
          <w:szCs w:val="22"/>
        </w:rPr>
        <w:t>（京政办发〔</w:t>
      </w:r>
      <w:r>
        <w:rPr>
          <w:rFonts w:eastAsia="方正书宋_GBK" w:cs="方正书宋_GBK" w:ascii="方正书宋_GBK" w:hAnsi="方正书宋_GBK"/>
          <w:b/>
          <w:bCs/>
          <w:color w:val="000000"/>
          <w:sz w:val="22"/>
          <w:szCs w:val="22"/>
        </w:rPr>
        <w:t>2011</w:t>
      </w:r>
      <w:r>
        <w:rPr>
          <w:rFonts w:ascii="方正书宋_GBK" w:hAnsi="方正书宋_GBK" w:cs="方正书宋_GBK" w:eastAsia="方正书宋_GBK"/>
          <w:b/>
          <w:bCs/>
          <w:color w:val="000000"/>
          <w:sz w:val="22"/>
          <w:szCs w:val="22"/>
        </w:rPr>
        <w:t>〕</w:t>
      </w:r>
      <w:r>
        <w:rPr>
          <w:rFonts w:eastAsia="方正书宋_GBK" w:cs="方正书宋_GBK" w:ascii="方正书宋_GBK" w:hAnsi="方正书宋_GBK"/>
          <w:b/>
          <w:bCs/>
          <w:color w:val="000000"/>
          <w:sz w:val="22"/>
          <w:szCs w:val="22"/>
        </w:rPr>
        <w:t>8</w:t>
      </w:r>
      <w:r>
        <w:rPr>
          <w:rFonts w:ascii="方正书宋_GBK" w:hAnsi="方正书宋_GBK" w:cs="方正书宋_GBK" w:eastAsia="方正书宋_GBK"/>
          <w:b/>
          <w:bCs/>
          <w:color w:val="000000"/>
          <w:sz w:val="22"/>
          <w:szCs w:val="22"/>
        </w:rPr>
        <w:t>号）</w:t>
      </w:r>
      <w:r>
        <w:rPr>
          <w:rFonts w:ascii="方正书宋_GBK" w:hAnsi="方正书宋_GBK" w:cs="方正书宋_GBK" w:eastAsia="方正书宋_GBK"/>
          <w:b/>
          <w:bCs/>
          <w:color w:val="000000"/>
          <w:sz w:val="22"/>
          <w:szCs w:val="22"/>
          <w:lang w:eastAsia="zh-CN"/>
        </w:rPr>
        <w:t>、</w:t>
      </w:r>
      <w:r>
        <w:rPr>
          <w:rFonts w:ascii="方正书宋_GBK" w:hAnsi="方正书宋_GBK" w:cs="方正书宋_GBK" w:eastAsia="方正书宋_GBK"/>
          <w:b/>
          <w:bCs/>
          <w:color w:val="000000"/>
          <w:sz w:val="22"/>
          <w:szCs w:val="22"/>
        </w:rPr>
        <w:t>《关于落实本市住房限购政策有关问题的通知》</w:t>
      </w:r>
      <w:r>
        <w:rPr>
          <w:rFonts w:eastAsia="方正书宋_GBK" w:cs="方正书宋_GBK" w:ascii="方正书宋_GBK" w:hAnsi="方正书宋_GBK"/>
          <w:b/>
          <w:bCs/>
          <w:color w:val="000000"/>
          <w:sz w:val="22"/>
          <w:szCs w:val="22"/>
          <w:lang w:val="en-US" w:eastAsia="zh-CN"/>
        </w:rPr>
        <w:t>(</w:t>
      </w:r>
      <w:r>
        <w:rPr>
          <w:rFonts w:ascii="方正书宋_GBK" w:hAnsi="方正书宋_GBK" w:cs="方正书宋_GBK" w:eastAsia="方正书宋_GBK"/>
          <w:b/>
          <w:bCs/>
          <w:color w:val="000000"/>
          <w:sz w:val="22"/>
          <w:szCs w:val="22"/>
        </w:rPr>
        <w:t>京建发〔</w:t>
      </w:r>
      <w:r>
        <w:rPr>
          <w:rFonts w:eastAsia="方正书宋_GBK" w:cs="方正书宋_GBK" w:ascii="方正书宋_GBK" w:hAnsi="方正书宋_GBK"/>
          <w:b/>
          <w:bCs/>
          <w:color w:val="000000"/>
          <w:sz w:val="22"/>
          <w:szCs w:val="22"/>
        </w:rPr>
        <w:t>2011</w:t>
      </w:r>
      <w:r>
        <w:rPr>
          <w:rFonts w:ascii="方正书宋_GBK" w:hAnsi="方正书宋_GBK" w:cs="方正书宋_GBK" w:eastAsia="方正书宋_GBK"/>
          <w:b/>
          <w:bCs/>
          <w:color w:val="000000"/>
          <w:sz w:val="22"/>
          <w:szCs w:val="22"/>
        </w:rPr>
        <w:t>〕</w:t>
      </w:r>
      <w:r>
        <w:rPr>
          <w:rFonts w:eastAsia="方正书宋_GBK" w:cs="方正书宋_GBK" w:ascii="方正书宋_GBK" w:hAnsi="方正书宋_GBK"/>
          <w:b/>
          <w:bCs/>
          <w:sz w:val="22"/>
          <w:szCs w:val="22"/>
        </w:rPr>
        <w:t>65</w:t>
      </w:r>
      <w:r>
        <w:rPr>
          <w:rFonts w:ascii="方正书宋_GBK" w:hAnsi="方正书宋_GBK" w:cs="方正书宋_GBK" w:eastAsia="方正书宋_GBK"/>
          <w:b/>
          <w:bCs/>
          <w:sz w:val="22"/>
          <w:szCs w:val="22"/>
        </w:rPr>
        <w:t>号</w:t>
      </w:r>
      <w:r>
        <w:rPr>
          <w:rFonts w:eastAsia="方正书宋_GBK" w:cs="方正书宋_GBK" w:ascii="方正书宋_GBK" w:hAnsi="方正书宋_GBK"/>
          <w:b/>
          <w:bCs/>
          <w:sz w:val="22"/>
          <w:szCs w:val="22"/>
          <w:lang w:val="en-US" w:eastAsia="zh-CN"/>
        </w:rPr>
        <w:t>)</w:t>
      </w:r>
      <w:r>
        <w:rPr>
          <w:rFonts w:ascii="方正书宋_GBK" w:hAnsi="方正书宋_GBK" w:cs="方正书宋_GBK" w:eastAsia="方正书宋_GBK"/>
          <w:b/>
          <w:bCs/>
          <w:sz w:val="22"/>
          <w:szCs w:val="22"/>
          <w:lang w:eastAsia="zh-CN"/>
        </w:rPr>
        <w:t>、</w:t>
      </w:r>
      <w:r>
        <w:rPr>
          <w:rFonts w:ascii="方正书宋_GBK" w:hAnsi="方正书宋_GBK" w:cs="方正书宋_GBK" w:eastAsia="方正书宋_GBK"/>
          <w:b/>
          <w:bCs/>
          <w:sz w:val="22"/>
          <w:szCs w:val="22"/>
        </w:rPr>
        <w:t>《北京市共有产权住房管理暂行办法》</w:t>
      </w:r>
      <w:r>
        <w:rPr>
          <w:rFonts w:eastAsia="方正书宋_GBK" w:cs="方正书宋_GBK" w:ascii="方正书宋_GBK" w:hAnsi="方正书宋_GBK"/>
          <w:b/>
          <w:sz w:val="22"/>
          <w:szCs w:val="22"/>
          <w:lang w:val="en-US" w:eastAsia="zh-CN"/>
        </w:rPr>
        <w:t>(</w:t>
      </w:r>
      <w:r>
        <w:rPr>
          <w:rFonts w:ascii="方正书宋_GBK" w:hAnsi="方正书宋_GBK" w:cs="方正书宋_GBK" w:eastAsia="方正书宋_GBK"/>
          <w:b/>
          <w:sz w:val="22"/>
          <w:szCs w:val="22"/>
        </w:rPr>
        <w:t>京建法〔</w:t>
      </w:r>
      <w:r>
        <w:rPr>
          <w:rFonts w:eastAsia="方正书宋_GBK" w:cs="方正书宋_GBK" w:ascii="方正书宋_GBK" w:hAnsi="方正书宋_GBK"/>
          <w:b/>
          <w:sz w:val="22"/>
          <w:szCs w:val="22"/>
        </w:rPr>
        <w:t>2017</w:t>
      </w:r>
      <w:r>
        <w:rPr>
          <w:rFonts w:ascii="方正书宋_GBK" w:hAnsi="方正书宋_GBK" w:cs="方正书宋_GBK" w:eastAsia="方正书宋_GBK"/>
          <w:b/>
          <w:sz w:val="22"/>
          <w:szCs w:val="22"/>
        </w:rPr>
        <w:t>〕</w:t>
      </w:r>
      <w:r>
        <w:rPr>
          <w:rFonts w:eastAsia="方正书宋_GBK" w:cs="方正书宋_GBK" w:ascii="方正书宋_GBK" w:hAnsi="方正书宋_GBK"/>
          <w:b/>
          <w:sz w:val="22"/>
          <w:szCs w:val="22"/>
        </w:rPr>
        <w:t>16</w:t>
      </w:r>
      <w:r>
        <w:rPr>
          <w:rFonts w:ascii="方正书宋_GBK" w:hAnsi="方正书宋_GBK" w:cs="方正书宋_GBK" w:eastAsia="方正书宋_GBK"/>
          <w:b/>
          <w:sz w:val="22"/>
          <w:szCs w:val="22"/>
        </w:rPr>
        <w:t>号</w:t>
      </w:r>
      <w:r>
        <w:rPr>
          <w:rFonts w:eastAsia="方正书宋_GBK" w:cs="方正书宋_GBK" w:ascii="方正书宋_GBK" w:hAnsi="方正书宋_GBK"/>
          <w:b/>
          <w:sz w:val="22"/>
          <w:szCs w:val="22"/>
          <w:lang w:val="en-US" w:eastAsia="zh-CN"/>
        </w:rPr>
        <w:t>)</w:t>
      </w:r>
      <w:r>
        <w:rPr>
          <w:rFonts w:ascii="方正书宋_GBK" w:hAnsi="方正书宋_GBK" w:cs="方正书宋_GBK" w:eastAsia="方正书宋_GBK"/>
          <w:b/>
          <w:bCs/>
          <w:sz w:val="22"/>
          <w:szCs w:val="22"/>
        </w:rPr>
        <w:t>等文件中有关住房限购政策的规定，承诺遵守限购政策规定，提交的材料均真实、合法、有效。</w:t>
      </w:r>
    </w:p>
    <w:p>
      <w:pPr>
        <w:pStyle w:val="largefont"/>
        <w:keepNext w:val="false"/>
        <w:keepLines w:val="false"/>
        <w:pageBreakBefore w:val="false"/>
        <w:numPr>
          <w:ilvl w:val="0"/>
          <w:numId w:val="0"/>
        </w:numPr>
        <w:tabs>
          <w:tab w:val="clear" w:pos="420"/>
          <w:tab w:val="left" w:pos="312" w:leader="none"/>
        </w:tabs>
        <w:kinsoku w:val="true"/>
        <w:overflowPunct w:val="true"/>
        <w:autoSpaceDE w:val="true"/>
        <w:bidi w:val="0"/>
        <w:snapToGrid w:val="true"/>
        <w:spacing w:lineRule="exact" w:line="420" w:before="0" w:after="0"/>
        <w:ind w:firstLine="442" w:start="0" w:end="0"/>
        <w:textAlignment w:val="auto"/>
        <w:rPr>
          <w:rFonts w:ascii="方正书宋_GBK" w:hAnsi="方正书宋_GBK" w:eastAsia="方正书宋_GBK" w:cs="方正书宋_GBK"/>
          <w:b/>
          <w:bCs/>
          <w:sz w:val="22"/>
          <w:szCs w:val="22"/>
        </w:rPr>
      </w:pPr>
      <w:r>
        <w:rPr>
          <w:rFonts w:eastAsia="方正书宋_GBK" w:cs="方正书宋_GBK" w:ascii="方正书宋_GBK" w:hAnsi="方正书宋_GBK"/>
          <w:b/>
          <w:bCs/>
          <w:sz w:val="22"/>
          <w:szCs w:val="22"/>
          <w:lang w:val="en-US" w:eastAsia="zh-CN"/>
        </w:rPr>
        <w:t>2.</w:t>
      </w:r>
      <w:r>
        <w:rPr>
          <w:rFonts w:ascii="方正书宋_GBK" w:hAnsi="方正书宋_GBK" w:cs="方正书宋_GBK" w:eastAsia="方正书宋_GBK"/>
          <w:b/>
          <w:bCs/>
          <w:sz w:val="22"/>
          <w:szCs w:val="22"/>
        </w:rPr>
        <w:t>乙方取得不动产权证</w:t>
      </w:r>
      <w:r>
        <w:rPr>
          <w:rFonts w:ascii="方正书宋_GBK" w:hAnsi="方正书宋_GBK" w:cs="方正书宋_GBK" w:eastAsia="方正书宋_GBK"/>
          <w:b/>
          <w:bCs/>
          <w:sz w:val="22"/>
          <w:szCs w:val="22"/>
          <w:lang w:eastAsia="zh-CN"/>
        </w:rPr>
        <w:t>书</w:t>
      </w:r>
      <w:r>
        <w:rPr>
          <w:rFonts w:ascii="方正书宋_GBK" w:hAnsi="方正书宋_GBK" w:cs="方正书宋_GBK" w:eastAsia="方正书宋_GBK"/>
          <w:b/>
          <w:bCs/>
          <w:sz w:val="22"/>
          <w:szCs w:val="22"/>
        </w:rPr>
        <w:t>未满</w:t>
      </w:r>
      <w:r>
        <w:rPr>
          <w:rFonts w:eastAsia="方正书宋_GBK" w:cs="方正书宋_GBK" w:ascii="方正书宋_GBK" w:hAnsi="方正书宋_GBK"/>
          <w:b/>
          <w:bCs/>
          <w:sz w:val="22"/>
          <w:szCs w:val="22"/>
        </w:rPr>
        <w:t>5</w:t>
      </w:r>
      <w:r>
        <w:rPr>
          <w:rFonts w:ascii="方正书宋_GBK" w:hAnsi="方正书宋_GBK" w:cs="方正书宋_GBK" w:eastAsia="方正书宋_GBK"/>
          <w:b/>
          <w:bCs/>
          <w:sz w:val="22"/>
          <w:szCs w:val="22"/>
        </w:rPr>
        <w:t>年的，不允许转让房屋产权份额，因特殊原因确需转让的，可向原分配区住房城乡建设委（房管局）提交申请，由丙方回购。回购价格按购买价格并考虑折旧和物价水平等因素确定。回购的房屋继续作为共有产权住房使用。</w:t>
      </w:r>
    </w:p>
    <w:p>
      <w:pPr>
        <w:pStyle w:val="largefont"/>
        <w:keepNext w:val="false"/>
        <w:keepLines w:val="false"/>
        <w:pageBreakBefore w:val="false"/>
        <w:numPr>
          <w:ilvl w:val="0"/>
          <w:numId w:val="0"/>
        </w:numPr>
        <w:tabs>
          <w:tab w:val="clear" w:pos="420"/>
          <w:tab w:val="left" w:pos="312" w:leader="none"/>
        </w:tabs>
        <w:kinsoku w:val="true"/>
        <w:overflowPunct w:val="true"/>
        <w:autoSpaceDE w:val="true"/>
        <w:bidi w:val="0"/>
        <w:snapToGrid w:val="true"/>
        <w:spacing w:lineRule="exact" w:line="420" w:before="0" w:after="0"/>
        <w:ind w:firstLine="442" w:start="0" w:end="0"/>
        <w:textAlignment w:val="auto"/>
        <w:rPr>
          <w:rFonts w:ascii="方正书宋_GBK" w:hAnsi="方正书宋_GBK" w:eastAsia="方正书宋_GBK" w:cs="方正书宋_GBK"/>
          <w:b/>
          <w:bCs/>
          <w:sz w:val="22"/>
          <w:szCs w:val="22"/>
        </w:rPr>
      </w:pPr>
      <w:r>
        <w:rPr>
          <w:rFonts w:eastAsia="方正书宋_GBK" w:cs="方正书宋_GBK" w:ascii="方正书宋_GBK" w:hAnsi="方正书宋_GBK"/>
          <w:b/>
          <w:bCs/>
          <w:sz w:val="22"/>
          <w:szCs w:val="22"/>
          <w:lang w:val="en-US" w:eastAsia="zh-CN"/>
        </w:rPr>
        <w:t>3.</w:t>
      </w:r>
      <w:r>
        <w:rPr>
          <w:rFonts w:ascii="方正书宋_GBK" w:hAnsi="方正书宋_GBK" w:cs="方正书宋_GBK" w:eastAsia="方正书宋_GBK"/>
          <w:b/>
          <w:bCs/>
          <w:sz w:val="22"/>
          <w:szCs w:val="22"/>
        </w:rPr>
        <w:t>乙方取得不动产权证</w:t>
      </w:r>
      <w:r>
        <w:rPr>
          <w:rFonts w:ascii="方正书宋_GBK" w:hAnsi="方正书宋_GBK" w:cs="方正书宋_GBK" w:eastAsia="方正书宋_GBK"/>
          <w:b/>
          <w:bCs/>
          <w:sz w:val="22"/>
          <w:szCs w:val="22"/>
          <w:lang w:eastAsia="zh-CN"/>
        </w:rPr>
        <w:t>书</w:t>
      </w:r>
      <w:r>
        <w:rPr>
          <w:rFonts w:ascii="方正书宋_GBK" w:hAnsi="方正书宋_GBK" w:cs="方正书宋_GBK" w:eastAsia="方正书宋_GBK"/>
          <w:b/>
          <w:bCs/>
          <w:sz w:val="22"/>
          <w:szCs w:val="22"/>
        </w:rPr>
        <w:t>满</w:t>
      </w:r>
      <w:r>
        <w:rPr>
          <w:rFonts w:eastAsia="方正书宋_GBK" w:cs="方正书宋_GBK" w:ascii="方正书宋_GBK" w:hAnsi="方正书宋_GBK"/>
          <w:b/>
          <w:bCs/>
          <w:sz w:val="22"/>
          <w:szCs w:val="22"/>
        </w:rPr>
        <w:t>5</w:t>
      </w:r>
      <w:r>
        <w:rPr>
          <w:rFonts w:ascii="方正书宋_GBK" w:hAnsi="方正书宋_GBK" w:cs="方正书宋_GBK" w:eastAsia="方正书宋_GBK"/>
          <w:b/>
          <w:bCs/>
          <w:sz w:val="22"/>
          <w:szCs w:val="22"/>
        </w:rPr>
        <w:t>年的，可按市场价格转让所购房屋产权份额。（</w:t>
      </w:r>
      <w:r>
        <w:rPr>
          <w:rFonts w:eastAsia="方正书宋_GBK" w:cs="方正书宋_GBK" w:ascii="方正书宋_GBK" w:hAnsi="方正书宋_GBK"/>
          <w:b/>
          <w:bCs/>
          <w:sz w:val="22"/>
          <w:szCs w:val="22"/>
        </w:rPr>
        <w:t>1</w:t>
      </w:r>
      <w:r>
        <w:rPr>
          <w:rFonts w:ascii="方正书宋_GBK" w:hAnsi="方正书宋_GBK" w:cs="方正书宋_GBK" w:eastAsia="方正书宋_GBK"/>
          <w:b/>
          <w:bCs/>
          <w:sz w:val="22"/>
          <w:szCs w:val="22"/>
        </w:rPr>
        <w:t>）乙方向原分配区住房城乡建设委（房管局）提交上市申请，明确出售价格。同等价格条件下，丙方可优先购买。（</w:t>
      </w:r>
      <w:r>
        <w:rPr>
          <w:rFonts w:eastAsia="方正书宋_GBK" w:cs="方正书宋_GBK" w:ascii="方正书宋_GBK" w:hAnsi="方正书宋_GBK"/>
          <w:b/>
          <w:bCs/>
          <w:sz w:val="22"/>
          <w:szCs w:val="22"/>
        </w:rPr>
        <w:t>2</w:t>
      </w:r>
      <w:r>
        <w:rPr>
          <w:rFonts w:ascii="方正书宋_GBK" w:hAnsi="方正书宋_GBK" w:cs="方正书宋_GBK" w:eastAsia="方正书宋_GBK"/>
          <w:b/>
          <w:bCs/>
          <w:sz w:val="22"/>
          <w:szCs w:val="22"/>
        </w:rPr>
        <w:t>）丙方放弃优先购买权的，乙方可在丙方指定的网络服务平台发布转让所购房屋产权份额信息，转让对象应为其他符合共有产权住房购买条件的家庭。新购房人获得房屋产权性质仍为“共有产权住房”，所占房屋产权份额比例不变。</w:t>
      </w:r>
    </w:p>
    <w:p>
      <w:pPr>
        <w:pStyle w:val="Normal"/>
        <w:keepNext w:val="false"/>
        <w:keepLines w:val="false"/>
        <w:pageBreakBefore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bCs/>
          <w:kern w:val="0"/>
          <w:sz w:val="22"/>
          <w:szCs w:val="22"/>
        </w:rPr>
      </w:pPr>
      <w:r>
        <w:rPr>
          <w:rFonts w:ascii="方正书宋_GBK" w:hAnsi="方正书宋_GBK" w:cs="方正书宋_GBK" w:eastAsia="方正书宋_GBK"/>
          <w:b/>
          <w:bCs/>
          <w:kern w:val="0"/>
          <w:sz w:val="22"/>
          <w:szCs w:val="22"/>
        </w:rPr>
        <w:t>丙方行使优先购买权的房屋价格，应委托房地产估价机构参照周边市场价格评估确定。乙方转让价格明显低于评估价格的，丙方应当按购房人提出的转让价格予以回购。乙方通过购买、继承、受赠等方式取得其他住房的，由丙方按评估的市场价格回购</w:t>
      </w:r>
      <w:r>
        <w:rPr>
          <w:rFonts w:ascii="方正书宋_GBK" w:hAnsi="方正书宋_GBK" w:cs="方正书宋_GBK" w:eastAsia="方正书宋_GBK"/>
          <w:b/>
          <w:bCs/>
          <w:kern w:val="0"/>
          <w:sz w:val="22"/>
          <w:szCs w:val="22"/>
          <w:lang w:eastAsia="zh-CN"/>
        </w:rPr>
        <w:t>乙方</w:t>
      </w:r>
      <w:r>
        <w:rPr>
          <w:rFonts w:ascii="方正书宋_GBK" w:hAnsi="方正书宋_GBK" w:cs="方正书宋_GBK" w:eastAsia="方正书宋_GBK"/>
          <w:b/>
          <w:bCs/>
          <w:kern w:val="0"/>
          <w:sz w:val="22"/>
          <w:szCs w:val="22"/>
        </w:rPr>
        <w:t>所有的产权份额。</w:t>
      </w:r>
    </w:p>
    <w:p>
      <w:pPr>
        <w:pStyle w:val="Normal"/>
        <w:keepNext w:val="false"/>
        <w:keepLines w:val="false"/>
        <w:pageBreakBefore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bCs/>
          <w:kern w:val="0"/>
          <w:sz w:val="22"/>
          <w:szCs w:val="22"/>
        </w:rPr>
      </w:pPr>
      <w:r>
        <w:rPr>
          <w:rFonts w:ascii="方正书宋_GBK" w:hAnsi="方正书宋_GBK" w:cs="方正书宋_GBK" w:eastAsia="方正书宋_GBK"/>
          <w:b/>
          <w:bCs/>
          <w:kern w:val="0"/>
          <w:sz w:val="22"/>
          <w:szCs w:val="22"/>
        </w:rPr>
        <w:t>乙方出租已购共有产权住房的，应在市级代持机构指定的统一网络服务平台发布房屋租赁信息，优先面向保障性住房备案家庭或符合共有产权住房购房条件的家庭出租，乙方和丙方按照所占房屋产权份额获得租金收益的相应部分。</w:t>
      </w:r>
    </w:p>
    <w:p>
      <w:pPr>
        <w:sectPr>
          <w:headerReference w:type="default" r:id="rId14"/>
          <w:headerReference w:type="first" r:id="rId15"/>
          <w:footerReference w:type="default" r:id="rId16"/>
          <w:footerReference w:type="first" r:id="rId17"/>
          <w:type w:val="nextPage"/>
          <w:pgSz w:w="11906" w:h="16838"/>
          <w:pgMar w:left="1559" w:right="1559" w:gutter="0" w:header="851" w:top="1440" w:footer="992" w:bottom="1440"/>
          <w:pgNumType w:fmt="decimal"/>
          <w:formProt w:val="false"/>
          <w:titlePg/>
          <w:textDirection w:val="lrTb"/>
          <w:docGrid w:type="lines" w:linePitch="312" w:charSpace="0"/>
        </w:sectPr>
        <w:pStyle w:val="Normal"/>
        <w:keepNext w:val="false"/>
        <w:keepLines w:val="false"/>
        <w:pageBreakBefore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bCs/>
          <w:kern w:val="0"/>
          <w:sz w:val="22"/>
          <w:szCs w:val="22"/>
        </w:rPr>
      </w:pPr>
      <w:r>
        <w:rPr>
          <w:rFonts w:ascii="方正书宋_GBK" w:hAnsi="方正书宋_GBK" w:cs="方正书宋_GBK" w:eastAsia="方正书宋_GBK"/>
          <w:b/>
          <w:bCs/>
          <w:kern w:val="0"/>
          <w:sz w:val="22"/>
          <w:szCs w:val="22"/>
        </w:rPr>
        <w:t>乙方应当按照本市房屋管理有关规定和房屋销售合同约定使用房屋。乙方有违反相关规定和本合同约定，擅自转让、出租等行为的，丙方可以按照合同约定，要求其改正，并追究其违约责任。</w:t>
      </w:r>
      <w:r>
        <w:br w:type="page"/>
      </w:r>
    </w:p>
    <w:p>
      <w:pPr>
        <w:pStyle w:val="largefont"/>
        <w:keepNext w:val="false"/>
        <w:keepLines w:val="false"/>
        <w:pageBreakBefore w:val="false"/>
        <w:widowControl/>
        <w:kinsoku w:val="true"/>
        <w:overflowPunct w:val="true"/>
        <w:autoSpaceDE w:val="true"/>
        <w:bidi w:val="0"/>
        <w:snapToGrid w:val="true"/>
        <w:spacing w:lineRule="exact" w:line="420" w:before="0" w:after="0"/>
        <w:ind w:hanging="0" w:end="0"/>
        <w:jc w:val="center"/>
        <w:textAlignment w:val="auto"/>
        <w:rPr>
          <w:rStyle w:val="Strong"/>
          <w:rFonts w:ascii="方正黑体_GBK;微软雅黑" w:hAnsi="方正黑体_GBK;微软雅黑" w:eastAsia="方正黑体_GBK;微软雅黑" w:cs="方正黑体_GBK;微软雅黑"/>
          <w:b w:val="false"/>
          <w:bCs w:val="false"/>
          <w:sz w:val="28"/>
          <w:szCs w:val="28"/>
        </w:rPr>
      </w:pPr>
      <w:r>
        <w:rPr>
          <w:rStyle w:val="Strong"/>
          <w:rFonts w:ascii="方正黑体_GBK;微软雅黑" w:hAnsi="方正黑体_GBK;微软雅黑" w:cs="方正黑体_GBK;微软雅黑" w:eastAsia="方正黑体_GBK;微软雅黑"/>
          <w:b w:val="false"/>
          <w:bCs w:val="false"/>
          <w:sz w:val="28"/>
          <w:szCs w:val="28"/>
        </w:rPr>
        <w:t>术语解释</w:t>
      </w:r>
    </w:p>
    <w:p>
      <w:pPr>
        <w:pStyle w:val="Normal"/>
        <w:keepNext w:val="false"/>
        <w:keepLines w:val="false"/>
        <w:pageBreakBefore w:val="false"/>
        <w:kinsoku w:val="true"/>
        <w:overflowPunct w:val="true"/>
        <w:autoSpaceDE w:val="false"/>
        <w:bidi w:val="0"/>
        <w:snapToGrid w:val="true"/>
        <w:spacing w:lineRule="exact" w:line="420"/>
        <w:ind w:firstLine="480" w:end="0"/>
        <w:textAlignment w:val="auto"/>
        <w:rPr>
          <w:rStyle w:val="Strong"/>
          <w:rFonts w:ascii="宋体" w:hAnsi="宋体" w:eastAsia="方正黑体_GBK;微软雅黑" w:cs="宋体"/>
          <w:b w:val="false"/>
          <w:bCs w:val="false"/>
          <w:kern w:val="0"/>
          <w:sz w:val="24"/>
          <w:szCs w:val="18"/>
        </w:rPr>
      </w:pPr>
      <w:r>
        <w:rPr/>
      </w:r>
    </w:p>
    <w:p>
      <w:pPr>
        <w:pStyle w:val="Normal"/>
        <w:keepNext w:val="false"/>
        <w:keepLines w:val="false"/>
        <w:pageBreakBefore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共有产权住房：是指政府提供政策支持，由建设单位开发建设，销售价格低于同地段、同品质商品住房价格水平，并限制使用和处分权利，实行政府与购房人按份共有产权的政策性商品住房。</w:t>
      </w:r>
    </w:p>
    <w:p>
      <w:pPr>
        <w:pStyle w:val="Normal"/>
        <w:keepNext w:val="false"/>
        <w:keepLines w:val="false"/>
        <w:pageBreakBefore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商品房预售：是指房地产开发企业（甲方）将正在建设中的取得《商品房预售许可证》的商品房预先出售给乙方，并由乙方支付定金或房价款的行为。</w:t>
      </w:r>
    </w:p>
    <w:p>
      <w:pPr>
        <w:pStyle w:val="Normal"/>
        <w:keepNext w:val="false"/>
        <w:keepLines w:val="false"/>
        <w:pageBreakBefore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法定代理人：是指依照法律规定直接取得代理权的人。</w:t>
      </w:r>
    </w:p>
    <w:p>
      <w:pPr>
        <w:pStyle w:val="Normal"/>
        <w:keepNext w:val="false"/>
        <w:keepLines w:val="false"/>
        <w:pageBreakBefore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同住人：是指</w:t>
      </w:r>
      <w:r>
        <w:rPr>
          <w:rFonts w:ascii="方正书宋_GBK" w:hAnsi="方正书宋_GBK" w:cs="方正书宋_GBK" w:eastAsia="方正书宋_GBK"/>
          <w:bCs w:val="false"/>
          <w:kern w:val="0"/>
          <w:sz w:val="22"/>
          <w:szCs w:val="22"/>
        </w:rPr>
        <w:t>购房家庭产权份额的共同共有人</w:t>
      </w:r>
      <w:r>
        <w:rPr>
          <w:rFonts w:ascii="方正书宋_GBK" w:hAnsi="方正书宋_GBK" w:cs="方正书宋_GBK" w:eastAsia="方正书宋_GBK"/>
          <w:bCs w:val="false"/>
          <w:kern w:val="0"/>
          <w:sz w:val="22"/>
          <w:szCs w:val="22"/>
          <w:lang w:eastAsia="zh-CN"/>
        </w:rPr>
        <w:t>外的居住人</w:t>
      </w:r>
      <w:r>
        <w:rPr>
          <w:rFonts w:ascii="方正书宋_GBK" w:hAnsi="方正书宋_GBK" w:cs="方正书宋_GBK" w:eastAsia="方正书宋_GBK"/>
          <w:bCs w:val="false"/>
          <w:kern w:val="0"/>
          <w:sz w:val="22"/>
          <w:szCs w:val="22"/>
        </w:rPr>
        <w:t>。</w:t>
      </w:r>
    </w:p>
    <w:p>
      <w:pPr>
        <w:pStyle w:val="Normal"/>
        <w:keepNext w:val="false"/>
        <w:keepLines w:val="false"/>
        <w:pageBreakBefore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5.</w:t>
      </w:r>
      <w:r>
        <w:rPr>
          <w:rFonts w:ascii="方正书宋_GBK" w:hAnsi="方正书宋_GBK" w:cs="方正书宋_GBK" w:eastAsia="方正书宋_GBK"/>
          <w:sz w:val="22"/>
          <w:szCs w:val="22"/>
        </w:rPr>
        <w:t>层高：</w:t>
      </w:r>
      <w:r>
        <w:rPr>
          <w:rFonts w:ascii="方正书宋_GBK" w:hAnsi="方正书宋_GBK" w:cs="方正书宋_GBK" w:eastAsia="方正书宋_GBK"/>
          <w:kern w:val="0"/>
          <w:sz w:val="22"/>
          <w:szCs w:val="22"/>
        </w:rPr>
        <w:t>是指上下两层楼板结构面之间或楼板结构面与地板结构面之间的垂直距离。</w:t>
      </w:r>
    </w:p>
    <w:p>
      <w:pPr>
        <w:pStyle w:val="largefont"/>
        <w:keepNext w:val="false"/>
        <w:keepLines w:val="false"/>
        <w:pageBreakBefore w:val="false"/>
        <w:kinsoku w:val="true"/>
        <w:overflowPunct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净高：是指楼（地）面至楼板结构底面之间的垂直距离。</w:t>
      </w:r>
    </w:p>
    <w:p>
      <w:pPr>
        <w:pStyle w:val="Normal"/>
        <w:keepNext w:val="false"/>
        <w:keepLines w:val="false"/>
        <w:pageBreakBefore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7.</w:t>
      </w:r>
      <w:r>
        <w:rPr>
          <w:rFonts w:ascii="方正书宋_GBK" w:hAnsi="方正书宋_GBK" w:cs="方正书宋_GBK" w:eastAsia="方正书宋_GBK"/>
          <w:kern w:val="0"/>
          <w:sz w:val="22"/>
          <w:szCs w:val="22"/>
        </w:rPr>
        <w:t>套内建筑面积：成套房屋的套内建筑面积由套内房屋的使用面积、套内墙体面积及套内阳台建筑面积三部分组成。</w:t>
      </w:r>
    </w:p>
    <w:p>
      <w:pPr>
        <w:pStyle w:val="Normal"/>
        <w:keepNext w:val="false"/>
        <w:keepLines w:val="false"/>
        <w:pageBreakBefore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kern w:val="0"/>
          <w:sz w:val="22"/>
          <w:szCs w:val="22"/>
        </w:rPr>
        <w:t>房屋的建筑面积：是指层高在</w:t>
      </w:r>
      <w:r>
        <w:rPr>
          <w:rFonts w:eastAsia="方正书宋_GBK" w:cs="方正书宋_GBK" w:ascii="方正书宋_GBK" w:hAnsi="方正书宋_GBK"/>
          <w:kern w:val="0"/>
          <w:sz w:val="22"/>
          <w:szCs w:val="22"/>
        </w:rPr>
        <w:t>2.20m</w:t>
      </w:r>
      <w:r>
        <w:rPr>
          <w:rFonts w:ascii="方正书宋_GBK" w:hAnsi="方正书宋_GBK" w:cs="方正书宋_GBK" w:eastAsia="方正书宋_GBK"/>
          <w:kern w:val="0"/>
          <w:sz w:val="22"/>
          <w:szCs w:val="22"/>
        </w:rPr>
        <w:t>以上（含</w:t>
      </w:r>
      <w:r>
        <w:rPr>
          <w:rFonts w:eastAsia="方正书宋_GBK" w:cs="方正书宋_GBK" w:ascii="方正书宋_GBK" w:hAnsi="方正书宋_GBK"/>
          <w:kern w:val="0"/>
          <w:sz w:val="22"/>
          <w:szCs w:val="22"/>
        </w:rPr>
        <w:t>2.20m</w:t>
      </w:r>
      <w:r>
        <w:rPr>
          <w:rFonts w:ascii="方正书宋_GBK" w:hAnsi="方正书宋_GBK" w:cs="方正书宋_GBK" w:eastAsia="方正书宋_GBK"/>
          <w:kern w:val="0"/>
          <w:sz w:val="22"/>
          <w:szCs w:val="22"/>
        </w:rPr>
        <w:t>），有上盖的永久性建筑的外墙（柱）勒角以上各层的外围水平投影面积之和，包括阳台、挑廊、地下室、室外楼梯等。</w:t>
      </w:r>
    </w:p>
    <w:p>
      <w:pPr>
        <w:pStyle w:val="Normal"/>
        <w:keepNext w:val="false"/>
        <w:keepLines w:val="false"/>
        <w:pageBreakBefore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9.</w:t>
      </w:r>
      <w:r>
        <w:rPr>
          <w:rFonts w:ascii="方正书宋_GBK" w:hAnsi="方正书宋_GBK" w:cs="方正书宋_GBK" w:eastAsia="方正书宋_GBK"/>
          <w:kern w:val="0"/>
          <w:sz w:val="22"/>
          <w:szCs w:val="22"/>
        </w:rPr>
        <w:t>不可抗力：是指不能预见、不能避免并不能克服的客观情况。</w:t>
      </w:r>
    </w:p>
    <w:p>
      <w:pPr>
        <w:pStyle w:val="Normal"/>
        <w:keepNext w:val="false"/>
        <w:keepLines w:val="false"/>
        <w:pageBreakBefore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10.</w:t>
      </w:r>
      <w:r>
        <w:rPr>
          <w:rFonts w:ascii="方正书宋_GBK" w:hAnsi="方正书宋_GBK" w:cs="方正书宋_GBK" w:eastAsia="方正书宋_GBK"/>
          <w:kern w:val="0"/>
          <w:sz w:val="22"/>
          <w:szCs w:val="22"/>
        </w:rPr>
        <w:t>民用建筑节能：是指在居住建筑和公共建筑的规划、设计、建造、使用、改造等活动中，按照有关标准和规定，采用符合节能要求的建筑材料、设备、技术、工艺和管理措施，在保证建筑物使用功能和室内环境质量的前提下，合理、有效地利用能源，降低能源消耗。</w:t>
      </w:r>
    </w:p>
    <w:p>
      <w:pPr>
        <w:pStyle w:val="Normal"/>
        <w:keepNext w:val="false"/>
        <w:keepLines w:val="false"/>
        <w:pageBreakBefore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11.</w:t>
      </w:r>
      <w:r>
        <w:rPr>
          <w:rFonts w:ascii="方正书宋_GBK" w:hAnsi="方正书宋_GBK" w:cs="方正书宋_GBK" w:eastAsia="方正书宋_GBK"/>
          <w:kern w:val="0"/>
          <w:sz w:val="22"/>
          <w:szCs w:val="22"/>
        </w:rPr>
        <w:t>绿色建筑：是指在全寿命周期内，节约资源</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节能、节地、节水、节材</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、保护环境、减少污染，为人们提供健康、适用和高效的使用空间，最大限度地实现人与自然和谐共生的高质量建筑。</w:t>
      </w:r>
    </w:p>
    <w:p>
      <w:pPr>
        <w:pStyle w:val="Normal"/>
        <w:keepNext w:val="false"/>
        <w:keepLines w:val="false"/>
        <w:pageBreakBefore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12.</w:t>
      </w:r>
      <w:r>
        <w:rPr>
          <w:rFonts w:ascii="方正书宋_GBK" w:hAnsi="方正书宋_GBK" w:cs="方正书宋_GBK" w:eastAsia="方正书宋_GBK"/>
          <w:kern w:val="0"/>
          <w:sz w:val="22"/>
          <w:szCs w:val="22"/>
        </w:rPr>
        <w:t>装配式建筑：是由预制部品部件在工地装配而成的建筑，一般由结构系统、外围护系统、内装系统和设备与管线系统组成，按照结构体系划分包括装配式混凝土建筑、装配式钢结构建筑、装配式木结构建筑及装配式混合结构建筑等。装配式建筑应符合国家及本市的相关标准。</w:t>
      </w:r>
    </w:p>
    <w:p>
      <w:pPr>
        <w:pStyle w:val="Normal"/>
        <w:keepNext w:val="false"/>
        <w:keepLines w:val="false"/>
        <w:pageBreakBefore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kern w:val="0"/>
          <w:sz w:val="22"/>
          <w:szCs w:val="22"/>
          <w:lang w:val="en-US" w:eastAsia="zh-CN"/>
        </w:rPr>
      </w:pPr>
      <w:r>
        <w:rPr>
          <w:rFonts w:eastAsia="方正书宋_GBK" w:cs="方正书宋_GBK" w:ascii="方正书宋_GBK" w:hAnsi="方正书宋_GBK"/>
          <w:kern w:val="0"/>
          <w:sz w:val="22"/>
          <w:szCs w:val="22"/>
          <w:lang w:val="en-US" w:eastAsia="zh-CN"/>
        </w:rPr>
        <w:t>13.</w:t>
      </w:r>
      <w:r>
        <w:rPr>
          <w:rFonts w:ascii="方正书宋_GBK" w:hAnsi="方正书宋_GBK" w:cs="方正书宋_GBK" w:eastAsia="方正书宋_GBK"/>
          <w:kern w:val="0"/>
          <w:sz w:val="22"/>
          <w:szCs w:val="22"/>
          <w:lang w:val="en-US" w:eastAsia="zh-CN"/>
        </w:rPr>
        <w:t>全装修成品交房：</w:t>
      </w:r>
      <w:r>
        <w:rPr>
          <w:rFonts w:ascii="方正书宋_GBK" w:hAnsi="方正书宋_GBK" w:cs="方正书宋_GBK" w:eastAsia="方正书宋_GBK"/>
          <w:kern w:val="0"/>
          <w:sz w:val="22"/>
          <w:szCs w:val="22"/>
        </w:rPr>
        <w:t>房屋交钥匙前，所有功能空间的固定面全部铺装或粉刷完成，厨房和卫生间的基本设备全部安装完成</w:t>
      </w:r>
      <w:r>
        <w:rPr>
          <w:rFonts w:ascii="方正书宋_GBK" w:hAnsi="方正书宋_GBK" w:cs="方正书宋_GBK" w:eastAsia="方正书宋_GBK"/>
          <w:kern w:val="0"/>
          <w:sz w:val="22"/>
          <w:szCs w:val="22"/>
          <w:lang w:eastAsia="zh-CN"/>
        </w:rPr>
        <w:t>。</w:t>
      </w:r>
    </w:p>
    <w:p>
      <w:pPr>
        <w:pStyle w:val="Normal"/>
        <w:keepNext w:val="false"/>
        <w:keepLines w:val="false"/>
        <w:pageBreakBefore w:val="false"/>
        <w:kinsoku w:val="true"/>
        <w:overflowPunct w:val="true"/>
        <w:autoSpaceDE w:val="false"/>
        <w:bidi w:val="0"/>
        <w:snapToGrid w:val="true"/>
        <w:spacing w:lineRule="exact" w:line="420"/>
        <w:ind w:firstLine="440" w:end="0"/>
        <w:jc w:val="both"/>
        <w:textAlignment w:val="auto"/>
        <w:rPr>
          <w:rStyle w:val="Strong"/>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eastAsia="方正书宋_GBK" w:cs="方正书宋_GBK" w:ascii="方正书宋_GBK" w:hAnsi="方正书宋_GBK"/>
          <w:kern w:val="0"/>
          <w:sz w:val="22"/>
          <w:szCs w:val="22"/>
          <w:lang w:val="en-US" w:eastAsia="zh-CN"/>
        </w:rPr>
        <w:t>4</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不动产登记：是指不动产登记机构依法将不动产权利归属和其他法定事项记载于不动产登记簿的行为。</w:t>
      </w:r>
    </w:p>
    <w:p>
      <w:pPr>
        <w:sectPr>
          <w:headerReference w:type="default" r:id="rId18"/>
          <w:headerReference w:type="first" r:id="rId19"/>
          <w:footerReference w:type="default" r:id="rId20"/>
          <w:footerReference w:type="first" r:id="rId21"/>
          <w:type w:val="nextPage"/>
          <w:pgSz w:w="11906" w:h="16838"/>
          <w:pgMar w:left="1559" w:right="1559" w:gutter="0" w:header="851" w:top="1440" w:footer="992" w:bottom="1440"/>
          <w:pgNumType w:fmt="decimal"/>
          <w:formProt w:val="false"/>
          <w:textDirection w:val="lrTb"/>
          <w:docGrid w:type="lines" w:linePitch="312" w:charSpace="0"/>
        </w:sectPr>
        <w:pStyle w:val="Normal"/>
        <w:keepNext w:val="false"/>
        <w:keepLines w:val="false"/>
        <w:pageBreakBefore w:val="false"/>
        <w:kinsoku w:val="true"/>
        <w:overflowPunct w:val="true"/>
        <w:autoSpaceDE w:val="false"/>
        <w:bidi w:val="0"/>
        <w:snapToGrid w:val="true"/>
        <w:spacing w:lineRule="exact" w:line="420"/>
        <w:ind w:firstLine="440" w:end="0"/>
        <w:jc w:val="both"/>
        <w:textAlignment w:val="auto"/>
        <w:rPr>
          <w:rStyle w:val="Strong"/>
          <w:rFonts w:ascii="方正书宋_GBK" w:hAnsi="方正书宋_GBK" w:eastAsia="方正书宋_GBK" w:cs="方正书宋_GBK"/>
          <w:sz w:val="22"/>
          <w:szCs w:val="22"/>
          <w:lang w:val="en-US" w:eastAsia="zh-CN"/>
        </w:rPr>
      </w:pPr>
      <w:r>
        <w:rPr>
          <w:rFonts w:eastAsia="方正书宋_GBK" w:cs="方正书宋_GBK" w:ascii="方正书宋_GBK" w:hAnsi="方正书宋_GBK"/>
          <w:kern w:val="0"/>
          <w:sz w:val="22"/>
          <w:szCs w:val="22"/>
        </w:rPr>
        <w:t>1</w:t>
      </w:r>
      <w:r>
        <w:rPr>
          <w:rFonts w:eastAsia="方正书宋_GBK" w:cs="方正书宋_GBK" w:ascii="方正书宋_GBK" w:hAnsi="方正书宋_GBK"/>
          <w:kern w:val="0"/>
          <w:sz w:val="22"/>
          <w:szCs w:val="22"/>
          <w:lang w:val="en-US" w:eastAsia="zh-CN"/>
        </w:rPr>
        <w:t>5</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所有权转移登记：是指</w:t>
      </w:r>
      <w:r>
        <w:rPr>
          <w:rFonts w:ascii="方正书宋_GBK" w:hAnsi="方正书宋_GBK" w:cs="方正书宋_GBK" w:eastAsia="方正书宋_GBK"/>
          <w:kern w:val="0"/>
          <w:sz w:val="22"/>
          <w:szCs w:val="22"/>
          <w:lang w:val="en-US" w:eastAsia="zh-CN"/>
        </w:rPr>
        <w:t>共有产权住房</w:t>
      </w:r>
      <w:r>
        <w:rPr>
          <w:rFonts w:ascii="方正书宋_GBK" w:hAnsi="方正书宋_GBK" w:cs="方正书宋_GBK" w:eastAsia="方正书宋_GBK"/>
          <w:kern w:val="0"/>
          <w:sz w:val="22"/>
          <w:szCs w:val="22"/>
        </w:rPr>
        <w:t>所有权从甲方转移至乙方和丙方所办理的登记类型</w:t>
      </w:r>
      <w:r>
        <w:rPr>
          <w:rFonts w:ascii="方正书宋_GBK" w:hAnsi="方正书宋_GBK" w:cs="方正书宋_GBK" w:eastAsia="方正书宋_GBK"/>
          <w:kern w:val="0"/>
          <w:sz w:val="22"/>
          <w:szCs w:val="22"/>
          <w:lang w:eastAsia="zh-CN"/>
        </w:rPr>
        <w:t>。</w:t>
      </w:r>
      <w:r>
        <w:br w:type="page"/>
      </w:r>
    </w:p>
    <w:p>
      <w:pPr>
        <w:pStyle w:val="largefont"/>
        <w:keepNext w:val="false"/>
        <w:keepLines w:val="false"/>
        <w:pageBreakBefore w:val="false"/>
        <w:widowControl/>
        <w:kinsoku w:val="true"/>
        <w:overflowPunct w:val="true"/>
        <w:autoSpaceDE w:val="true"/>
        <w:bidi w:val="0"/>
        <w:snapToGrid w:val="true"/>
        <w:spacing w:lineRule="exact" w:line="420" w:before="0" w:after="0"/>
        <w:ind w:hanging="0" w:end="0"/>
        <w:jc w:val="center"/>
        <w:textAlignment w:val="auto"/>
        <w:rPr>
          <w:rStyle w:val="Strong"/>
          <w:rFonts w:ascii="方正黑体_GBK;微软雅黑" w:hAnsi="方正黑体_GBK;微软雅黑" w:eastAsia="方正黑体_GBK;微软雅黑" w:cs="方正黑体_GBK;微软雅黑"/>
          <w:b w:val="false"/>
          <w:bCs w:val="false"/>
          <w:sz w:val="28"/>
          <w:szCs w:val="28"/>
        </w:rPr>
      </w:pPr>
      <w:r>
        <w:rPr>
          <w:rStyle w:val="Strong"/>
          <w:rFonts w:ascii="方正黑体_GBK;微软雅黑" w:hAnsi="方正黑体_GBK;微软雅黑" w:cs="方正黑体_GBK;微软雅黑" w:eastAsia="方正黑体_GBK;微软雅黑"/>
          <w:b w:val="false"/>
          <w:bCs w:val="false"/>
          <w:sz w:val="28"/>
          <w:szCs w:val="28"/>
        </w:rPr>
        <w:t>北京市共有产权住房预售合同</w:t>
      </w:r>
    </w:p>
    <w:p>
      <w:pPr>
        <w:pStyle w:val="largefont"/>
        <w:keepNext w:val="false"/>
        <w:keepLines w:val="false"/>
        <w:pageBreakBefore w:val="false"/>
        <w:kinsoku w:val="true"/>
        <w:overflowPunct w:val="true"/>
        <w:bidi w:val="0"/>
        <w:spacing w:lineRule="exact" w:line="420" w:before="0" w:after="0"/>
        <w:ind w:end="0"/>
        <w:jc w:val="center"/>
        <w:rPr>
          <w:rStyle w:val="Strong"/>
          <w:rFonts w:ascii="方正黑体_GBK;微软雅黑" w:hAnsi="方正黑体_GBK;微软雅黑" w:eastAsia="方正黑体_GBK;微软雅黑" w:cs="方正黑体_GBK;微软雅黑"/>
          <w:sz w:val="28"/>
          <w:szCs w:val="28"/>
        </w:rPr>
      </w:pPr>
      <w:r>
        <w:rPr/>
      </w:r>
    </w:p>
    <w:p>
      <w:pPr>
        <w:pStyle w:val="largefont"/>
        <w:keepNext w:val="false"/>
        <w:keepLines w:val="false"/>
        <w:pageBreakBefore w:val="false"/>
        <w:kinsoku w:val="true"/>
        <w:overflowPunct w:val="true"/>
        <w:bidi w:val="0"/>
        <w:spacing w:lineRule="exact" w:line="420" w:before="0" w:after="0"/>
        <w:ind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甲、乙、丙三方在自愿、平等、公平及诚实信用的基础上，根据《中华人民共和国民法典》《中华人民共和国城市房地产管理法》《北京市共有产权住房管理暂行办法》等</w:t>
      </w:r>
      <w:r>
        <w:rPr>
          <w:rFonts w:ascii="方正书宋_GBK" w:hAnsi="方正书宋_GBK" w:cs="方正书宋_GBK" w:eastAsia="方正书宋_GBK"/>
          <w:sz w:val="22"/>
          <w:szCs w:val="22"/>
          <w:lang w:eastAsia="zh-CN"/>
        </w:rPr>
        <w:t>有关</w:t>
      </w:r>
      <w:r>
        <w:rPr>
          <w:rFonts w:ascii="方正书宋_GBK" w:hAnsi="方正书宋_GBK" w:cs="方正书宋_GBK" w:eastAsia="方正书宋_GBK"/>
          <w:sz w:val="22"/>
          <w:szCs w:val="22"/>
        </w:rPr>
        <w:t>法律法规</w:t>
      </w:r>
      <w:r>
        <w:rPr>
          <w:rFonts w:ascii="方正书宋_GBK" w:hAnsi="方正书宋_GBK" w:cs="方正书宋_GBK" w:eastAsia="方正书宋_GBK"/>
          <w:sz w:val="22"/>
          <w:szCs w:val="22"/>
          <w:lang w:eastAsia="zh-CN"/>
        </w:rPr>
        <w:t>、规范性文件</w:t>
      </w:r>
      <w:r>
        <w:rPr>
          <w:rFonts w:ascii="方正书宋_GBK" w:hAnsi="方正书宋_GBK" w:cs="方正书宋_GBK" w:eastAsia="方正书宋_GBK"/>
          <w:sz w:val="22"/>
          <w:szCs w:val="22"/>
        </w:rPr>
        <w:t>的规定，就共有产权住房转让等事宜协商一致，签订本合同。</w:t>
      </w:r>
    </w:p>
    <w:p>
      <w:pPr>
        <w:pStyle w:val="largefont"/>
        <w:keepNext w:val="false"/>
        <w:keepLines w:val="false"/>
        <w:pageBreakBefore w:val="false"/>
        <w:kinsoku w:val="true"/>
        <w:overflowPunct w:val="true"/>
        <w:bidi w:val="0"/>
        <w:spacing w:lineRule="exact" w:line="420" w:before="0" w:after="0"/>
        <w:ind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largefont"/>
        <w:keepNext w:val="false"/>
        <w:keepLines w:val="false"/>
        <w:pageBreakBefore w:val="false"/>
        <w:widowControl/>
        <w:kinsoku w:val="true"/>
        <w:overflowPunct w:val="true"/>
        <w:autoSpaceDE w:val="true"/>
        <w:bidi w:val="0"/>
        <w:snapToGrid w:val="true"/>
        <w:spacing w:lineRule="exact" w:line="420" w:before="0" w:after="0"/>
        <w:ind w:hanging="0" w:end="0"/>
        <w:jc w:val="center"/>
        <w:textAlignment w:val="auto"/>
        <w:rPr>
          <w:rStyle w:val="Strong"/>
          <w:rFonts w:ascii="方正黑体_GBK;微软雅黑" w:hAnsi="方正黑体_GBK;微软雅黑" w:eastAsia="方正黑体_GBK;微软雅黑" w:cs="方正黑体_GBK;微软雅黑"/>
          <w:b w:val="false"/>
          <w:bCs w:val="false"/>
          <w:sz w:val="28"/>
          <w:szCs w:val="28"/>
        </w:rPr>
      </w:pPr>
      <w:r>
        <w:rPr>
          <w:rStyle w:val="Strong"/>
          <w:rFonts w:ascii="方正黑体_GBK;微软雅黑" w:hAnsi="方正黑体_GBK;微软雅黑" w:cs="方正黑体_GBK;微软雅黑" w:eastAsia="方正黑体_GBK;微软雅黑"/>
          <w:b w:val="false"/>
          <w:bCs w:val="false"/>
          <w:sz w:val="28"/>
          <w:szCs w:val="28"/>
        </w:rPr>
        <w:t>第一章  合同当事人</w:t>
      </w:r>
    </w:p>
    <w:p>
      <w:pPr>
        <w:pStyle w:val="largefont"/>
        <w:keepNext w:val="false"/>
        <w:keepLines w:val="false"/>
        <w:pageBreakBefore w:val="false"/>
        <w:kinsoku w:val="true"/>
        <w:overflowPunct w:val="true"/>
        <w:autoSpaceDE w:val="true"/>
        <w:bidi w:val="0"/>
        <w:snapToGrid w:val="true"/>
        <w:spacing w:lineRule="exact" w:line="420" w:before="0" w:after="0"/>
        <w:ind w:firstLine="442" w:end="0"/>
        <w:jc w:val="both"/>
        <w:textAlignment w:val="auto"/>
        <w:rPr>
          <w:rFonts w:ascii="方正书宋_GBK" w:hAnsi="方正书宋_GBK" w:eastAsia="方正书宋_GBK" w:cs="方正书宋_GBK"/>
          <w:sz w:val="22"/>
          <w:szCs w:val="22"/>
        </w:rPr>
      </w:pPr>
      <w:r>
        <w:rPr>
          <w:rStyle w:val="Strong"/>
          <w:rFonts w:ascii="方正书宋_GBK" w:hAnsi="方正书宋_GBK" w:cs="方正书宋_GBK" w:eastAsia="方正书宋_GBK"/>
          <w:sz w:val="22"/>
          <w:szCs w:val="22"/>
        </w:rPr>
        <w:t xml:space="preserve">甲方：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统一社会信用代码：</w:t>
      </w:r>
      <w:r>
        <w:rPr>
          <w:rFonts w:ascii="方正书宋_GBK" w:hAnsi="方正书宋_GBK" w:cs="方正书宋_GBK" w:eastAsia="方正书宋_GBK"/>
          <w:sz w:val="22"/>
          <w:szCs w:val="22"/>
          <w:u w:val="single"/>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企业资质证书号：</w:t>
      </w:r>
      <w:r>
        <w:rPr>
          <w:rFonts w:ascii="方正书宋_GBK" w:hAnsi="方正书宋_GBK" w:cs="方正书宋_GBK" w:eastAsia="方正书宋_GBK"/>
          <w:sz w:val="22"/>
          <w:szCs w:val="22"/>
          <w:u w:val="single"/>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法定代表人：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委托代理人：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联系电话：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委托销售代理机构：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经纪机构备案证明号：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统一社会信用代码：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largefont"/>
        <w:keepNext w:val="false"/>
        <w:keepLines w:val="false"/>
        <w:pageBreakBefore w:val="false"/>
        <w:kinsoku w:val="true"/>
        <w:overflowPunct w:val="true"/>
        <w:autoSpaceDE w:val="true"/>
        <w:bidi w:val="0"/>
        <w:snapToGrid w:val="true"/>
        <w:spacing w:lineRule="exact" w:line="420" w:before="0" w:after="0"/>
        <w:ind w:firstLine="442" w:end="0"/>
        <w:jc w:val="both"/>
        <w:textAlignment w:val="auto"/>
        <w:rPr>
          <w:rFonts w:ascii="方正书宋_GBK" w:hAnsi="方正书宋_GBK" w:eastAsia="方正书宋_GBK" w:cs="方正书宋_GBK"/>
          <w:sz w:val="22"/>
          <w:szCs w:val="22"/>
        </w:rPr>
      </w:pPr>
      <w:r>
        <w:rPr>
          <w:rStyle w:val="Strong"/>
          <w:rFonts w:ascii="方正书宋_GBK" w:hAnsi="方正书宋_GBK" w:cs="方正书宋_GBK" w:eastAsia="方正书宋_GBK"/>
          <w:sz w:val="22"/>
          <w:szCs w:val="22"/>
        </w:rPr>
        <w:t xml:space="preserve">乙方：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户籍所在地：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证号：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pacing w:val="14"/>
          <w:sz w:val="22"/>
          <w:szCs w:val="22"/>
          <w:u w:val="single"/>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出生日期：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年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月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日，性别：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邮政编码：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【法定代理人】【委托代理人】：</w:t>
      </w:r>
      <w:r>
        <w:rPr>
          <w:rFonts w:ascii="方正书宋_GBK" w:hAnsi="方正书宋_GBK" w:cs="方正书宋_GBK" w:eastAsia="方正书宋_GBK"/>
          <w:sz w:val="22"/>
          <w:szCs w:val="22"/>
          <w:u w:val="single"/>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户籍所在地：</w:t>
      </w:r>
      <w:r>
        <w:rPr>
          <w:rFonts w:ascii="方正书宋_GBK" w:hAnsi="方正书宋_GBK" w:cs="方正书宋_GBK" w:eastAsia="方正书宋_GBK"/>
          <w:sz w:val="22"/>
          <w:szCs w:val="22"/>
          <w:u w:val="single"/>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证号：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出生日期：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年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月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日，性别：</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邮政编码：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（乙方为多人时，可相应增加）</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napToGrid w:val="true"/>
        <w:spacing w:lineRule="exact" w:line="420"/>
        <w:ind w:firstLine="442" w:end="0"/>
        <w:jc w:val="both"/>
        <w:textAlignment w:val="auto"/>
        <w:rPr>
          <w:rFonts w:ascii="方正书宋_GBK" w:hAnsi="方正书宋_GBK" w:eastAsia="方正书宋_GBK" w:cs="方正书宋_GBK"/>
          <w:sz w:val="22"/>
          <w:szCs w:val="22"/>
        </w:rPr>
      </w:pPr>
      <w:r>
        <w:rPr>
          <w:rStyle w:val="Strong"/>
          <w:rFonts w:ascii="方正书宋_GBK" w:hAnsi="方正书宋_GBK" w:cs="方正书宋_GBK" w:eastAsia="方正书宋_GBK"/>
          <w:kern w:val="0"/>
          <w:sz w:val="22"/>
          <w:szCs w:val="22"/>
        </w:rPr>
        <w:t>丙方：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区</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通讯地址：</w:t>
      </w:r>
      <w:r>
        <w:rPr>
          <w:rFonts w:ascii="方正书宋_GBK" w:hAnsi="方正书宋_GBK" w:cs="方正书宋_GBK" w:eastAsia="方正书宋_GBK"/>
          <w:kern w:val="0"/>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统一社会信用代码：</w:t>
      </w:r>
      <w:r>
        <w:rPr>
          <w:rFonts w:ascii="方正书宋_GBK" w:hAnsi="方正书宋_GBK" w:cs="方正书宋_GBK" w:eastAsia="方正书宋_GBK"/>
          <w:kern w:val="0"/>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法定代表人：</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 xml:space="preserve">    委托代理人：</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 xml:space="preserve">      </w:t>
      </w:r>
    </w:p>
    <w:p>
      <w:pPr>
        <w:pStyle w:val="Normal"/>
        <w:keepNext w:val="false"/>
        <w:keepLines w:val="false"/>
        <w:pageBreakBefore w:val="false"/>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kern w:val="0"/>
          <w:sz w:val="22"/>
          <w:szCs w:val="22"/>
        </w:rPr>
        <w:t>邮政编码：</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 xml:space="preserve">      联系电</w:t>
      </w:r>
      <w:r>
        <w:rPr>
          <w:rFonts w:ascii="方正书宋_GBK" w:hAnsi="方正书宋_GBK" w:cs="方正书宋_GBK" w:eastAsia="方正书宋_GBK"/>
          <w:sz w:val="22"/>
          <w:szCs w:val="22"/>
        </w:rPr>
        <w:t>话：</w:t>
      </w:r>
      <w:r>
        <w:rPr>
          <w:rFonts w:ascii="方正书宋_GBK" w:hAnsi="方正书宋_GBK" w:cs="方正书宋_GBK" w:eastAsia="方正书宋_GBK"/>
          <w:kern w:val="0"/>
          <w:sz w:val="22"/>
          <w:szCs w:val="22"/>
          <w:u w:val="single"/>
        </w:rPr>
        <w:t xml:space="preserve">               </w:t>
      </w:r>
    </w:p>
    <w:p>
      <w:pPr>
        <w:pStyle w:val="largefont"/>
        <w:keepNext w:val="false"/>
        <w:keepLines w:val="false"/>
        <w:pageBreakBefore w:val="false"/>
        <w:kinsoku w:val="true"/>
        <w:overflowPunct w:val="true"/>
        <w:bidi w:val="0"/>
        <w:spacing w:lineRule="exact" w:line="420" w:before="0" w:after="0"/>
        <w:ind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largefont"/>
        <w:keepNext w:val="false"/>
        <w:keepLines w:val="false"/>
        <w:pageBreakBefore w:val="false"/>
        <w:widowControl/>
        <w:kinsoku w:val="true"/>
        <w:overflowPunct w:val="true"/>
        <w:autoSpaceDE w:val="true"/>
        <w:bidi w:val="0"/>
        <w:snapToGrid w:val="true"/>
        <w:spacing w:lineRule="exact" w:line="420" w:before="0" w:after="0"/>
        <w:ind w:hanging="0" w:end="0"/>
        <w:jc w:val="center"/>
        <w:textAlignment w:val="auto"/>
        <w:rPr>
          <w:rStyle w:val="Strong"/>
          <w:rFonts w:ascii="方正黑体_GBK;微软雅黑" w:hAnsi="方正黑体_GBK;微软雅黑" w:eastAsia="方正黑体_GBK;微软雅黑" w:cs="方正黑体_GBK;微软雅黑"/>
          <w:b w:val="false"/>
          <w:bCs w:val="false"/>
          <w:sz w:val="28"/>
          <w:szCs w:val="28"/>
        </w:rPr>
      </w:pPr>
      <w:r>
        <w:rPr>
          <w:rStyle w:val="Strong"/>
          <w:rFonts w:ascii="方正黑体_GBK;微软雅黑" w:hAnsi="方正黑体_GBK;微软雅黑" w:cs="方正黑体_GBK;微软雅黑" w:eastAsia="方正黑体_GBK;微软雅黑"/>
          <w:b w:val="false"/>
          <w:bCs w:val="false"/>
          <w:sz w:val="28"/>
          <w:szCs w:val="28"/>
        </w:rPr>
        <w:t>第二章  共有产权住房基本状况</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Style w:val="Strong"/>
          <w:rFonts w:ascii="方正黑体_GBK;微软雅黑" w:hAnsi="方正黑体_GBK;微软雅黑" w:eastAsia="方正黑体_GBK;微软雅黑" w:cs="方正黑体_GBK;微软雅黑"/>
          <w:b w:val="false"/>
          <w:bCs w:val="false"/>
          <w:sz w:val="22"/>
          <w:szCs w:val="22"/>
        </w:rPr>
      </w:pPr>
      <w:r>
        <w:rPr>
          <w:rStyle w:val="Strong"/>
          <w:rFonts w:ascii="方正黑体_GBK;微软雅黑" w:hAnsi="方正黑体_GBK;微软雅黑" w:cs="方正黑体_GBK;微软雅黑" w:eastAsia="方正黑体_GBK;微软雅黑"/>
          <w:b w:val="false"/>
          <w:bCs w:val="false"/>
          <w:sz w:val="22"/>
          <w:szCs w:val="22"/>
        </w:rPr>
        <w:t xml:space="preserve">第一条  项目建设依据 </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（一）甲方以【出让】【转让】【划拨】方式取得坐落于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地块的建设用地使用权。该地块【不动产权证书号】【国有土地使用证号】【城镇建设用地批准书号】为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，土地使用权面积为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平方米。乙方购买的共有产权住房（以下简称该共有产权住房）所占用的土地用途为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，土地使用年限自</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日至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（二）甲方经批准，在上述地块上建设的共有产权住房项目核准名称为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，建设工程规划许可证号为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，建筑工程施工许可证号为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，建设工程施工合同约定的开工日期为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，建设工程施工合同约定的竣工日期为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Style w:val="Strong"/>
          <w:rFonts w:ascii="方正黑体_GBK;微软雅黑" w:hAnsi="方正黑体_GBK;微软雅黑" w:eastAsia="方正黑体_GBK;微软雅黑" w:cs="方正黑体_GBK;微软雅黑"/>
          <w:b w:val="false"/>
          <w:bCs w:val="false"/>
          <w:sz w:val="22"/>
          <w:szCs w:val="22"/>
        </w:rPr>
      </w:pPr>
      <w:r>
        <w:rPr>
          <w:rStyle w:val="Strong"/>
          <w:rFonts w:ascii="方正黑体_GBK;微软雅黑" w:hAnsi="方正黑体_GBK;微软雅黑" w:cs="方正黑体_GBK;微软雅黑" w:eastAsia="方正黑体_GBK;微软雅黑"/>
          <w:b w:val="false"/>
          <w:bCs w:val="false"/>
          <w:sz w:val="22"/>
          <w:szCs w:val="22"/>
        </w:rPr>
        <w:t xml:space="preserve">第二条  预售依据 </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该共有产权住房已由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批准预售，预售许可证号为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Style w:val="Strong"/>
          <w:rFonts w:ascii="方正黑体_GBK;微软雅黑" w:hAnsi="方正黑体_GBK;微软雅黑" w:eastAsia="方正黑体_GBK;微软雅黑" w:cs="方正黑体_GBK;微软雅黑"/>
          <w:b w:val="false"/>
          <w:bCs w:val="false"/>
          <w:sz w:val="22"/>
          <w:szCs w:val="22"/>
        </w:rPr>
      </w:pPr>
      <w:r>
        <w:rPr>
          <w:rStyle w:val="Strong"/>
          <w:rFonts w:ascii="方正黑体_GBK;微软雅黑" w:hAnsi="方正黑体_GBK;微软雅黑" w:cs="方正黑体_GBK;微软雅黑" w:eastAsia="方正黑体_GBK;微软雅黑"/>
          <w:b w:val="false"/>
          <w:bCs w:val="false"/>
          <w:sz w:val="22"/>
          <w:szCs w:val="22"/>
        </w:rPr>
        <w:t xml:space="preserve">第三条  共有产权住房基本情况 </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（一）该共有产权住房的规划性质为住宅。</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eastAsia="zh-CN"/>
        </w:rPr>
        <w:t>二</w:t>
      </w:r>
      <w:r>
        <w:rPr>
          <w:rFonts w:ascii="方正书宋_GBK" w:hAnsi="方正书宋_GBK" w:cs="方正书宋_GBK" w:eastAsia="方正书宋_GBK"/>
          <w:sz w:val="22"/>
          <w:szCs w:val="22"/>
        </w:rPr>
        <w:t xml:space="preserve">）该共有产权住房为第一条规定项目中的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color w:val="000000"/>
          <w:sz w:val="22"/>
          <w:szCs w:val="22"/>
        </w:rPr>
        <w:t>【号楼】</w:t>
      </w:r>
      <w:r>
        <w:rPr>
          <w:rFonts w:ascii="方正书宋_GBK" w:hAnsi="方正书宋_GBK" w:cs="方正书宋_GBK" w:eastAsia="方正书宋_GBK"/>
          <w:sz w:val="22"/>
          <w:szCs w:val="22"/>
        </w:rPr>
        <w:t>【幢】【座】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lang w:eastAsia="zh-CN"/>
        </w:rPr>
        <w:t>单元</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层</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号。房号最终以公安部门批准的为准，房屋竣工后，如房号发生改变，不影响该共有产权住房的特定位置。该共有产权住房的平面图等见附件二。 </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kern w:val="2"/>
          <w:sz w:val="22"/>
          <w:szCs w:val="22"/>
        </w:rPr>
        <w:t>（</w:t>
      </w:r>
      <w:r>
        <w:rPr>
          <w:rFonts w:ascii="方正书宋_GBK" w:hAnsi="方正书宋_GBK" w:cs="方正书宋_GBK" w:eastAsia="方正书宋_GBK"/>
          <w:kern w:val="2"/>
          <w:sz w:val="22"/>
          <w:szCs w:val="22"/>
          <w:lang w:eastAsia="zh-CN"/>
        </w:rPr>
        <w:t>三</w:t>
      </w:r>
      <w:r>
        <w:rPr>
          <w:rFonts w:ascii="方正书宋_GBK" w:hAnsi="方正书宋_GBK" w:cs="方正书宋_GBK" w:eastAsia="方正书宋_GBK"/>
          <w:kern w:val="2"/>
          <w:sz w:val="22"/>
          <w:szCs w:val="22"/>
        </w:rPr>
        <w:t>）该共有产权住房所在建筑物的主体</w:t>
      </w:r>
      <w:r>
        <w:rPr>
          <w:rFonts w:ascii="方正书宋_GBK" w:hAnsi="方正书宋_GBK" w:cs="方正书宋_GBK" w:eastAsia="方正书宋_GBK"/>
          <w:kern w:val="2"/>
          <w:sz w:val="22"/>
          <w:szCs w:val="22"/>
          <w:lang w:eastAsia="zh-CN"/>
        </w:rPr>
        <w:t>结构</w:t>
      </w:r>
      <w:r>
        <w:rPr>
          <w:rFonts w:ascii="方正书宋_GBK" w:hAnsi="方正书宋_GBK" w:cs="方正书宋_GBK" w:eastAsia="方正书宋_GBK"/>
          <w:kern w:val="2"/>
          <w:sz w:val="22"/>
          <w:szCs w:val="22"/>
        </w:rPr>
        <w:t>为</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u w:val="single"/>
          <w:lang w:val="en-US" w:eastAsia="zh-CN"/>
        </w:rPr>
        <w:t xml:space="preserve">                </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2"/>
          <w:sz w:val="22"/>
          <w:szCs w:val="22"/>
        </w:rPr>
        <w:t>，建筑总层数为</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2"/>
          <w:sz w:val="22"/>
          <w:szCs w:val="22"/>
          <w:u w:val="none"/>
        </w:rPr>
        <w:t xml:space="preserve"> </w:t>
      </w:r>
      <w:r>
        <w:rPr>
          <w:rFonts w:ascii="方正书宋_GBK" w:hAnsi="方正书宋_GBK" w:cs="方正书宋_GBK" w:eastAsia="方正书宋_GBK"/>
          <w:kern w:val="2"/>
          <w:sz w:val="22"/>
          <w:szCs w:val="22"/>
        </w:rPr>
        <w:t>层，其中地上</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2"/>
          <w:sz w:val="22"/>
          <w:szCs w:val="22"/>
        </w:rPr>
        <w:t>层，地下</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2"/>
          <w:sz w:val="22"/>
          <w:szCs w:val="22"/>
        </w:rPr>
        <w:t>层，【是】【否】采用装配式建筑，</w:t>
      </w:r>
      <w:r>
        <w:rPr>
          <w:rFonts w:ascii="方正书宋_GBK" w:hAnsi="方正书宋_GBK" w:cs="方正书宋_GBK" w:eastAsia="方正书宋_GBK"/>
          <w:kern w:val="2"/>
          <w:sz w:val="22"/>
          <w:szCs w:val="22"/>
          <w:lang w:val="en-US" w:eastAsia="zh-CN"/>
        </w:rPr>
        <w:t>执行文件和执行标准：</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kern w:val="2"/>
          <w:sz w:val="22"/>
          <w:szCs w:val="22"/>
          <w:u w:val="none"/>
          <w:lang w:val="en-US" w:eastAsia="zh-CN"/>
        </w:rPr>
        <w:t xml:space="preserve"> </w:t>
      </w:r>
      <w:r>
        <w:rPr>
          <w:rFonts w:ascii="方正书宋_GBK" w:hAnsi="方正书宋_GBK" w:cs="方正书宋_GBK" w:eastAsia="方正书宋_GBK"/>
          <w:sz w:val="22"/>
          <w:szCs w:val="22"/>
          <w:lang w:val="en-US" w:eastAsia="zh-CN"/>
        </w:rPr>
        <w:t xml:space="preserve">   </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kern w:val="2"/>
          <w:sz w:val="22"/>
          <w:szCs w:val="22"/>
        </w:rPr>
        <w:t>（四）甲方</w:t>
      </w:r>
      <w:r>
        <w:rPr>
          <w:rFonts w:ascii="方正书宋_GBK" w:hAnsi="方正书宋_GBK" w:cs="方正书宋_GBK" w:eastAsia="方正书宋_GBK"/>
          <w:sz w:val="22"/>
          <w:szCs w:val="22"/>
        </w:rPr>
        <w:t>委托预测该共有产权住房面积的房产测绘机构为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，其预测建筑面积共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平方米，其中套内建筑面积</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平方米，分摊共</w:t>
      </w:r>
      <w:r>
        <w:rPr>
          <w:rFonts w:ascii="方正书宋_GBK" w:hAnsi="方正书宋_GBK" w:cs="方正书宋_GBK" w:eastAsia="方正书宋_GBK"/>
          <w:sz w:val="22"/>
          <w:szCs w:val="22"/>
          <w:lang w:eastAsia="zh-CN"/>
        </w:rPr>
        <w:t>用</w:t>
      </w:r>
      <w:r>
        <w:rPr>
          <w:rFonts w:ascii="方正书宋_GBK" w:hAnsi="方正书宋_GBK" w:cs="方正书宋_GBK" w:eastAsia="方正书宋_GBK"/>
          <w:sz w:val="22"/>
          <w:szCs w:val="22"/>
        </w:rPr>
        <w:t>建筑面积</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平方米。与该共有产权住房有关的共用建筑面积分摊情况见附件三。</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该共有产权住房共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层，为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层到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层。其中，</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层【层高】【净高】为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米，有</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个阳台，其中</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个阳台为封闭式，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个阳台为非封闭式（以规划设计文件为准）。【坡屋顶净高】最低为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米，最高为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米。</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（五）签订本合同时该共有产权住房所在楼栋的建设工程进度状况为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Style19"/>
        <w:keepNext w:val="false"/>
        <w:keepLines w:val="false"/>
        <w:pageBreakBefore w:val="false"/>
        <w:widowControl/>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（如：正负零、地下一层、地上五层、结构封顶）</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Style w:val="Strong"/>
          <w:rFonts w:ascii="方正黑体_GBK;微软雅黑" w:hAnsi="方正黑体_GBK;微软雅黑" w:eastAsia="方正黑体_GBK;微软雅黑" w:cs="方正黑体_GBK;微软雅黑"/>
          <w:b w:val="false"/>
          <w:bCs w:val="false"/>
          <w:sz w:val="22"/>
          <w:szCs w:val="22"/>
        </w:rPr>
      </w:pPr>
      <w:r>
        <w:rPr>
          <w:rStyle w:val="Strong"/>
          <w:rFonts w:ascii="方正黑体_GBK;微软雅黑" w:hAnsi="方正黑体_GBK;微软雅黑" w:cs="方正黑体_GBK;微软雅黑" w:eastAsia="方正黑体_GBK;微软雅黑"/>
          <w:b w:val="false"/>
          <w:bCs w:val="false"/>
          <w:sz w:val="22"/>
          <w:szCs w:val="22"/>
        </w:rPr>
        <w:t xml:space="preserve">第四条  抵押情况 </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与该共有产权住房有关的抵押情况为 【已抵押】【未抵押】。</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lang w:eastAsia="zh-CN"/>
        </w:rPr>
      </w:pPr>
      <w:r>
        <w:rPr>
          <w:rFonts w:ascii="方正书宋_GBK" w:hAnsi="方正书宋_GBK" w:cs="方正书宋_GBK" w:eastAsia="方正书宋_GBK"/>
          <w:sz w:val="22"/>
          <w:szCs w:val="22"/>
        </w:rPr>
        <w:t>抵押类型</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【该共有产权住房所占用的土地使用权设定抵押】【该共有产权住房在建工程设定抵押】</w:t>
      </w:r>
      <w:r>
        <w:rPr>
          <w:rFonts w:ascii="方正书宋_GBK" w:hAnsi="方正书宋_GBK" w:cs="方正书宋_GBK" w:eastAsia="方正书宋_GBK"/>
          <w:sz w:val="22"/>
          <w:szCs w:val="22"/>
          <w:lang w:eastAsia="zh-CN"/>
        </w:rPr>
        <w:t>。</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抵押人：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，抵押权人：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抵押登记机构：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，抵押登记日期：</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债务履行期限：</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抵押权人同意该共有产权住房预售的证明及关于抵押的相关约定见附件四。</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Style w:val="Strong"/>
          <w:rFonts w:ascii="方正黑体_GBK;微软雅黑" w:hAnsi="方正黑体_GBK;微软雅黑" w:eastAsia="方正黑体_GBK;微软雅黑" w:cs="方正黑体_GBK;微软雅黑"/>
          <w:b w:val="false"/>
          <w:bCs w:val="false"/>
          <w:sz w:val="22"/>
          <w:szCs w:val="22"/>
        </w:rPr>
      </w:pPr>
      <w:r>
        <w:rPr>
          <w:rStyle w:val="Strong"/>
          <w:rFonts w:ascii="方正黑体_GBK;微软雅黑" w:hAnsi="方正黑体_GBK;微软雅黑" w:cs="方正黑体_GBK;微软雅黑" w:eastAsia="方正黑体_GBK;微软雅黑"/>
          <w:b w:val="false"/>
          <w:bCs w:val="false"/>
          <w:sz w:val="22"/>
          <w:szCs w:val="22"/>
        </w:rPr>
        <w:t>第五条  房屋权利状况承诺</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（一）甲方对该共有产权住房享有合法权利。</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（二）该共有产权住房未出售并保证不出售给除本合同乙方和丙方以外的其他人。</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（三）该共有产权住房无司法查封或其他限制转让的情况。</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如该共有产权住房权利状况与上述承诺不符，导致不能完成本合同网签备案或不动产转移登记的，乙方、丙方有权解除合同。乙方、丙方解除合同的，应当书面通知甲方。甲方应当自解除合同通知送达之日起</w:t>
      </w:r>
      <w:r>
        <w:rPr>
          <w:rFonts w:eastAsia="方正书宋_GBK" w:cs="方正书宋_GBK" w:ascii="方正书宋_GBK" w:hAnsi="方正书宋_GBK"/>
          <w:sz w:val="22"/>
          <w:szCs w:val="22"/>
          <w:lang w:val="en-US" w:eastAsia="zh-CN"/>
        </w:rPr>
        <w:t>15</w:t>
      </w:r>
      <w:r>
        <w:rPr>
          <w:rFonts w:ascii="方正书宋_GBK" w:hAnsi="方正书宋_GBK" w:cs="方正书宋_GBK" w:eastAsia="方正书宋_GBK"/>
          <w:sz w:val="22"/>
          <w:szCs w:val="22"/>
        </w:rPr>
        <w:t>日内退还乙方已付全部房价款（含已付贷款部分），并自乙方付款之日起，按照</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（不低于</w:t>
      </w:r>
      <w:r>
        <w:rPr>
          <w:rFonts w:ascii="方正书宋_GBK" w:hAnsi="方正书宋_GBK" w:cs="方正书宋_GBK" w:eastAsia="方正书宋_GBK"/>
          <w:sz w:val="22"/>
          <w:szCs w:val="22"/>
          <w:u w:val="none"/>
        </w:rPr>
        <w:t>同期全国银行间同业拆借中心公布的一年期贷款市场报价利率）</w:t>
      </w:r>
      <w:r>
        <w:rPr>
          <w:rFonts w:ascii="方正书宋_GBK" w:hAnsi="方正书宋_GBK" w:cs="方正书宋_GBK" w:eastAsia="方正书宋_GBK"/>
          <w:sz w:val="22"/>
          <w:szCs w:val="22"/>
        </w:rPr>
        <w:t>计算给付利息。给乙方造成损失的，甲方还应当承担赔偿责任，赔偿金额为【已付房价款一倍】【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largefont"/>
        <w:keepNext w:val="false"/>
        <w:keepLines w:val="false"/>
        <w:pageBreakBefore w:val="false"/>
        <w:kinsoku w:val="true"/>
        <w:overflowPunct w:val="true"/>
        <w:bidi w:val="0"/>
        <w:spacing w:lineRule="exact" w:line="420" w:before="0" w:after="0"/>
        <w:ind w:end="0"/>
        <w:rPr>
          <w:rFonts w:ascii="宋体" w:hAnsi="宋体" w:eastAsia="宋体" w:cs="宋体"/>
          <w:sz w:val="22"/>
          <w:szCs w:val="22"/>
        </w:rPr>
      </w:pPr>
      <w:r>
        <w:rPr>
          <w:rFonts w:eastAsia="宋体" w:cs="宋体"/>
          <w:sz w:val="22"/>
          <w:szCs w:val="22"/>
        </w:rPr>
      </w:r>
    </w:p>
    <w:p>
      <w:pPr>
        <w:pStyle w:val="largefont"/>
        <w:keepNext w:val="false"/>
        <w:keepLines w:val="false"/>
        <w:pageBreakBefore w:val="false"/>
        <w:widowControl/>
        <w:kinsoku w:val="true"/>
        <w:overflowPunct w:val="true"/>
        <w:autoSpaceDE w:val="true"/>
        <w:bidi w:val="0"/>
        <w:snapToGrid w:val="true"/>
        <w:spacing w:lineRule="exact" w:line="420" w:before="0" w:after="0"/>
        <w:ind w:hanging="0" w:end="0"/>
        <w:jc w:val="center"/>
        <w:textAlignment w:val="auto"/>
        <w:rPr>
          <w:rStyle w:val="Strong"/>
          <w:rFonts w:ascii="方正黑体_GBK;微软雅黑" w:hAnsi="方正黑体_GBK;微软雅黑" w:eastAsia="方正黑体_GBK;微软雅黑" w:cs="方正黑体_GBK;微软雅黑"/>
          <w:b w:val="false"/>
          <w:bCs w:val="false"/>
          <w:sz w:val="28"/>
          <w:szCs w:val="28"/>
        </w:rPr>
      </w:pPr>
      <w:r>
        <w:rPr>
          <w:rStyle w:val="Strong"/>
          <w:rFonts w:ascii="方正黑体_GBK;微软雅黑" w:hAnsi="方正黑体_GBK;微软雅黑" w:cs="方正黑体_GBK;微软雅黑" w:eastAsia="方正黑体_GBK;微软雅黑"/>
          <w:b w:val="false"/>
          <w:bCs w:val="false"/>
          <w:sz w:val="28"/>
          <w:szCs w:val="28"/>
        </w:rPr>
        <w:t>第三章  共有产权住房价款</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rPr>
          <w:rStyle w:val="Strong"/>
          <w:rFonts w:ascii="方正黑体_GBK;微软雅黑" w:hAnsi="方正黑体_GBK;微软雅黑" w:eastAsia="方正黑体_GBK;微软雅黑" w:cs="方正黑体_GBK;微软雅黑"/>
          <w:b w:val="false"/>
          <w:bCs w:val="false"/>
          <w:sz w:val="22"/>
          <w:szCs w:val="22"/>
        </w:rPr>
      </w:pPr>
      <w:r>
        <w:rPr>
          <w:rStyle w:val="Strong"/>
          <w:rFonts w:ascii="方正黑体_GBK;微软雅黑" w:hAnsi="方正黑体_GBK;微软雅黑" w:cs="方正黑体_GBK;微软雅黑" w:eastAsia="方正黑体_GBK;微软雅黑"/>
          <w:b w:val="false"/>
          <w:bCs w:val="false"/>
          <w:sz w:val="22"/>
          <w:szCs w:val="22"/>
        </w:rPr>
        <w:t>第六条  计价方式和价款</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根据《北京市城市房地产转让管理办法》及《北京市共有产权住房管理暂行办法》《关于实施保障性住房全装修成品交房的若干规定》，该共有产权住房单价每平方米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元（按照套内建筑面积计算</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w:t>
      </w:r>
      <w:r>
        <w:rPr>
          <w:rFonts w:ascii="方正书宋_GBK" w:hAnsi="方正书宋_GBK" w:cs="方正书宋_GBK" w:eastAsia="方正书宋_GBK"/>
          <w:kern w:val="0"/>
          <w:sz w:val="22"/>
          <w:szCs w:val="22"/>
        </w:rPr>
        <w:t>含全装修价款</w:t>
      </w:r>
      <w:r>
        <w:rPr>
          <w:rFonts w:ascii="方正书宋_GBK" w:hAnsi="方正书宋_GBK" w:cs="方正书宋_GBK" w:eastAsia="方正书宋_GBK"/>
          <w:sz w:val="22"/>
          <w:szCs w:val="22"/>
        </w:rPr>
        <w:t>】，总价款为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仟</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元整）（物业费及有关税费不计入总价款）。</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rPr>
          <w:rFonts w:ascii="方正书宋_GBK" w:hAnsi="方正书宋_GBK" w:eastAsia="方正书宋_GBK" w:cs="方正书宋_GBK"/>
          <w:kern w:val="0"/>
          <w:sz w:val="22"/>
          <w:szCs w:val="22"/>
          <w:lang w:eastAsia="zh-CN"/>
        </w:rPr>
      </w:pPr>
      <w:r>
        <w:rPr>
          <w:rFonts w:ascii="方正书宋_GBK" w:hAnsi="方正书宋_GBK" w:cs="方正书宋_GBK" w:eastAsia="方正书宋_GBK"/>
          <w:kern w:val="0"/>
          <w:sz w:val="22"/>
          <w:szCs w:val="22"/>
        </w:rPr>
        <w:t>按照共有产权住房项目土地供应文件，该项目销售均价为</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元</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平方米（按照建筑面积计</w:t>
      </w:r>
      <w:r>
        <w:rPr>
          <w:rFonts w:ascii="方正书宋_GBK" w:hAnsi="方正书宋_GBK" w:cs="方正书宋_GBK" w:eastAsia="方正书宋_GBK"/>
          <w:kern w:val="0"/>
          <w:sz w:val="22"/>
          <w:szCs w:val="22"/>
          <w:lang w:eastAsia="zh-CN"/>
        </w:rPr>
        <w:t>算</w:t>
      </w:r>
      <w:r>
        <w:rPr>
          <w:rFonts w:ascii="方正书宋_GBK" w:hAnsi="方正书宋_GBK" w:cs="方正书宋_GBK" w:eastAsia="方正书宋_GBK"/>
          <w:kern w:val="0"/>
          <w:sz w:val="22"/>
          <w:szCs w:val="22"/>
        </w:rPr>
        <w:t>）</w:t>
      </w:r>
      <w:r>
        <w:rPr>
          <w:rFonts w:ascii="方正书宋_GBK" w:hAnsi="方正书宋_GBK" w:cs="方正书宋_GBK" w:eastAsia="方正书宋_GBK"/>
          <w:sz w:val="22"/>
          <w:szCs w:val="22"/>
        </w:rPr>
        <w:t>【</w:t>
      </w:r>
      <w:r>
        <w:rPr>
          <w:rFonts w:ascii="方正书宋_GBK" w:hAnsi="方正书宋_GBK" w:cs="方正书宋_GBK" w:eastAsia="方正书宋_GBK"/>
          <w:kern w:val="0"/>
          <w:sz w:val="22"/>
          <w:szCs w:val="22"/>
        </w:rPr>
        <w:t>含全装修价款</w:t>
      </w:r>
      <w:r>
        <w:rPr>
          <w:rFonts w:ascii="方正书宋_GBK" w:hAnsi="方正书宋_GBK" w:cs="方正书宋_GBK" w:eastAsia="方正书宋_GBK"/>
          <w:sz w:val="22"/>
          <w:szCs w:val="22"/>
        </w:rPr>
        <w:t>】</w:t>
      </w:r>
      <w:r>
        <w:rPr>
          <w:rFonts w:ascii="方正书宋_GBK" w:hAnsi="方正书宋_GBK" w:cs="方正书宋_GBK" w:eastAsia="方正书宋_GBK"/>
          <w:kern w:val="0"/>
          <w:sz w:val="22"/>
          <w:szCs w:val="22"/>
          <w:lang w:eastAsia="zh-CN"/>
        </w:rPr>
        <w:t>，</w:t>
      </w:r>
      <w:r>
        <w:rPr>
          <w:rFonts w:ascii="方正书宋_GBK" w:hAnsi="方正书宋_GBK" w:cs="方正书宋_GBK" w:eastAsia="方正书宋_GBK"/>
          <w:color w:val="000000"/>
          <w:sz w:val="22"/>
          <w:szCs w:val="22"/>
        </w:rPr>
        <w:t>总价款为</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rPr>
        <w:t>（币种）</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元（大写</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rPr>
        <w:t>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color w:val="000000"/>
          <w:sz w:val="22"/>
          <w:szCs w:val="22"/>
        </w:rPr>
        <w:t>拾</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万</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仟</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佰</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拾</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元整）</w:t>
      </w:r>
      <w:r>
        <w:rPr>
          <w:rFonts w:ascii="方正书宋_GBK" w:hAnsi="方正书宋_GBK" w:cs="方正书宋_GBK" w:eastAsia="方正书宋_GBK"/>
          <w:sz w:val="22"/>
          <w:szCs w:val="22"/>
        </w:rPr>
        <w:t>（物业费及有关税费不计入总价款）。</w:t>
      </w:r>
    </w:p>
    <w:p>
      <w:pPr>
        <w:pStyle w:val="Normal"/>
        <w:keepNext w:val="false"/>
        <w:keepLines w:val="false"/>
        <w:pageBreakBefore w:val="false"/>
        <w:kinsoku w:val="true"/>
        <w:overflowPunct w:val="true"/>
        <w:autoSpaceDE w:val="true"/>
        <w:bidi w:val="0"/>
        <w:snapToGrid w:val="true"/>
        <w:spacing w:lineRule="exact" w:line="420"/>
        <w:ind w:firstLine="440" w:end="0"/>
        <w:textAlignment w:val="baseline"/>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乙方、丙方确认，根据丙方委托的专业机构评估结果，经相关主管部门审核确定，乙方占有房屋产权比例为</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，丙方占有房屋产权比例为</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u w:val="none"/>
        </w:rPr>
        <w:t>。</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rPr>
          <w:rStyle w:val="Strong"/>
          <w:rFonts w:ascii="方正黑体_GBK;微软雅黑" w:hAnsi="方正黑体_GBK;微软雅黑" w:eastAsia="方正黑体_GBK;微软雅黑" w:cs="方正黑体_GBK;微软雅黑"/>
          <w:b w:val="false"/>
          <w:bCs w:val="false"/>
          <w:sz w:val="22"/>
          <w:szCs w:val="22"/>
        </w:rPr>
      </w:pPr>
      <w:r>
        <w:rPr>
          <w:rStyle w:val="Strong"/>
          <w:rFonts w:ascii="方正黑体_GBK;微软雅黑" w:hAnsi="方正黑体_GBK;微软雅黑" w:cs="方正黑体_GBK;微软雅黑" w:eastAsia="方正黑体_GBK;微软雅黑"/>
          <w:b w:val="false"/>
          <w:bCs w:val="false"/>
          <w:sz w:val="22"/>
          <w:szCs w:val="22"/>
        </w:rPr>
        <w:t>第七条  付款方式和期限</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（一）签订本合同前，乙方已向甲方支付定金</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sz w:val="22"/>
          <w:szCs w:val="22"/>
        </w:rPr>
        <w:t>佰</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sz w:val="22"/>
          <w:szCs w:val="22"/>
        </w:rPr>
        <w:t>拾</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sz w:val="22"/>
          <w:szCs w:val="22"/>
        </w:rPr>
        <w:t>万</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sz w:val="22"/>
          <w:szCs w:val="22"/>
        </w:rPr>
        <w:t>仟</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sz w:val="22"/>
          <w:szCs w:val="22"/>
        </w:rPr>
        <w:t>佰</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sz w:val="22"/>
          <w:szCs w:val="22"/>
        </w:rPr>
        <w:t>拾</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sz w:val="22"/>
          <w:szCs w:val="22"/>
        </w:rPr>
        <w:t>元整），该定金于【本合同签订】【交付首期房价款】【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】时【抵作】【</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】共有产权住房价款。</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（二）乙方付款方式为【一次性付款】【分期付款】【贷款方式付款】【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一次性付款。乙方应当于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日前支付该共有产权住房全部价款。</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分期付款。</w:t>
      </w:r>
      <w:r>
        <w:rPr>
          <w:rFonts w:ascii="方正书宋_GBK" w:hAnsi="方正书宋_GBK" w:cs="方正书宋_GBK" w:eastAsia="方正书宋_GBK"/>
          <w:kern w:val="0"/>
          <w:sz w:val="22"/>
          <w:szCs w:val="22"/>
        </w:rPr>
        <w:t>乙方应当于</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年</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月</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日前分</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期支付该共有产权住房全部价款，首期房价款</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（币种）</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元（大写</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 xml:space="preserve"> 佰</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拾</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万</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仟</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佰</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拾</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元整），应当于</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年</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月</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日前支付。</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贷款方式付款：【公积金贷款】【商业贷款】【组合贷】【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乙方应当于</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年</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月</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日前支付首期房价款</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u w:val="single"/>
          <w:lang w:val="en-US" w:eastAsia="zh-CN"/>
        </w:rPr>
        <w:t xml:space="preserve">   </w:t>
      </w:r>
      <w:r>
        <w:rPr>
          <w:rFonts w:ascii="方正书宋_GBK" w:hAnsi="方正书宋_GBK" w:cs="方正书宋_GBK" w:eastAsia="方正书宋_GBK"/>
          <w:kern w:val="0"/>
          <w:sz w:val="22"/>
          <w:szCs w:val="22"/>
        </w:rPr>
        <w:t>（币种）</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u w:val="single"/>
          <w:lang w:val="en-US" w:eastAsia="zh-CN"/>
        </w:rPr>
        <w:t xml:space="preserve">  </w:t>
      </w:r>
      <w:r>
        <w:rPr>
          <w:rFonts w:ascii="方正书宋_GBK" w:hAnsi="方正书宋_GBK" w:cs="方正书宋_GBK" w:eastAsia="方正书宋_GBK"/>
          <w:kern w:val="0"/>
          <w:sz w:val="22"/>
          <w:szCs w:val="22"/>
        </w:rPr>
        <w:t>元（大写</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佰</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拾</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万</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仟</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佰</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拾</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元整），占全部房价</w:t>
      </w:r>
      <w:r>
        <w:rPr>
          <w:rFonts w:ascii="方正书宋_GBK" w:hAnsi="方正书宋_GBK" w:cs="方正书宋_GBK" w:eastAsia="方正书宋_GBK"/>
          <w:kern w:val="0"/>
          <w:sz w:val="22"/>
          <w:szCs w:val="22"/>
          <w:lang w:eastAsia="zh-CN"/>
        </w:rPr>
        <w:t>款</w:t>
      </w:r>
      <w:r>
        <w:rPr>
          <w:rFonts w:ascii="方正书宋_GBK" w:hAnsi="方正书宋_GBK" w:cs="方正书宋_GBK" w:eastAsia="方正书宋_GBK"/>
          <w:kern w:val="0"/>
          <w:sz w:val="22"/>
          <w:szCs w:val="22"/>
        </w:rPr>
        <w:t>的</w:t>
      </w:r>
      <w:r>
        <w:rPr>
          <w:rFonts w:ascii="方正书宋_GBK" w:hAnsi="方正书宋_GBK" w:cs="方正书宋_GBK" w:eastAsia="方正书宋_GBK"/>
          <w:kern w:val="0"/>
          <w:sz w:val="22"/>
          <w:szCs w:val="22"/>
          <w:u w:val="single"/>
        </w:rPr>
        <w:t xml:space="preserve">     </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余款</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（币种）</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元（大写</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 xml:space="preserve">佰 </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拾</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万</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仟</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佰</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拾</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元整）向【住房公积金管理机构委托的商业银行】【</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kern w:val="0"/>
          <w:sz w:val="22"/>
          <w:szCs w:val="22"/>
        </w:rPr>
        <w:t>】申请贷款支付。</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乙方采取贷款方式支付房价款的，在向商业银行、住房公积金管理部门申请贷款时，应按照国家及本市金融信贷管理相关规定，依法履行相关程序、提交相关材料。</w:t>
      </w:r>
    </w:p>
    <w:p>
      <w:pPr>
        <w:pStyle w:val="largefont"/>
        <w:keepNext w:val="false"/>
        <w:keepLines w:val="false"/>
        <w:pageBreakBefore w:val="false"/>
        <w:numPr>
          <w:ilvl w:val="0"/>
          <w:numId w:val="0"/>
        </w:numPr>
        <w:kinsoku w:val="true"/>
        <w:overflowPunct w:val="true"/>
        <w:autoSpaceDE w:val="true"/>
        <w:bidi w:val="0"/>
        <w:snapToGrid w:val="true"/>
        <w:spacing w:lineRule="exact" w:line="420" w:before="0" w:after="0"/>
        <w:ind w:firstLine="440" w:start="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lang w:val="en-US" w:eastAsia="zh-CN"/>
        </w:rPr>
        <w:t>4.</w:t>
      </w:r>
      <w:r>
        <w:rPr>
          <w:rFonts w:ascii="方正书宋_GBK" w:hAnsi="方正书宋_GBK" w:cs="方正书宋_GBK" w:eastAsia="方正书宋_GBK"/>
          <w:sz w:val="22"/>
          <w:szCs w:val="22"/>
        </w:rPr>
        <w:t>其他方式：</w:t>
      </w:r>
    </w:p>
    <w:p>
      <w:pPr>
        <w:pStyle w:val="Normal"/>
        <w:keepNext w:val="false"/>
        <w:keepLines w:val="false"/>
        <w:pageBreakBefore w:val="false"/>
        <w:numPr>
          <w:ilvl w:val="0"/>
          <w:numId w:val="0"/>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sz w:val="22"/>
          <w:szCs w:val="22"/>
          <w:u w:val="single"/>
          <w:lang w:val="en-US" w:eastAsia="zh-CN"/>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（三）出售该共有产权住房的全部房价款应当存入预售资金监管专用账户，依据法律法规规定优先用于本工程建设。</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该共有产权住房的预售资金监管银行为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，专用账户名称为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，专用账户账号为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Style19"/>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共有产权住房预售时，乙方应当将购房价款直接存入专用账户。乙方申请抵押贷款的，甲方应当提供专用账户作为贷款到账账户。</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rPr>
          <w:rStyle w:val="Strong"/>
          <w:rFonts w:ascii="方正黑体_GBK;微软雅黑" w:hAnsi="方正黑体_GBK;微软雅黑" w:eastAsia="方正黑体_GBK;微软雅黑" w:cs="方正黑体_GBK;微软雅黑"/>
          <w:b w:val="false"/>
          <w:bCs w:val="false"/>
          <w:sz w:val="22"/>
          <w:szCs w:val="22"/>
        </w:rPr>
      </w:pPr>
      <w:r>
        <w:rPr>
          <w:rStyle w:val="Strong"/>
          <w:rFonts w:ascii="方正黑体_GBK;微软雅黑" w:hAnsi="方正黑体_GBK;微软雅黑" w:cs="方正黑体_GBK;微软雅黑" w:eastAsia="方正黑体_GBK;微软雅黑"/>
          <w:b w:val="false"/>
          <w:bCs w:val="false"/>
          <w:sz w:val="22"/>
          <w:szCs w:val="22"/>
        </w:rPr>
        <w:t xml:space="preserve">第八条  逾期付款责任 </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除不可抗力外，乙方未按照约定时间付款的，双方同意按照下列第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种方式处理： </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lang w:eastAsia="zh-CN"/>
        </w:rPr>
      </w:pPr>
      <w:r>
        <w:rPr>
          <w:rFonts w:ascii="方正书宋_GBK" w:hAnsi="方正书宋_GBK" w:cs="方正书宋_GBK" w:eastAsia="方正书宋_GBK"/>
          <w:sz w:val="22"/>
          <w:szCs w:val="22"/>
        </w:rPr>
        <w:t>（一）按照逾期时间，分别处理（</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和</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不作累加）</w:t>
      </w:r>
      <w:r>
        <w:rPr>
          <w:rFonts w:ascii="方正书宋_GBK" w:hAnsi="方正书宋_GBK" w:cs="方正书宋_GBK" w:eastAsia="方正书宋_GBK"/>
          <w:sz w:val="22"/>
          <w:szCs w:val="22"/>
          <w:lang w:eastAsia="zh-CN"/>
        </w:rPr>
        <w:t>：</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逾期在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日之内，乙方按日向甲方支付逾期应付款万分之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的违约金。</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逾期超过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日（该期限应当与本条第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项中的期限相同），甲方有权解除合同。甲方解除合同的，应当书面通知乙方</w:t>
      </w:r>
      <w:r>
        <w:rPr>
          <w:rFonts w:ascii="方正书宋_GBK" w:hAnsi="方正书宋_GBK" w:cs="方正书宋_GBK" w:eastAsia="方正书宋_GBK"/>
          <w:sz w:val="22"/>
          <w:szCs w:val="22"/>
          <w:lang w:eastAsia="zh-CN"/>
        </w:rPr>
        <w:t>、丙方</w:t>
      </w:r>
      <w:r>
        <w:rPr>
          <w:rFonts w:ascii="方正书宋_GBK" w:hAnsi="方正书宋_GBK" w:cs="方正书宋_GBK" w:eastAsia="方正书宋_GBK"/>
          <w:sz w:val="22"/>
          <w:szCs w:val="22"/>
        </w:rPr>
        <w:t>。乙方应当自解除合同通知送达之日起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日内按照累计应付款的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向甲方支付违约金，同时，甲方退还乙方已付全部房价款（含已付贷款部分）。</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甲方不解除合同的，乙方按日</w:t>
      </w:r>
      <w:r>
        <w:rPr>
          <w:rFonts w:ascii="方正书宋_GBK" w:hAnsi="方正书宋_GBK" w:cs="方正书宋_GBK" w:eastAsia="方正书宋_GBK"/>
          <w:sz w:val="22"/>
          <w:szCs w:val="22"/>
          <w:lang w:eastAsia="zh-CN"/>
        </w:rPr>
        <w:t>计算</w:t>
      </w:r>
      <w:r>
        <w:rPr>
          <w:rFonts w:ascii="方正书宋_GBK" w:hAnsi="方正书宋_GBK" w:cs="方正书宋_GBK" w:eastAsia="方正书宋_GBK"/>
          <w:sz w:val="22"/>
          <w:szCs w:val="22"/>
        </w:rPr>
        <w:t>向甲方支付逾期应付款万分之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（该比率不低于第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项中的比率）的违约金。</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本条所称逾期应付款是指依照第七条约定的到期应付款与该期实际已付款的差额；采取分期付款的，按照相应的分期应付款与该期的实际已付款的差额确定。</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 </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非因乙方原因导致乙方贷款逾期支付的，甲方不得追究乙方的违约责任。</w:t>
      </w:r>
    </w:p>
    <w:p>
      <w:pPr>
        <w:pStyle w:val="Style19"/>
        <w:keepNext w:val="false"/>
        <w:keepLines w:val="false"/>
        <w:pageBreakBefore w:val="false"/>
        <w:kinsoku w:val="true"/>
        <w:overflowPunct w:val="true"/>
        <w:bidi w:val="0"/>
        <w:spacing w:lineRule="exact" w:line="420" w:before="0" w:after="0"/>
        <w:ind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largefont"/>
        <w:keepNext w:val="false"/>
        <w:keepLines w:val="false"/>
        <w:pageBreakBefore w:val="false"/>
        <w:widowControl/>
        <w:kinsoku w:val="true"/>
        <w:overflowPunct w:val="true"/>
        <w:autoSpaceDE w:val="true"/>
        <w:bidi w:val="0"/>
        <w:snapToGrid w:val="true"/>
        <w:spacing w:lineRule="exact" w:line="420" w:before="0" w:after="0"/>
        <w:ind w:hanging="0" w:end="0"/>
        <w:jc w:val="center"/>
        <w:textAlignment w:val="auto"/>
        <w:rPr>
          <w:rStyle w:val="Strong"/>
          <w:rFonts w:ascii="方正黑体_GBK;微软雅黑" w:hAnsi="方正黑体_GBK;微软雅黑" w:eastAsia="方正黑体_GBK;微软雅黑" w:cs="方正黑体_GBK;微软雅黑"/>
          <w:b w:val="false"/>
          <w:bCs w:val="false"/>
          <w:sz w:val="28"/>
          <w:szCs w:val="28"/>
        </w:rPr>
      </w:pPr>
      <w:r>
        <w:rPr>
          <w:rStyle w:val="Strong"/>
          <w:rFonts w:ascii="方正黑体_GBK;微软雅黑" w:hAnsi="方正黑体_GBK;微软雅黑" w:cs="方正黑体_GBK;微软雅黑" w:eastAsia="方正黑体_GBK;微软雅黑"/>
          <w:b w:val="false"/>
          <w:bCs w:val="false"/>
          <w:sz w:val="28"/>
          <w:szCs w:val="28"/>
        </w:rPr>
        <w:t>第四章  共有产权住房交付条件和交付手续</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jc w:val="both"/>
        <w:textAlignment w:val="auto"/>
        <w:rPr>
          <w:rStyle w:val="Strong"/>
          <w:rFonts w:ascii="方正黑体_GBK;微软雅黑" w:hAnsi="方正黑体_GBK;微软雅黑" w:eastAsia="方正黑体_GBK;微软雅黑" w:cs="方正黑体_GBK;微软雅黑"/>
          <w:b w:val="false"/>
          <w:bCs w:val="false"/>
          <w:sz w:val="22"/>
          <w:szCs w:val="22"/>
        </w:rPr>
      </w:pPr>
      <w:r>
        <w:rPr>
          <w:rStyle w:val="Strong"/>
          <w:rFonts w:ascii="方正黑体_GBK;微软雅黑" w:hAnsi="方正黑体_GBK;微软雅黑" w:cs="方正黑体_GBK;微软雅黑" w:eastAsia="方正黑体_GBK;微软雅黑"/>
          <w:b w:val="false"/>
          <w:bCs w:val="false"/>
          <w:sz w:val="22"/>
          <w:szCs w:val="22"/>
        </w:rPr>
        <w:t>第九条  共有产权住房交付条件</w:t>
      </w:r>
    </w:p>
    <w:p>
      <w:pPr>
        <w:pStyle w:val="Normal"/>
        <w:keepNext w:val="false"/>
        <w:keepLines w:val="false"/>
        <w:pageBreakBefore w:val="false"/>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该项目不采用联合验收的，该共有产权住房交付时应当符合下列第</w:t>
      </w:r>
      <w:r>
        <w:rPr>
          <w:rFonts w:ascii="方正书宋_GBK" w:hAnsi="方正书宋_GBK" w:cs="方正书宋_GBK" w:eastAsia="方正书宋_GBK"/>
          <w:sz w:val="22"/>
          <w:szCs w:val="22"/>
          <w:lang w:eastAsia="zh-CN"/>
        </w:rPr>
        <w:t>（一）</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eastAsia="zh-CN"/>
        </w:rPr>
        <w:t>（二）</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eastAsia="zh-CN"/>
        </w:rPr>
        <w:t>（三）、（四）</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项所列条件；该项目采用联合验收的，</w:t>
      </w:r>
      <w:r>
        <w:rPr>
          <w:rFonts w:ascii="方正书宋_GBK" w:hAnsi="方正书宋_GBK" w:cs="方正书宋_GBK" w:eastAsia="方正书宋_GBK"/>
          <w:sz w:val="22"/>
          <w:szCs w:val="22"/>
          <w:lang w:eastAsia="zh-CN"/>
        </w:rPr>
        <w:t>房屋</w:t>
      </w:r>
      <w:r>
        <w:rPr>
          <w:rFonts w:ascii="方正书宋_GBK" w:hAnsi="方正书宋_GBK" w:cs="方正书宋_GBK" w:eastAsia="方正书宋_GBK"/>
          <w:sz w:val="22"/>
          <w:szCs w:val="22"/>
        </w:rPr>
        <w:t>交付时应符合下列第</w:t>
      </w:r>
      <w:r>
        <w:rPr>
          <w:rFonts w:ascii="方正书宋_GBK" w:hAnsi="方正书宋_GBK" w:cs="方正书宋_GBK" w:eastAsia="方正书宋_GBK"/>
          <w:sz w:val="22"/>
          <w:szCs w:val="22"/>
          <w:lang w:eastAsia="zh-CN"/>
        </w:rPr>
        <w:t>（三）</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eastAsia="zh-CN"/>
        </w:rPr>
        <w:t>（四）</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eastAsia="zh-CN"/>
        </w:rPr>
        <w:t>（五）</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项所列条件。同时，甲方还应当提供《北京市住宅工程质量保证书》《房屋建筑使用说明书》以及《住宅工程质量分户验收表》。</w:t>
      </w:r>
    </w:p>
    <w:p>
      <w:pPr>
        <w:pStyle w:val="Normal"/>
        <w:keepNext w:val="false"/>
        <w:keepLines w:val="false"/>
        <w:pageBreakBefore w:val="false"/>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（一）</w:t>
      </w:r>
      <w:r>
        <w:rPr>
          <w:rFonts w:ascii="方正书宋_GBK" w:hAnsi="方正书宋_GBK" w:cs="方正书宋_GBK" w:eastAsia="方正书宋_GBK"/>
          <w:sz w:val="22"/>
          <w:szCs w:val="22"/>
        </w:rPr>
        <w:t>该共有产权住房已取得规划核验验收合格文件和建设工程竣工验收合格证明文件。</w:t>
      </w:r>
    </w:p>
    <w:p>
      <w:pPr>
        <w:pStyle w:val="Normal"/>
        <w:keepNext w:val="false"/>
        <w:keepLines w:val="false"/>
        <w:pageBreakBefore w:val="false"/>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（二）</w:t>
      </w:r>
      <w:r>
        <w:rPr>
          <w:rFonts w:ascii="方正书宋_GBK" w:hAnsi="方正书宋_GBK" w:cs="方正书宋_GBK" w:eastAsia="方正书宋_GBK"/>
          <w:sz w:val="22"/>
          <w:szCs w:val="22"/>
        </w:rPr>
        <w:t>该共有产权住房已取得有资质的房产测绘机构出具《房屋面积测算技术报告书</w:t>
      </w:r>
      <w:r>
        <w:rPr>
          <w:rFonts w:ascii="方正书宋_GBK" w:hAnsi="方正书宋_GBK" w:cs="方正书宋_GBK" w:eastAsia="方正书宋_GBK"/>
          <w:sz w:val="22"/>
          <w:szCs w:val="22"/>
          <w:lang w:eastAsia="zh-CN"/>
        </w:rPr>
        <w:t>》</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t>实测绘</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（三）</w:t>
      </w:r>
      <w:r>
        <w:rPr>
          <w:rFonts w:ascii="方正书宋_GBK" w:hAnsi="方正书宋_GBK" w:cs="方正书宋_GBK" w:eastAsia="方正书宋_GBK"/>
          <w:sz w:val="22"/>
          <w:szCs w:val="22"/>
        </w:rPr>
        <w:t>满足第十条中甲方承诺的基础设施设备、公共服务及其他配套设施达到的条件。</w:t>
      </w:r>
    </w:p>
    <w:p>
      <w:pPr>
        <w:pStyle w:val="Normal"/>
        <w:keepNext w:val="false"/>
        <w:keepLines w:val="false"/>
        <w:pageBreakBefore w:val="false"/>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（四）</w:t>
      </w:r>
      <w:r>
        <w:rPr>
          <w:rFonts w:ascii="方正书宋_GBK" w:hAnsi="方正书宋_GBK" w:cs="方正书宋_GBK" w:eastAsia="方正书宋_GBK"/>
          <w:sz w:val="22"/>
          <w:szCs w:val="22"/>
        </w:rPr>
        <w:t>已取得消防、人民防空等验收合格证明文件。</w:t>
      </w:r>
    </w:p>
    <w:p>
      <w:pPr>
        <w:pStyle w:val="Normal"/>
        <w:keepNext w:val="false"/>
        <w:keepLines w:val="false"/>
        <w:pageBreakBefore w:val="false"/>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（五）</w:t>
      </w:r>
      <w:r>
        <w:rPr>
          <w:rFonts w:ascii="方正书宋_GBK" w:hAnsi="方正书宋_GBK" w:cs="方正书宋_GBK" w:eastAsia="方正书宋_GBK"/>
          <w:sz w:val="22"/>
          <w:szCs w:val="22"/>
        </w:rPr>
        <w:t>已取得《联合验收意见通知书》。</w:t>
      </w:r>
    </w:p>
    <w:p>
      <w:pPr>
        <w:pStyle w:val="Normal"/>
        <w:keepNext w:val="false"/>
        <w:keepLines w:val="false"/>
        <w:pageBreakBefore w:val="false"/>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（六）</w:t>
      </w:r>
      <w:r>
        <w:rPr>
          <w:rFonts w:ascii="方正书宋_GBK" w:hAnsi="方正书宋_GBK" w:cs="方正书宋_GBK" w:eastAsia="方正书宋_GBK"/>
          <w:sz w:val="22"/>
          <w:szCs w:val="22"/>
        </w:rPr>
        <w:t>已取得环境卫生设施、防雷装置等验收合格证明文件。</w:t>
      </w:r>
    </w:p>
    <w:p>
      <w:pPr>
        <w:pStyle w:val="Normal"/>
        <w:keepNext w:val="false"/>
        <w:keepLines w:val="false"/>
        <w:pageBreakBefore w:val="false"/>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（七）</w:t>
      </w:r>
      <w:r>
        <w:rPr>
          <w:rFonts w:ascii="方正书宋_GBK" w:hAnsi="方正书宋_GBK" w:cs="方正书宋_GBK" w:eastAsia="方正书宋_GBK"/>
          <w:sz w:val="22"/>
          <w:szCs w:val="22"/>
        </w:rPr>
        <w:t>甲方已取得该共有产权住房所在楼栋的不动产权证书。</w:t>
      </w:r>
    </w:p>
    <w:p>
      <w:pPr>
        <w:pStyle w:val="Normal"/>
        <w:keepNext w:val="false"/>
        <w:keepLines w:val="false"/>
        <w:pageBreakBefore w:val="false"/>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（八）</w:t>
      </w:r>
      <w:r>
        <w:rPr>
          <w:rFonts w:ascii="方正书宋_GBK" w:hAnsi="方正书宋_GBK" w:cs="方正书宋_GBK" w:eastAsia="方正书宋_GBK"/>
          <w:sz w:val="22"/>
          <w:szCs w:val="22"/>
        </w:rPr>
        <w:t>共有产权住房所在项目已签订《白蚁预防合同》，甲方应当向乙方出具该项目的《白蚁预防合同》或其他实施房屋白蚁预防的证明文件，提供的《北京市住宅工程质量保证书》中必须包括白蚁预防质量保证的内容。</w:t>
      </w:r>
    </w:p>
    <w:p>
      <w:pPr>
        <w:pStyle w:val="Normal"/>
        <w:keepNext w:val="false"/>
        <w:keepLines w:val="false"/>
        <w:pageBreakBefore w:val="false"/>
        <w:kinsoku w:val="true"/>
        <w:overflowPunct w:val="true"/>
        <w:autoSpaceDE w:val="true"/>
        <w:bidi w:val="0"/>
        <w:snapToGrid w:val="true"/>
        <w:spacing w:lineRule="exact" w:line="420"/>
        <w:ind w:firstLine="440" w:end="0"/>
        <w:jc w:val="both"/>
        <w:textAlignment w:val="auto"/>
        <w:rPr>
          <w:rStyle w:val="Strong"/>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jc w:val="both"/>
        <w:textAlignment w:val="auto"/>
        <w:rPr>
          <w:rStyle w:val="Strong"/>
          <w:rFonts w:ascii="方正黑体_GBK;微软雅黑" w:hAnsi="方正黑体_GBK;微软雅黑" w:eastAsia="方正黑体_GBK;微软雅黑" w:cs="方正黑体_GBK;微软雅黑"/>
          <w:b w:val="false"/>
          <w:bCs w:val="false"/>
          <w:sz w:val="22"/>
          <w:szCs w:val="22"/>
        </w:rPr>
      </w:pPr>
      <w:r>
        <w:rPr>
          <w:rStyle w:val="Strong"/>
          <w:rFonts w:ascii="方正黑体_GBK;微软雅黑" w:hAnsi="方正黑体_GBK;微软雅黑" w:cs="方正黑体_GBK;微软雅黑" w:eastAsia="方正黑体_GBK;微软雅黑"/>
          <w:b w:val="false"/>
          <w:bCs w:val="false"/>
          <w:sz w:val="22"/>
          <w:szCs w:val="22"/>
        </w:rPr>
        <w:t>第十条  共有产权住房相关设施设备交付条件</w:t>
      </w:r>
    </w:p>
    <w:p>
      <w:pPr>
        <w:pStyle w:val="Normal"/>
        <w:keepNext w:val="false"/>
        <w:keepLines w:val="false"/>
        <w:pageBreakBefore w:val="false"/>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该项目建设方案已向建设行政主管部门申报，并已在北京市住房和城乡建设委员会官网及项目售楼场所公示，甲方承诺项目建设方案与北京市住房和城乡建设委员会网站上公示的该项目建设方案一致，本条款约定的基础设施设备、公共服务及配套设施等的交用日期与公示的该项目建设方案的日期相符或提前于建设方案约定的日期，具体约定如下： </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（一）基础设施设备</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供水、排水：交付时供水、排水配套设施齐全，并与城市公共供水、排水管网连接。使用自建设施供水的，供水的水质符合国家规定的饮用水卫生标准。</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供电：交付时纳入城市供电网络并正式供电。</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供暖：交付时供热系统符合供热配建标准，使用城市集中供热的，纳入城市集中供热管网。</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燃气：交付时完成室内燃气管道的敷设，并与城市燃气管网连接，保证燃气供应。</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电话通信：交付时线路敷设到户。</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有线电视：交付时线路敷设到户。</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宽带网络：交付时线路敷设到户。</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以上第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项由甲方负责办理开通手续并承担相关费用；第</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项需要乙方自行办理开通手续并承担因开通、使用所产生的费用。</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如果在约定期限内基础设施设备未达到交付使用条件，双方同意按照下列第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种方式处理： </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firstLine="440" w:start="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lang w:val="en-US" w:eastAsia="zh-CN"/>
        </w:rPr>
        <w:t>1.</w:t>
      </w:r>
      <w:r>
        <w:rPr>
          <w:rFonts w:ascii="方正书宋_GBK" w:hAnsi="方正书宋_GBK" w:cs="方正书宋_GBK" w:eastAsia="方正书宋_GBK"/>
          <w:sz w:val="22"/>
          <w:szCs w:val="22"/>
        </w:rPr>
        <w:t>以上设施中第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项在约定交付日未达到交付条件的，甲方按照本合同第十二条的约定承担逾期交付责任。</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项未按时达到交付使用条件的，甲方按日向乙方支付</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元的违约金；第</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项未按时达到交付使用条件的，甲方按日向乙方支付</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元的违约金；第</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项未按时达到交付使用条件的，甲方按日向乙方支付</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元的违约金。甲方采取措施保证相关设施于约定交付日后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日之内达到交付使用条件。</w:t>
      </w:r>
    </w:p>
    <w:p>
      <w:pPr>
        <w:pStyle w:val="Normal"/>
        <w:keepNext w:val="false"/>
        <w:keepLines w:val="false"/>
        <w:pageBreakBefore w:val="false"/>
        <w:widowControl/>
        <w:tabs>
          <w:tab w:val="clear" w:pos="420"/>
          <w:tab w:val="left" w:pos="7740" w:leader="none"/>
        </w:tabs>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lang w:val="en-US" w:eastAsia="zh-CN"/>
        </w:rPr>
        <w:t>2.</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（二）公共服务及其他配套设施（以建设工程规划许可为准）</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b/>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小区内绿地率为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，建筑面积为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，位于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，应于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日前达到交用条件。</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小区内非市政道路应于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日前达到交用条件。</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规划的车位、车库应于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日前达到交用条件。</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物业服务用房应于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日前达到交用条件。</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医疗卫生机构应于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日前达到交用条件。</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幼儿园应于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日前达到交用条件。</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学校应于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日前达到交用条件。</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配套生活垃圾分类设施应于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日前达到交用条件。</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社区菜市场或社区菜店应于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日前达到交用条件。</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以上设施未达到上述条件的，双方同意按照以下方式处理： </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小区内绿地率未达到上述约定条件的，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小区内非市政道路未达到上述约定条件的，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规划的车位、车库未达到上述约定条件的，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tabs>
          <w:tab w:val="clear" w:pos="420"/>
          <w:tab w:val="left" w:pos="8100" w:leader="none"/>
        </w:tabs>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物业服务用房未达到上述约定条件的，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其他设施未达到上述约定条件的，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sz w:val="22"/>
          <w:szCs w:val="22"/>
        </w:rPr>
        <w:t>关于本项目内相关设施设备的具体约定</w:t>
      </w:r>
      <w:r>
        <w:rPr>
          <w:rFonts w:ascii="方正书宋_GBK" w:hAnsi="方正书宋_GBK" w:cs="方正书宋_GBK" w:eastAsia="方正书宋_GBK"/>
          <w:color w:val="000000"/>
          <w:sz w:val="22"/>
          <w:szCs w:val="22"/>
        </w:rPr>
        <w:t xml:space="preserve">见附件五。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jc w:val="both"/>
        <w:textAlignment w:val="auto"/>
        <w:rPr>
          <w:rStyle w:val="Strong"/>
          <w:rFonts w:ascii="方正黑体_GBK;微软雅黑" w:hAnsi="方正黑体_GBK;微软雅黑" w:eastAsia="方正黑体_GBK;微软雅黑" w:cs="方正黑体_GBK;微软雅黑"/>
          <w:b w:val="false"/>
          <w:bCs w:val="false"/>
          <w:sz w:val="22"/>
          <w:szCs w:val="22"/>
        </w:rPr>
      </w:pPr>
      <w:r>
        <w:rPr>
          <w:rStyle w:val="Strong"/>
          <w:rFonts w:ascii="方正黑体_GBK;微软雅黑" w:hAnsi="方正黑体_GBK;微软雅黑" w:cs="方正黑体_GBK;微软雅黑" w:eastAsia="方正黑体_GBK;微软雅黑"/>
          <w:b w:val="false"/>
          <w:bCs w:val="false"/>
          <w:sz w:val="22"/>
          <w:szCs w:val="22"/>
        </w:rPr>
        <w:t>第十一条  交付时间和手续</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（一）甲方应当于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日前向乙方交付该共有产权住房。</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（二）该共有产权住房达到第九条、第十条约定的交付条件后，甲方应当于交付日期届满前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日（不少于</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日）将查验房屋的时间、办理交付手续的时间地点以及应当携带的证件材料的通知书面送达乙方。乙方未收到交付通知书的，以本合同约定的交付日期届满之日为办理交付手续的时间，以该共有产权住房所在地为办理交付手续的地点。</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交付该共有产权住房时，甲方应当出示满足第九条约定的证明文件。甲方不出示证明文件或出示的证明文件不齐全，不能满足第九条约定条件的，乙方有权拒绝接收，由此产生的逾期交付责任由甲方承担，并按照第十二条处理。</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（三）查验房屋</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办理交付手续前，乙方有权对该共有产权住房进行查验，甲方不得以缴纳相关税费（住宅专项维修资金除外）或签署物业管理文件作为乙方查验和办理交付手续的前提条件。</w:t>
      </w:r>
    </w:p>
    <w:p>
      <w:pPr>
        <w:pStyle w:val="Normal"/>
        <w:keepNext w:val="false"/>
        <w:keepLines w:val="false"/>
        <w:pageBreakBefore w:val="false"/>
        <w:widowControl/>
        <w:tabs>
          <w:tab w:val="clear" w:pos="420"/>
          <w:tab w:val="left" w:pos="7560" w:leader="none"/>
          <w:tab w:val="left" w:pos="7920" w:leader="none"/>
          <w:tab w:val="left" w:pos="8100" w:leader="none"/>
        </w:tabs>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乙方查验的该共有产权住房存在下列除地基基础和主体结构外的其他质量问题的，由甲方按照有关工程和产品质量规范、标准自查验次日起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日内负责修复，并承担修复费用，修复后再行交付。</w:t>
      </w:r>
    </w:p>
    <w:p>
      <w:pPr>
        <w:pStyle w:val="Normal"/>
        <w:keepNext w:val="false"/>
        <w:keepLines w:val="false"/>
        <w:pageBreakBefore w:val="false"/>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）屋面、墙面、地面渗漏或开裂等。</w:t>
      </w:r>
    </w:p>
    <w:p>
      <w:pPr>
        <w:pStyle w:val="Normal"/>
        <w:keepNext w:val="false"/>
        <w:keepLines w:val="false"/>
        <w:pageBreakBefore w:val="false"/>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）管道堵塞。</w:t>
      </w:r>
    </w:p>
    <w:p>
      <w:pPr>
        <w:pStyle w:val="Normal"/>
        <w:keepNext w:val="false"/>
        <w:keepLines w:val="false"/>
        <w:pageBreakBefore w:val="false"/>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）门窗翘裂、五金件损坏。</w:t>
      </w:r>
    </w:p>
    <w:p>
      <w:pPr>
        <w:pStyle w:val="Normal"/>
        <w:keepNext w:val="false"/>
        <w:keepLines w:val="false"/>
        <w:pageBreakBefore w:val="false"/>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）灯具、电器等电气设备不能正常使用。</w:t>
      </w:r>
    </w:p>
    <w:p>
      <w:pPr>
        <w:pStyle w:val="Normal"/>
        <w:keepNext w:val="false"/>
        <w:keepLines w:val="false"/>
        <w:pageBreakBefore w:val="false"/>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该共有产权住房查验合格后，</w:t>
      </w:r>
      <w:r>
        <w:rPr>
          <w:rFonts w:ascii="方正书宋_GBK" w:hAnsi="方正书宋_GBK" w:cs="方正书宋_GBK" w:eastAsia="方正书宋_GBK"/>
          <w:sz w:val="22"/>
          <w:szCs w:val="22"/>
          <w:lang w:eastAsia="zh-CN"/>
        </w:rPr>
        <w:t>甲、乙</w:t>
      </w:r>
      <w:r>
        <w:rPr>
          <w:rFonts w:ascii="方正书宋_GBK" w:hAnsi="方正书宋_GBK" w:cs="方正书宋_GBK" w:eastAsia="方正书宋_GBK"/>
          <w:sz w:val="22"/>
          <w:szCs w:val="22"/>
        </w:rPr>
        <w:t>双方应当签署共有产权住房交接单。由于乙方原因导致该共有产权住房未能按期交付的，双方同意按照以下方式处理：</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tabs>
          <w:tab w:val="clear" w:pos="420"/>
          <w:tab w:val="left" w:pos="8280" w:leader="none"/>
        </w:tabs>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jc w:val="both"/>
        <w:textAlignment w:val="auto"/>
        <w:rPr>
          <w:rStyle w:val="Strong"/>
          <w:rFonts w:ascii="方正黑体_GBK;微软雅黑" w:hAnsi="方正黑体_GBK;微软雅黑" w:eastAsia="方正黑体_GBK;微软雅黑" w:cs="方正黑体_GBK;微软雅黑"/>
          <w:b w:val="false"/>
          <w:bCs w:val="false"/>
          <w:sz w:val="22"/>
          <w:szCs w:val="22"/>
        </w:rPr>
      </w:pPr>
      <w:r>
        <w:rPr>
          <w:rStyle w:val="Strong"/>
          <w:rFonts w:ascii="方正黑体_GBK;微软雅黑" w:hAnsi="方正黑体_GBK;微软雅黑" w:cs="方正黑体_GBK;微软雅黑" w:eastAsia="方正黑体_GBK;微软雅黑"/>
          <w:b w:val="false"/>
          <w:bCs w:val="false"/>
          <w:sz w:val="22"/>
          <w:szCs w:val="22"/>
        </w:rPr>
        <w:t>第十二条  逾期交付责任</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除不可抗力外，甲方未按照第十一条约定的时间将该共有产权住房交付乙方的，双方同意按照下列第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种方式处理： </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（一）按照逾期时间，分别处理（</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和</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不作累加）。</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逾期在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日之内</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t>该期限应当不多于第八条第（一）</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项中的期限</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t>，自第十一条约定的交付期限届满之次日起至实际交付之日止，甲方按日</w:t>
      </w:r>
      <w:r>
        <w:rPr>
          <w:rFonts w:ascii="方正书宋_GBK" w:hAnsi="方正书宋_GBK" w:cs="方正书宋_GBK" w:eastAsia="方正书宋_GBK"/>
          <w:sz w:val="22"/>
          <w:szCs w:val="22"/>
          <w:lang w:eastAsia="zh-CN"/>
        </w:rPr>
        <w:t>计算</w:t>
      </w:r>
      <w:r>
        <w:rPr>
          <w:rFonts w:ascii="方正书宋_GBK" w:hAnsi="方正书宋_GBK" w:cs="方正书宋_GBK" w:eastAsia="方正书宋_GBK"/>
          <w:sz w:val="22"/>
          <w:szCs w:val="22"/>
        </w:rPr>
        <w:t>向乙方支付全部房价款万分之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的违约金</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t>该违约金比率应当不低于第八条第（一）</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项中的比率</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逾期超过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日（该期限应当与本条第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项中的期限相同）</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乙方有权解除合同。乙方解除合同的，应当书面通知甲方</w:t>
      </w:r>
      <w:r>
        <w:rPr>
          <w:rFonts w:ascii="方正书宋_GBK" w:hAnsi="方正书宋_GBK" w:cs="方正书宋_GBK" w:eastAsia="方正书宋_GBK"/>
          <w:sz w:val="22"/>
          <w:szCs w:val="22"/>
          <w:lang w:eastAsia="zh-CN"/>
        </w:rPr>
        <w:t>、丙方</w:t>
      </w:r>
      <w:r>
        <w:rPr>
          <w:rFonts w:ascii="方正书宋_GBK" w:hAnsi="方正书宋_GBK" w:cs="方正书宋_GBK" w:eastAsia="方正书宋_GBK"/>
          <w:sz w:val="22"/>
          <w:szCs w:val="22"/>
        </w:rPr>
        <w:t>。甲方应当自解除合同通知送达之日起</w:t>
      </w:r>
      <w:r>
        <w:rPr>
          <w:rFonts w:eastAsia="方正书宋_GBK" w:cs="方正书宋_GBK" w:ascii="方正书宋_GBK" w:hAnsi="方正书宋_GBK"/>
          <w:sz w:val="22"/>
          <w:szCs w:val="22"/>
          <w:lang w:val="en-US" w:eastAsia="zh-CN"/>
        </w:rPr>
        <w:t>15</w:t>
      </w:r>
      <w:r>
        <w:rPr>
          <w:rFonts w:ascii="方正书宋_GBK" w:hAnsi="方正书宋_GBK" w:cs="方正书宋_GBK" w:eastAsia="方正书宋_GBK"/>
          <w:sz w:val="22"/>
          <w:szCs w:val="22"/>
        </w:rPr>
        <w:t>日内退还乙方已付</w:t>
      </w:r>
      <w:r>
        <w:rPr>
          <w:rFonts w:ascii="方正书宋_GBK" w:hAnsi="方正书宋_GBK" w:cs="方正书宋_GBK" w:eastAsia="方正书宋_GBK"/>
          <w:bCs/>
          <w:sz w:val="22"/>
          <w:szCs w:val="22"/>
        </w:rPr>
        <w:t>全部</w:t>
      </w:r>
      <w:r>
        <w:rPr>
          <w:rFonts w:ascii="方正书宋_GBK" w:hAnsi="方正书宋_GBK" w:cs="方正书宋_GBK" w:eastAsia="方正书宋_GBK"/>
          <w:sz w:val="22"/>
          <w:szCs w:val="22"/>
        </w:rPr>
        <w:t>房价款（含已付贷款部分），并自乙方付款之日起，按照</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（不低于同期全国银行间同业拆借中心公布的一年期贷款市场报价利率）计算给付利息；同时，甲方按照乙方支付的房价款的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向乙方支付违约金。</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乙方不解除合同的，合同继续履行，甲方按日计算向乙方支付全部房价款万分之</w:t>
      </w:r>
      <w:r>
        <w:rPr>
          <w:rFonts w:ascii="方正书宋_GBK" w:hAnsi="方正书宋_GBK" w:cs="方正书宋_GBK" w:eastAsia="方正书宋_GBK"/>
          <w:kern w:val="2"/>
          <w:sz w:val="22"/>
          <w:szCs w:val="22"/>
          <w:u w:val="single"/>
        </w:rPr>
        <w:t xml:space="preserve">    </w:t>
      </w:r>
      <w:r>
        <w:rPr>
          <w:rFonts w:ascii="方正书宋_GBK" w:hAnsi="方正书宋_GBK" w:cs="方正书宋_GBK" w:eastAsia="方正书宋_GBK"/>
          <w:sz w:val="22"/>
          <w:szCs w:val="22"/>
        </w:rPr>
        <w:t>（该比率应当不低于本条第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项中的比率）的违约金。</w:t>
      </w:r>
    </w:p>
    <w:p>
      <w:pPr>
        <w:pStyle w:val="Style19"/>
        <w:keepNext w:val="false"/>
        <w:keepLines w:val="false"/>
        <w:pageBreakBefore w:val="false"/>
        <w:widowControl/>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kern w:val="2"/>
          <w:sz w:val="22"/>
          <w:szCs w:val="22"/>
        </w:rPr>
        <w:t>（二）</w:t>
      </w:r>
      <w:r>
        <w:rPr>
          <w:rFonts w:ascii="方正书宋_GBK" w:hAnsi="方正书宋_GBK" w:cs="方正书宋_GBK" w:eastAsia="方正书宋_GBK"/>
          <w:kern w:val="2"/>
          <w:sz w:val="22"/>
          <w:szCs w:val="22"/>
          <w:u w:val="single"/>
        </w:rPr>
        <w:t xml:space="preserve">                                                            </w:t>
      </w:r>
      <w:r>
        <w:rPr>
          <w:rFonts w:ascii="方正书宋_GBK" w:hAnsi="方正书宋_GBK" w:cs="方正书宋_GBK" w:eastAsia="方正书宋_GBK"/>
          <w:kern w:val="2"/>
          <w:sz w:val="22"/>
          <w:szCs w:val="22"/>
        </w:rPr>
        <w:t xml:space="preserve"> 。</w:t>
      </w:r>
    </w:p>
    <w:p>
      <w:pPr>
        <w:pStyle w:val="Style19"/>
        <w:keepNext w:val="false"/>
        <w:keepLines w:val="false"/>
        <w:pageBreakBefore w:val="false"/>
        <w:kinsoku w:val="true"/>
        <w:overflowPunct w:val="true"/>
        <w:bidi w:val="0"/>
        <w:spacing w:lineRule="exact" w:line="420" w:before="0" w:after="0"/>
        <w:ind w:end="0"/>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largefont"/>
        <w:keepNext w:val="false"/>
        <w:keepLines w:val="false"/>
        <w:pageBreakBefore w:val="false"/>
        <w:widowControl/>
        <w:kinsoku w:val="true"/>
        <w:overflowPunct w:val="true"/>
        <w:autoSpaceDE w:val="true"/>
        <w:bidi w:val="0"/>
        <w:snapToGrid w:val="true"/>
        <w:spacing w:lineRule="exact" w:line="420" w:before="0" w:after="0"/>
        <w:ind w:hanging="0" w:end="0"/>
        <w:jc w:val="center"/>
        <w:textAlignment w:val="auto"/>
        <w:rPr>
          <w:rStyle w:val="Strong"/>
          <w:rFonts w:ascii="方正黑体_GBK;微软雅黑" w:hAnsi="方正黑体_GBK;微软雅黑" w:eastAsia="方正黑体_GBK;微软雅黑" w:cs="方正黑体_GBK;微软雅黑"/>
          <w:b w:val="false"/>
          <w:bCs w:val="false"/>
          <w:sz w:val="28"/>
          <w:szCs w:val="28"/>
        </w:rPr>
      </w:pPr>
      <w:r>
        <w:rPr>
          <w:rStyle w:val="Strong"/>
          <w:rFonts w:ascii="方正黑体_GBK;微软雅黑" w:hAnsi="方正黑体_GBK;微软雅黑" w:cs="方正黑体_GBK;微软雅黑" w:eastAsia="方正黑体_GBK;微软雅黑"/>
          <w:b w:val="false"/>
          <w:bCs w:val="false"/>
          <w:sz w:val="28"/>
          <w:szCs w:val="28"/>
        </w:rPr>
        <w:t>第五章  面积差异处理方式</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Style w:val="Strong"/>
          <w:rFonts w:ascii="方正黑体_GBK;微软雅黑" w:hAnsi="方正黑体_GBK;微软雅黑" w:eastAsia="方正黑体_GBK;微软雅黑" w:cs="方正黑体_GBK;微软雅黑"/>
          <w:b w:val="false"/>
          <w:bCs w:val="false"/>
          <w:sz w:val="22"/>
          <w:szCs w:val="22"/>
        </w:rPr>
      </w:pPr>
      <w:r>
        <w:rPr>
          <w:rStyle w:val="Strong"/>
          <w:rFonts w:ascii="方正黑体_GBK;微软雅黑" w:hAnsi="方正黑体_GBK;微软雅黑" w:cs="方正黑体_GBK;微软雅黑" w:eastAsia="方正黑体_GBK;微软雅黑"/>
          <w:b w:val="false"/>
          <w:bCs w:val="false"/>
          <w:sz w:val="22"/>
          <w:szCs w:val="22"/>
        </w:rPr>
        <w:t>第十三条  面积差异处理</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w:t>
      </w:r>
      <w:r>
        <w:rPr>
          <w:rFonts w:ascii="方正书宋_GBK" w:hAnsi="方正书宋_GBK" w:cs="方正书宋_GBK" w:eastAsia="方正书宋_GBK"/>
          <w:sz w:val="22"/>
          <w:szCs w:val="22"/>
          <w:lang w:eastAsia="zh-CN"/>
        </w:rPr>
        <w:t>房屋</w:t>
      </w:r>
      <w:r>
        <w:rPr>
          <w:rFonts w:ascii="方正书宋_GBK" w:hAnsi="方正书宋_GBK" w:cs="方正书宋_GBK" w:eastAsia="方正书宋_GBK"/>
          <w:sz w:val="22"/>
          <w:szCs w:val="22"/>
        </w:rPr>
        <w:t>交付时，</w:t>
      </w:r>
      <w:r>
        <w:rPr>
          <w:rFonts w:ascii="方正书宋_GBK" w:hAnsi="方正书宋_GBK" w:cs="方正书宋_GBK" w:eastAsia="方正书宋_GBK"/>
          <w:sz w:val="22"/>
          <w:szCs w:val="22"/>
          <w:lang w:eastAsia="zh-CN"/>
        </w:rPr>
        <w:t>甲方</w:t>
      </w:r>
      <w:r>
        <w:rPr>
          <w:rFonts w:ascii="方正书宋_GBK" w:hAnsi="方正书宋_GBK" w:cs="方正书宋_GBK" w:eastAsia="方正书宋_GBK"/>
          <w:sz w:val="22"/>
          <w:szCs w:val="22"/>
        </w:rPr>
        <w:t>应当向</w:t>
      </w:r>
      <w:r>
        <w:rPr>
          <w:rFonts w:ascii="方正书宋_GBK" w:hAnsi="方正书宋_GBK" w:cs="方正书宋_GBK" w:eastAsia="方正书宋_GBK"/>
          <w:sz w:val="22"/>
          <w:szCs w:val="22"/>
          <w:lang w:eastAsia="zh-CN"/>
        </w:rPr>
        <w:t>乙方、丙方</w:t>
      </w:r>
      <w:r>
        <w:rPr>
          <w:rFonts w:ascii="方正书宋_GBK" w:hAnsi="方正书宋_GBK" w:cs="方正书宋_GBK" w:eastAsia="方正书宋_GBK"/>
          <w:sz w:val="22"/>
          <w:szCs w:val="22"/>
        </w:rPr>
        <w:t>公示其委托的有资质的房产测绘机构出具的《房屋面积测算技术报告书》</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t>实测绘</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t>，并向</w:t>
      </w:r>
      <w:r>
        <w:rPr>
          <w:rFonts w:ascii="方正书宋_GBK" w:hAnsi="方正书宋_GBK" w:cs="方正书宋_GBK" w:eastAsia="方正书宋_GBK"/>
          <w:sz w:val="22"/>
          <w:szCs w:val="22"/>
          <w:lang w:eastAsia="zh-CN"/>
        </w:rPr>
        <w:t>乙方、丙方</w:t>
      </w:r>
      <w:r>
        <w:rPr>
          <w:rFonts w:ascii="方正书宋_GBK" w:hAnsi="方正书宋_GBK" w:cs="方正书宋_GBK" w:eastAsia="方正书宋_GBK"/>
          <w:sz w:val="22"/>
          <w:szCs w:val="22"/>
        </w:rPr>
        <w:t>提供该共有产权住房的面积实测数据（以下简称实测面积）。实测面积与第三条载明的预测面积发生误差的，双方同意按照第</w:t>
      </w:r>
      <w:r>
        <w:rPr>
          <w:rFonts w:ascii="方正书宋_GBK" w:hAnsi="方正书宋_GBK" w:cs="方正书宋_GBK" w:eastAsia="方正书宋_GBK"/>
          <w:kern w:val="2"/>
          <w:sz w:val="22"/>
          <w:szCs w:val="22"/>
          <w:u w:val="single"/>
        </w:rPr>
        <w:t xml:space="preserve">      </w:t>
      </w:r>
      <w:r>
        <w:rPr>
          <w:rFonts w:ascii="方正书宋_GBK" w:hAnsi="方正书宋_GBK" w:cs="方正书宋_GBK" w:eastAsia="方正书宋_GBK"/>
          <w:sz w:val="22"/>
          <w:szCs w:val="22"/>
        </w:rPr>
        <w:t xml:space="preserve">种方式处理。 </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（一）根据第六条按照套内建筑面积计价的约定，</w:t>
      </w:r>
      <w:r>
        <w:rPr>
          <w:rFonts w:ascii="方正书宋_GBK" w:hAnsi="方正书宋_GBK" w:cs="方正书宋_GBK" w:eastAsia="方正书宋_GBK"/>
          <w:sz w:val="22"/>
          <w:szCs w:val="22"/>
          <w:lang w:eastAsia="zh-CN"/>
        </w:rPr>
        <w:t>三</w:t>
      </w:r>
      <w:r>
        <w:rPr>
          <w:rFonts w:ascii="方正书宋_GBK" w:hAnsi="方正书宋_GBK" w:cs="方正书宋_GBK" w:eastAsia="方正书宋_GBK"/>
          <w:sz w:val="22"/>
          <w:szCs w:val="22"/>
        </w:rPr>
        <w:t xml:space="preserve">方同意按照下列原则处理： </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套内建筑面积误差比绝对值在</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以内（含</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 xml:space="preserve">）的，据实结算房价款。 </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套内建筑面积误差比绝对值超出</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 xml:space="preserve">时，乙方有权解除合同。 </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乙方解除合同的，应当书面通知甲方</w:t>
      </w:r>
      <w:r>
        <w:rPr>
          <w:rFonts w:ascii="方正书宋_GBK" w:hAnsi="方正书宋_GBK" w:cs="方正书宋_GBK" w:eastAsia="方正书宋_GBK"/>
          <w:sz w:val="22"/>
          <w:szCs w:val="22"/>
          <w:lang w:eastAsia="zh-CN"/>
        </w:rPr>
        <w:t>、丙方</w:t>
      </w:r>
      <w:r>
        <w:rPr>
          <w:rFonts w:ascii="方正书宋_GBK" w:hAnsi="方正书宋_GBK" w:cs="方正书宋_GBK" w:eastAsia="方正书宋_GBK"/>
          <w:sz w:val="22"/>
          <w:szCs w:val="22"/>
        </w:rPr>
        <w:t>。甲方应当自解除合同通知送达之日起</w:t>
      </w:r>
      <w:r>
        <w:rPr>
          <w:rFonts w:eastAsia="方正书宋_GBK" w:cs="方正书宋_GBK" w:ascii="方正书宋_GBK" w:hAnsi="方正书宋_GBK"/>
          <w:sz w:val="22"/>
          <w:szCs w:val="22"/>
          <w:lang w:val="en-US" w:eastAsia="zh-CN"/>
        </w:rPr>
        <w:t>15</w:t>
      </w:r>
      <w:r>
        <w:rPr>
          <w:rFonts w:ascii="方正书宋_GBK" w:hAnsi="方正书宋_GBK" w:cs="方正书宋_GBK" w:eastAsia="方正书宋_GBK"/>
          <w:sz w:val="22"/>
          <w:szCs w:val="22"/>
        </w:rPr>
        <w:t>日内退还乙方已付全部房价款（含已付贷款部分），并自乙方付款之日起，按照</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 xml:space="preserve">（不低于同期全国银行间同业拆借中心公布的一年期贷款市场报价利率）计算给付利息。 </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乙方不解除合同的，实测套内建筑面积大于预测套内建筑面积时，套内建筑面积误差比在</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以内（含</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）部分的房价款由乙方补足；超出</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部分的房价款由甲方承担，产权归乙方</w:t>
      </w:r>
      <w:r>
        <w:rPr>
          <w:rFonts w:ascii="方正书宋_GBK" w:hAnsi="方正书宋_GBK" w:cs="方正书宋_GBK" w:eastAsia="方正书宋_GBK"/>
          <w:sz w:val="22"/>
          <w:szCs w:val="22"/>
          <w:lang w:eastAsia="zh-CN"/>
        </w:rPr>
        <w:t>、丙方</w:t>
      </w:r>
      <w:r>
        <w:rPr>
          <w:rFonts w:ascii="方正书宋_GBK" w:hAnsi="方正书宋_GBK" w:cs="方正书宋_GBK" w:eastAsia="方正书宋_GBK"/>
          <w:sz w:val="22"/>
          <w:szCs w:val="22"/>
        </w:rPr>
        <w:t>所有。实测套内建筑面积小于预测套内建筑面积时，套内建筑面积误差比绝对值在</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以内</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含</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部分的房价款由甲方返还乙方；绝对值超出</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部分的房价款由甲方双倍返还乙方。</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mc:AlternateContent>
          <mc:Choice Requires="wps">
            <w:drawing>
              <wp:anchor behindDoc="0" distT="0" distB="0" distL="114935" distR="114935" simplePos="0" locked="0" layoutInCell="1" allowOverlap="1" relativeHeight="43">
                <wp:simplePos x="0" y="0"/>
                <wp:positionH relativeFrom="column">
                  <wp:posOffset>1861820</wp:posOffset>
                </wp:positionH>
                <wp:positionV relativeFrom="paragraph">
                  <wp:posOffset>271145</wp:posOffset>
                </wp:positionV>
                <wp:extent cx="2658110" cy="8255"/>
                <wp:effectExtent l="635" t="5080" r="635" b="5080"/>
                <wp:wrapNone/>
                <wp:docPr id="5" name="直线 4"/>
                <a:graphic xmlns:a="http://schemas.openxmlformats.org/drawingml/2006/main">
                  <a:graphicData uri="http://schemas.microsoft.com/office/word/2010/wordprocessingShape">
                    <wps:wsp>
                      <wps:cNvSpPr/>
                      <wps:spPr>
                        <a:xfrm flipV="1">
                          <a:off x="0" y="0"/>
                          <a:ext cx="2658240" cy="828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46.6pt,21.35pt" to="355.85pt,21.95pt" ID="直线 4" stroked="t" o:allowincell="f" style="position:absolute;flip:y">
                <v:stroke color="black" weight="9360" joinstyle="miter" endcap="flat"/>
                <v:fill o:detectmouseclick="t" on="false"/>
                <w10:wrap type="none"/>
              </v:line>
            </w:pict>
          </mc:Fallback>
        </mc:AlternateConten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实测套内建筑面积</w:t>
      </w:r>
      <w:r>
        <w:rPr>
          <w:rFonts w:ascii="方正书宋_GBK" w:hAnsi="方正书宋_GBK" w:cs="方正书宋_GBK" w:eastAsia="方正书宋_GBK"/>
          <w:bCs/>
          <w:sz w:val="22"/>
          <w:szCs w:val="22"/>
        </w:rPr>
        <w:t>－</w:t>
      </w:r>
      <w:r>
        <w:rPr>
          <w:rFonts w:ascii="方正书宋_GBK" w:hAnsi="方正书宋_GBK" w:cs="方正书宋_GBK" w:eastAsia="方正书宋_GBK"/>
          <w:sz w:val="22"/>
          <w:szCs w:val="22"/>
        </w:rPr>
        <w:t xml:space="preserve">预测套内建筑面积           </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 xml:space="preserve">  </w:t>
      </w:r>
      <w:r>
        <mc:AlternateContent>
          <mc:Choice Requires="wps">
            <w:drawing>
              <wp:anchor behindDoc="0" distT="0" distB="0" distL="114935" distR="114935" simplePos="0" locked="0" layoutInCell="1" allowOverlap="1" relativeHeight="42">
                <wp:simplePos x="0" y="0"/>
                <wp:positionH relativeFrom="column">
                  <wp:posOffset>1006475</wp:posOffset>
                </wp:positionH>
                <wp:positionV relativeFrom="paragraph">
                  <wp:posOffset>128905</wp:posOffset>
                </wp:positionV>
                <wp:extent cx="3493770" cy="269875"/>
                <wp:effectExtent l="0" t="0" r="0" b="0"/>
                <wp:wrapNone/>
                <wp:docPr id="6" name="Frame1"/>
                <a:graphic xmlns:a="http://schemas.openxmlformats.org/drawingml/2006/main">
                  <a:graphicData uri="http://schemas.microsoft.com/office/word/2010/wordprocessingShape">
                    <wps:wsp>
                      <wps:cNvSpPr txBox="1"/>
                      <wps:spPr>
                        <a:xfrm>
                          <a:off x="0" y="0"/>
                          <a:ext cx="3493770" cy="269875"/>
                        </a:xfrm>
                        <a:prstGeom prst="rect"/>
                        <a:solidFill>
                          <a:srgbClr val="FFFFFF">
                            <a:alpha val="0"/>
                          </a:srgbClr>
                        </a:solidFill>
                      </wps:spPr>
                      <wps:txbx>
                        <w:txbxContent>
                          <w:p>
                            <w:pPr>
                              <w:pStyle w:val="Normal"/>
                              <w:rPr/>
                            </w:pPr>
                            <w:r>
                              <w:rPr/>
                            </w:r>
                          </w:p>
                        </w:txbxContent>
                      </wps:txbx>
                      <wps:bodyPr anchor="t" lIns="92075" tIns="46355" rIns="92075" bIns="46355">
                        <a:noAutofit/>
                      </wps:bodyPr>
                    </wps:wsp>
                  </a:graphicData>
                </a:graphic>
              </wp:anchor>
            </w:drawing>
          </mc:Choice>
          <mc:Fallback>
            <w:pict>
              <v:rect fillcolor="#FFFFFF" style="position:absolute;rotation:-0;width:275.1pt;height:21.25pt;mso-wrap-distance-left:9.05pt;mso-wrap-distance-right:9.05pt;mso-wrap-distance-top:0pt;mso-wrap-distance-bottom:0pt;margin-top:10.15pt;mso-position-vertical-relative:text;margin-left:79.25pt;mso-position-horizontal-relative:text">
                <v:fill opacity="0f"/>
                <v:textbox inset="0.100694444444444in,0.0506944444444444in,0.100694444444444in,0.0506944444444444in">
                  <w:txbxContent>
                    <w:p>
                      <w:pPr>
                        <w:pStyle w:val="Normal"/>
                        <w:rPr/>
                      </w:pPr>
                      <w:r>
                        <w:rPr/>
                      </w:r>
                    </w:p>
                  </w:txbxContent>
                </v:textbox>
                <w10:wrap type="none"/>
              </v:rect>
            </w:pict>
          </mc:Fallback>
        </mc:AlternateContent>
      </w:r>
    </w:p>
    <w:p>
      <w:pPr>
        <w:pStyle w:val="Normal"/>
        <w:keepNext w:val="false"/>
        <w:keepLines w:val="false"/>
        <w:pageBreakBefore w:val="false"/>
        <w:widowControl/>
        <w:kinsoku w:val="true"/>
        <w:overflowPunct w:val="true"/>
        <w:autoSpaceDE w:val="true"/>
        <w:bidi w:val="0"/>
        <w:snapToGrid w:val="true"/>
        <w:spacing w:lineRule="exact" w:line="420"/>
        <w:ind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套内建筑面积误差比＝</w:t>
      </w:r>
      <w:r>
        <w:rPr>
          <w:rFonts w:ascii="方正书宋_GBK" w:hAnsi="方正书宋_GBK" w:cs="方正书宋_GBK" w:eastAsia="方正书宋_GBK"/>
          <w:kern w:val="2"/>
          <w:sz w:val="22"/>
          <w:szCs w:val="22"/>
          <w:u w:val="none"/>
        </w:rPr>
        <w:t xml:space="preserve">             </w:t>
      </w:r>
      <w:r>
        <w:rPr>
          <w:rFonts w:ascii="方正书宋_GBK" w:hAnsi="方正书宋_GBK" w:cs="方正书宋_GBK" w:eastAsia="方正书宋_GBK"/>
          <w:sz w:val="22"/>
          <w:szCs w:val="22"/>
        </w:rPr>
        <w:t xml:space="preserve">预测套内建筑面积 </w:t>
      </w:r>
      <w:r>
        <w:rPr>
          <w:rFonts w:eastAsia="方正书宋_GBK" w:cs="方正书宋_GBK" w:ascii="方正书宋_GBK" w:hAnsi="方正书宋_GBK"/>
          <w:sz w:val="22"/>
          <w:szCs w:val="22"/>
        </w:rPr>
        <w:t></w:t>
      </w:r>
      <w:r>
        <w:rPr>
          <w:rFonts w:eastAsia="方正书宋_GBK" w:cs="方正书宋_GBK" w:ascii="方正书宋_GBK" w:hAnsi="方正书宋_GBK"/>
          <w:kern w:val="2"/>
          <w:sz w:val="22"/>
          <w:szCs w:val="22"/>
          <w:u w:val="none"/>
        </w:rPr>
        <w:t xml:space="preserve">                </w:t>
      </w:r>
      <w:r>
        <w:rPr>
          <w:rFonts w:eastAsia="方正书宋_GBK" w:cs="方正书宋_GBK" w:ascii="方正书宋_GBK" w:hAnsi="方正书宋_GBK"/>
          <w:sz w:val="22"/>
          <w:szCs w:val="22"/>
        </w:rPr>
        <w:t>×100%</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                    </w:t>
      </w:r>
      <w:r>
        <w:rPr>
          <w:rFonts w:eastAsia="方正书宋_GBK" w:cs="方正书宋_GBK" w:ascii="方正书宋_GBK" w:hAnsi="方正书宋_GBK"/>
          <w:sz w:val="22"/>
          <w:szCs w:val="22"/>
          <w:lang w:val="en-US" w:eastAsia="zh-CN"/>
        </w:rPr>
        <w:t xml:space="preserve">   </w:t>
      </w:r>
      <w:r>
        <w:rPr>
          <w:rFonts w:eastAsia="方正书宋_GBK" w:cs="方正书宋_GBK" w:ascii="方正书宋_GBK" w:hAnsi="方正书宋_GBK"/>
          <w:sz w:val="22"/>
          <w:szCs w:val="22"/>
        </w:rPr>
        <w:t xml:space="preserve"> </w:t>
      </w:r>
    </w:p>
    <w:p>
      <w:pPr>
        <w:pStyle w:val="Normal"/>
        <w:keepNext w:val="false"/>
        <w:keepLines w:val="false"/>
        <w:pageBreakBefore w:val="false"/>
        <w:widowControl/>
        <w:numPr>
          <w:ilvl w:val="0"/>
          <w:numId w:val="1"/>
        </w:numPr>
        <w:tabs>
          <w:tab w:val="clear" w:pos="420"/>
          <w:tab w:val="left" w:pos="312" w:leader="none"/>
        </w:tabs>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因设计变更造成面积差异，</w:t>
      </w:r>
      <w:r>
        <w:rPr>
          <w:rFonts w:ascii="方正书宋_GBK" w:hAnsi="方正书宋_GBK" w:cs="方正书宋_GBK" w:eastAsia="方正书宋_GBK"/>
          <w:sz w:val="22"/>
          <w:szCs w:val="22"/>
          <w:lang w:eastAsia="zh-CN"/>
        </w:rPr>
        <w:t>三方</w:t>
      </w:r>
      <w:r>
        <w:rPr>
          <w:rFonts w:ascii="方正书宋_GBK" w:hAnsi="方正书宋_GBK" w:cs="方正书宋_GBK" w:eastAsia="方正书宋_GBK"/>
          <w:sz w:val="22"/>
          <w:szCs w:val="22"/>
        </w:rPr>
        <w:t>不解除合同的，应当签署补充协议。</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（二）根据第六条按照建筑面积计价的约定，</w:t>
      </w:r>
      <w:r>
        <w:rPr>
          <w:rFonts w:ascii="方正书宋_GBK" w:hAnsi="方正书宋_GBK" w:cs="方正书宋_GBK" w:eastAsia="方正书宋_GBK"/>
          <w:sz w:val="22"/>
          <w:szCs w:val="22"/>
          <w:lang w:eastAsia="zh-CN"/>
        </w:rPr>
        <w:t>三方</w:t>
      </w:r>
      <w:r>
        <w:rPr>
          <w:rFonts w:ascii="方正书宋_GBK" w:hAnsi="方正书宋_GBK" w:cs="方正书宋_GBK" w:eastAsia="方正书宋_GBK"/>
          <w:sz w:val="22"/>
          <w:szCs w:val="22"/>
        </w:rPr>
        <w:t xml:space="preserve">同意按照下列原则处理： </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lang w:val="en-US" w:eastAsia="zh-CN"/>
        </w:rPr>
        <w:t>1.</w:t>
      </w:r>
      <w:r>
        <w:rPr>
          <w:rFonts w:ascii="方正书宋_GBK" w:hAnsi="方正书宋_GBK" w:cs="方正书宋_GBK" w:eastAsia="方正书宋_GBK"/>
          <w:sz w:val="22"/>
          <w:szCs w:val="22"/>
        </w:rPr>
        <w:t>建筑面积误差比绝对值均在</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以内（含</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 xml:space="preserve">）的，根据实测建筑面积结算房价款； </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lang w:val="en-US" w:eastAsia="zh-CN"/>
        </w:rPr>
        <w:t>2.</w:t>
      </w:r>
      <w:r>
        <w:rPr>
          <w:rFonts w:ascii="方正书宋_GBK" w:hAnsi="方正书宋_GBK" w:cs="方正书宋_GBK" w:eastAsia="方正书宋_GBK"/>
          <w:sz w:val="22"/>
          <w:szCs w:val="22"/>
        </w:rPr>
        <w:t>建筑面积误差比绝对值超出</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时，</w:t>
      </w:r>
      <w:r>
        <w:rPr>
          <w:rFonts w:ascii="方正书宋_GBK" w:hAnsi="方正书宋_GBK" w:cs="方正书宋_GBK" w:eastAsia="方正书宋_GBK"/>
          <w:sz w:val="22"/>
          <w:szCs w:val="22"/>
          <w:lang w:eastAsia="zh-CN"/>
        </w:rPr>
        <w:t>乙方</w:t>
      </w:r>
      <w:r>
        <w:rPr>
          <w:rFonts w:ascii="方正书宋_GBK" w:hAnsi="方正书宋_GBK" w:cs="方正书宋_GBK" w:eastAsia="方正书宋_GBK"/>
          <w:sz w:val="22"/>
          <w:szCs w:val="22"/>
        </w:rPr>
        <w:t xml:space="preserve">有权解除合同。 </w:t>
      </w:r>
      <w:r>
        <w:rPr>
          <w:rFonts w:eastAsia="方正书宋_GBK" w:cs="方正书宋_GBK" w:ascii="方正书宋_GBK" w:hAnsi="方正书宋_GBK"/>
          <w:sz w:val="22"/>
          <w:szCs w:val="22"/>
        </w:rPr>
        <w:t xml:space="preserve"> </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乙方</w:t>
      </w:r>
      <w:r>
        <w:rPr>
          <w:rFonts w:ascii="方正书宋_GBK" w:hAnsi="方正书宋_GBK" w:cs="方正书宋_GBK" w:eastAsia="方正书宋_GBK"/>
          <w:sz w:val="22"/>
          <w:szCs w:val="22"/>
        </w:rPr>
        <w:t>解除合同的，应当书面通知</w:t>
      </w:r>
      <w:r>
        <w:rPr>
          <w:rFonts w:ascii="方正书宋_GBK" w:hAnsi="方正书宋_GBK" w:cs="方正书宋_GBK" w:eastAsia="方正书宋_GBK"/>
          <w:sz w:val="22"/>
          <w:szCs w:val="22"/>
          <w:lang w:eastAsia="zh-CN"/>
        </w:rPr>
        <w:t>甲方、丙方</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eastAsia="zh-CN"/>
        </w:rPr>
        <w:t>甲方</w:t>
      </w:r>
      <w:r>
        <w:rPr>
          <w:rFonts w:ascii="方正书宋_GBK" w:hAnsi="方正书宋_GBK" w:cs="方正书宋_GBK" w:eastAsia="方正书宋_GBK"/>
          <w:sz w:val="22"/>
          <w:szCs w:val="22"/>
        </w:rPr>
        <w:t>应当自解除合同通知送达之日起</w:t>
      </w:r>
      <w:r>
        <w:rPr>
          <w:rFonts w:eastAsia="方正书宋_GBK" w:cs="方正书宋_GBK" w:ascii="方正书宋_GBK" w:hAnsi="方正书宋_GBK"/>
          <w:sz w:val="22"/>
          <w:szCs w:val="22"/>
          <w:lang w:val="en-US" w:eastAsia="zh-CN"/>
        </w:rPr>
        <w:t>15</w:t>
      </w:r>
      <w:r>
        <w:rPr>
          <w:rFonts w:ascii="方正书宋_GBK" w:hAnsi="方正书宋_GBK" w:cs="方正书宋_GBK" w:eastAsia="方正书宋_GBK"/>
          <w:sz w:val="22"/>
          <w:szCs w:val="22"/>
        </w:rPr>
        <w:t>日内退还</w:t>
      </w:r>
      <w:r>
        <w:rPr>
          <w:rFonts w:ascii="方正书宋_GBK" w:hAnsi="方正书宋_GBK" w:cs="方正书宋_GBK" w:eastAsia="方正书宋_GBK"/>
          <w:sz w:val="22"/>
          <w:szCs w:val="22"/>
          <w:lang w:eastAsia="zh-CN"/>
        </w:rPr>
        <w:t>乙方</w:t>
      </w:r>
      <w:r>
        <w:rPr>
          <w:rFonts w:ascii="方正书宋_GBK" w:hAnsi="方正书宋_GBK" w:cs="方正书宋_GBK" w:eastAsia="方正书宋_GBK"/>
          <w:sz w:val="22"/>
          <w:szCs w:val="22"/>
        </w:rPr>
        <w:t>已付全部房价款（含已付贷款部分），并自</w:t>
      </w:r>
      <w:r>
        <w:rPr>
          <w:rFonts w:ascii="方正书宋_GBK" w:hAnsi="方正书宋_GBK" w:cs="方正书宋_GBK" w:eastAsia="方正书宋_GBK"/>
          <w:sz w:val="22"/>
          <w:szCs w:val="22"/>
          <w:lang w:eastAsia="zh-CN"/>
        </w:rPr>
        <w:t>乙方</w:t>
      </w:r>
      <w:r>
        <w:rPr>
          <w:rFonts w:ascii="方正书宋_GBK" w:hAnsi="方正书宋_GBK" w:cs="方正书宋_GBK" w:eastAsia="方正书宋_GBK"/>
          <w:sz w:val="22"/>
          <w:szCs w:val="22"/>
        </w:rPr>
        <w:t>付款之日起，按照</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（不低于起息日前一个工作日全国银行间同业拆借中心</w:t>
      </w:r>
      <w:r>
        <w:rPr>
          <w:rFonts w:ascii="方正书宋_GBK" w:hAnsi="方正书宋_GBK" w:cs="方正书宋_GBK" w:eastAsia="方正书宋_GBK"/>
          <w:sz w:val="22"/>
          <w:szCs w:val="22"/>
          <w:lang w:eastAsia="zh-CN"/>
        </w:rPr>
        <w:t>公布</w:t>
      </w:r>
      <w:r>
        <w:rPr>
          <w:rFonts w:ascii="方正书宋_GBK" w:hAnsi="方正书宋_GBK" w:cs="方正书宋_GBK" w:eastAsia="方正书宋_GBK"/>
          <w:sz w:val="22"/>
          <w:szCs w:val="22"/>
        </w:rPr>
        <w:t>的</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 xml:space="preserve">年期贷款市场报价利率）计算给付利息。 </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建筑面积误差比绝对值超出</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时，</w:t>
      </w:r>
      <w:r>
        <w:rPr>
          <w:rFonts w:ascii="方正书宋_GBK" w:hAnsi="方正书宋_GBK" w:cs="方正书宋_GBK" w:eastAsia="方正书宋_GBK"/>
          <w:sz w:val="22"/>
          <w:szCs w:val="22"/>
          <w:lang w:eastAsia="zh-CN"/>
        </w:rPr>
        <w:t>乙方</w:t>
      </w:r>
      <w:r>
        <w:rPr>
          <w:rFonts w:ascii="方正书宋_GBK" w:hAnsi="方正书宋_GBK" w:cs="方正书宋_GBK" w:eastAsia="方正书宋_GBK"/>
          <w:sz w:val="22"/>
          <w:szCs w:val="22"/>
        </w:rPr>
        <w:t>不解除合同的，实测建筑面积大于预测建筑面积时，建筑面积误差比在</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以内（含</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）部分的房价款由</w:t>
      </w:r>
      <w:r>
        <w:rPr>
          <w:rFonts w:ascii="方正书宋_GBK" w:hAnsi="方正书宋_GBK" w:cs="方正书宋_GBK" w:eastAsia="方正书宋_GBK"/>
          <w:sz w:val="22"/>
          <w:szCs w:val="22"/>
          <w:lang w:eastAsia="zh-CN"/>
        </w:rPr>
        <w:t>乙方</w:t>
      </w:r>
      <w:r>
        <w:rPr>
          <w:rFonts w:ascii="方正书宋_GBK" w:hAnsi="方正书宋_GBK" w:cs="方正书宋_GBK" w:eastAsia="方正书宋_GBK"/>
          <w:sz w:val="22"/>
          <w:szCs w:val="22"/>
        </w:rPr>
        <w:t>补足，超出</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部分的房价款由</w:t>
      </w:r>
      <w:r>
        <w:rPr>
          <w:rFonts w:ascii="方正书宋_GBK" w:hAnsi="方正书宋_GBK" w:cs="方正书宋_GBK" w:eastAsia="方正书宋_GBK"/>
          <w:sz w:val="22"/>
          <w:szCs w:val="22"/>
          <w:lang w:eastAsia="zh-CN"/>
        </w:rPr>
        <w:t>甲方</w:t>
      </w:r>
      <w:r>
        <w:rPr>
          <w:rFonts w:ascii="方正书宋_GBK" w:hAnsi="方正书宋_GBK" w:cs="方正书宋_GBK" w:eastAsia="方正书宋_GBK"/>
          <w:sz w:val="22"/>
          <w:szCs w:val="22"/>
        </w:rPr>
        <w:t>承担，产权归</w:t>
      </w:r>
      <w:r>
        <w:rPr>
          <w:rFonts w:ascii="方正书宋_GBK" w:hAnsi="方正书宋_GBK" w:cs="方正书宋_GBK" w:eastAsia="方正书宋_GBK"/>
          <w:sz w:val="22"/>
          <w:szCs w:val="22"/>
          <w:lang w:eastAsia="zh-CN"/>
        </w:rPr>
        <w:t>乙方、丙方</w:t>
      </w:r>
      <w:r>
        <w:rPr>
          <w:rFonts w:ascii="方正书宋_GBK" w:hAnsi="方正书宋_GBK" w:cs="方正书宋_GBK" w:eastAsia="方正书宋_GBK"/>
          <w:sz w:val="22"/>
          <w:szCs w:val="22"/>
        </w:rPr>
        <w:t>所有。实测建筑面积小于预测建筑面积时，建筑面积误差比绝对值在</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以内（含</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）部分的房价款由</w:t>
      </w:r>
      <w:r>
        <w:rPr>
          <w:rFonts w:ascii="方正书宋_GBK" w:hAnsi="方正书宋_GBK" w:cs="方正书宋_GBK" w:eastAsia="方正书宋_GBK"/>
          <w:sz w:val="22"/>
          <w:szCs w:val="22"/>
          <w:lang w:eastAsia="zh-CN"/>
        </w:rPr>
        <w:t>甲方</w:t>
      </w:r>
      <w:r>
        <w:rPr>
          <w:rFonts w:ascii="方正书宋_GBK" w:hAnsi="方正书宋_GBK" w:cs="方正书宋_GBK" w:eastAsia="方正书宋_GBK"/>
          <w:sz w:val="22"/>
          <w:szCs w:val="22"/>
        </w:rPr>
        <w:t>返还</w:t>
      </w:r>
      <w:r>
        <w:rPr>
          <w:rFonts w:ascii="方正书宋_GBK" w:hAnsi="方正书宋_GBK" w:cs="方正书宋_GBK" w:eastAsia="方正书宋_GBK"/>
          <w:sz w:val="22"/>
          <w:szCs w:val="22"/>
          <w:lang w:eastAsia="zh-CN"/>
        </w:rPr>
        <w:t>乙方</w:t>
      </w:r>
      <w:r>
        <w:rPr>
          <w:rFonts w:ascii="方正书宋_GBK" w:hAnsi="方正书宋_GBK" w:cs="方正书宋_GBK" w:eastAsia="方正书宋_GBK"/>
          <w:sz w:val="22"/>
          <w:szCs w:val="22"/>
        </w:rPr>
        <w:t>；绝对值超出</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部分的房价款由</w:t>
      </w:r>
      <w:r>
        <w:rPr>
          <w:rFonts w:ascii="方正书宋_GBK" w:hAnsi="方正书宋_GBK" w:cs="方正书宋_GBK" w:eastAsia="方正书宋_GBK"/>
          <w:sz w:val="22"/>
          <w:szCs w:val="22"/>
          <w:lang w:eastAsia="zh-CN"/>
        </w:rPr>
        <w:t>甲方</w:t>
      </w:r>
      <w:r>
        <w:rPr>
          <w:rFonts w:ascii="方正书宋_GBK" w:hAnsi="方正书宋_GBK" w:cs="方正书宋_GBK" w:eastAsia="方正书宋_GBK"/>
          <w:sz w:val="22"/>
          <w:szCs w:val="22"/>
        </w:rPr>
        <w:t>双倍返还</w:t>
      </w:r>
      <w:r>
        <w:rPr>
          <w:rFonts w:ascii="方正书宋_GBK" w:hAnsi="方正书宋_GBK" w:cs="方正书宋_GBK" w:eastAsia="方正书宋_GBK"/>
          <w:sz w:val="22"/>
          <w:szCs w:val="22"/>
          <w:lang w:eastAsia="zh-CN"/>
        </w:rPr>
        <w:t>乙方</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建筑面积误差比绝对值在</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以内（含</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）、套内建筑面积误差比绝对值超出</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时，</w:t>
      </w:r>
      <w:r>
        <w:rPr>
          <w:rFonts w:ascii="方正书宋_GBK" w:hAnsi="方正书宋_GBK" w:cs="方正书宋_GBK" w:eastAsia="方正书宋_GBK"/>
          <w:sz w:val="22"/>
          <w:szCs w:val="22"/>
          <w:lang w:eastAsia="zh-CN"/>
        </w:rPr>
        <w:t>乙方</w:t>
      </w:r>
      <w:r>
        <w:rPr>
          <w:rFonts w:ascii="方正书宋_GBK" w:hAnsi="方正书宋_GBK" w:cs="方正书宋_GBK" w:eastAsia="方正书宋_GBK"/>
          <w:sz w:val="22"/>
          <w:szCs w:val="22"/>
        </w:rPr>
        <w:t>不解除合同的，根据实测建筑面积结算房价款。</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w:t>
      </w:r>
      <w:r>
        <w:rPr>
          <w:rFonts w:eastAsia="方正书宋_GBK" w:cs="方正书宋_GBK" w:ascii="方正书宋_GBK" w:hAnsi="方正书宋_GBK"/>
          <w:sz w:val="22"/>
          <w:szCs w:val="22"/>
          <w:lang w:val="en-US" w:eastAsia="zh-CN"/>
        </w:rPr>
        <w:t xml:space="preserve"> </w:t>
      </w:r>
      <w:r>
        <w:rPr>
          <w:rFonts w:ascii="方正书宋_GBK" w:hAnsi="方正书宋_GBK" w:cs="方正书宋_GBK" w:eastAsia="方正书宋_GBK"/>
          <w:sz w:val="22"/>
          <w:szCs w:val="22"/>
        </w:rPr>
        <w:t>实测建筑面积</w:t>
      </w:r>
      <w:r>
        <w:rPr>
          <w:rFonts w:ascii="方正书宋_GBK" w:hAnsi="方正书宋_GBK" w:cs="方正书宋_GBK" w:eastAsia="方正书宋_GBK"/>
          <w:b w:val="false"/>
          <w:bCs w:val="false"/>
          <w:sz w:val="22"/>
          <w:szCs w:val="22"/>
        </w:rPr>
        <w:t>－</w:t>
      </w:r>
      <w:r>
        <w:rPr>
          <w:rFonts w:ascii="方正书宋_GBK" w:hAnsi="方正书宋_GBK" w:cs="方正书宋_GBK" w:eastAsia="方正书宋_GBK"/>
          <w:sz w:val="22"/>
          <w:szCs w:val="22"/>
        </w:rPr>
        <w:t xml:space="preserve">预测建筑面积 </w:t>
      </w:r>
      <w:r>
        <w:rPr>
          <w:rFonts w:eastAsia="方正书宋_GBK" w:cs="方正书宋_GBK" w:ascii="方正书宋_GBK" w:hAnsi="方正书宋_GBK"/>
          <w:sz w:val="22"/>
          <w:szCs w:val="22"/>
        </w:rPr>
        <w:t xml:space="preserve"> </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mc:AlternateContent>
          <mc:Choice Requires="wps">
            <w:drawing>
              <wp:anchor behindDoc="0" distT="0" distB="0" distL="114935" distR="114935" simplePos="0" locked="0" layoutInCell="1" allowOverlap="1" relativeHeight="45">
                <wp:simplePos x="0" y="0"/>
                <wp:positionH relativeFrom="column">
                  <wp:posOffset>1710690</wp:posOffset>
                </wp:positionH>
                <wp:positionV relativeFrom="paragraph">
                  <wp:posOffset>57150</wp:posOffset>
                </wp:positionV>
                <wp:extent cx="2413000" cy="635"/>
                <wp:effectExtent l="635" t="5080" r="635" b="5080"/>
                <wp:wrapNone/>
                <wp:docPr id="7" name="直线 6"/>
                <a:graphic xmlns:a="http://schemas.openxmlformats.org/drawingml/2006/main">
                  <a:graphicData uri="http://schemas.microsoft.com/office/word/2010/wordprocessingShape">
                    <wps:wsp>
                      <wps:cNvSpPr/>
                      <wps:spPr>
                        <a:xfrm>
                          <a:off x="0" y="0"/>
                          <a:ext cx="2413080" cy="72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34.7pt,4.5pt" to="324.65pt,4.5pt" ID="直线 6" stroked="t" o:allowincell="f" style="position:absolute">
                <v:stroke color="black" weight="9360" joinstyle="miter" endcap="flat"/>
                <v:fill o:detectmouseclick="t" on="false"/>
                <w10:wrap type="none"/>
              </v:line>
            </w:pict>
          </mc:Fallback>
        </mc:AlternateContent>
      </w:r>
      <w:r>
        <w:rPr>
          <w:rFonts w:ascii="方正书宋_GBK" w:hAnsi="方正书宋_GBK" w:cs="方正书宋_GBK" w:eastAsia="方正书宋_GBK"/>
          <w:sz w:val="22"/>
          <w:szCs w:val="22"/>
        </w:rPr>
        <w:t>建筑面积误差比＝</w:t>
      </w:r>
      <w:r>
        <w:rPr>
          <w:rFonts w:ascii="方正书宋_GBK" w:hAnsi="方正书宋_GBK" w:cs="方正书宋_GBK" w:eastAsia="方正书宋_GBK"/>
          <w:kern w:val="2"/>
          <w:sz w:val="22"/>
          <w:szCs w:val="22"/>
          <w:u w:val="none"/>
        </w:rPr>
        <w:t xml:space="preserve">                                    </w:t>
      </w:r>
      <w:r>
        <w:rPr>
          <w:rFonts w:ascii="方正书宋_GBK" w:hAnsi="方正书宋_GBK" w:cs="方正书宋_GBK" w:eastAsia="方正书宋_GBK"/>
          <w:kern w:val="2"/>
          <w:sz w:val="22"/>
          <w:szCs w:val="22"/>
          <w:u w:val="none"/>
          <w:lang w:val="en-US" w:eastAsia="zh-CN"/>
        </w:rPr>
        <w:t xml:space="preserve">     </w:t>
      </w:r>
      <w:r>
        <w:rPr>
          <w:rFonts w:eastAsia="方正书宋_GBK" w:cs="方正书宋_GBK" w:ascii="方正书宋_GBK" w:hAnsi="方正书宋_GBK"/>
          <w:sz w:val="22"/>
          <w:szCs w:val="22"/>
        </w:rPr>
        <w:t xml:space="preserve">×100% </w:t>
      </w:r>
      <w:r>
        <mc:AlternateContent>
          <mc:Choice Requires="wps">
            <w:drawing>
              <wp:anchor behindDoc="0" distT="0" distB="0" distL="114935" distR="114935" simplePos="0" locked="0" layoutInCell="1" allowOverlap="1" relativeHeight="44">
                <wp:simplePos x="0" y="0"/>
                <wp:positionH relativeFrom="column">
                  <wp:posOffset>1584325</wp:posOffset>
                </wp:positionH>
                <wp:positionV relativeFrom="paragraph">
                  <wp:posOffset>46355</wp:posOffset>
                </wp:positionV>
                <wp:extent cx="2174875" cy="309880"/>
                <wp:effectExtent l="0" t="0" r="0" b="0"/>
                <wp:wrapNone/>
                <wp:docPr id="8" name="Frame2"/>
                <a:graphic xmlns:a="http://schemas.openxmlformats.org/drawingml/2006/main">
                  <a:graphicData uri="http://schemas.microsoft.com/office/word/2010/wordprocessingShape">
                    <wps:wsp>
                      <wps:cNvSpPr txBox="1"/>
                      <wps:spPr>
                        <a:xfrm>
                          <a:off x="0" y="0"/>
                          <a:ext cx="2174875" cy="309880"/>
                        </a:xfrm>
                        <a:prstGeom prst="rect"/>
                        <a:solidFill>
                          <a:srgbClr val="FFFFFF">
                            <a:alpha val="0"/>
                          </a:srgbClr>
                        </a:solidFill>
                      </wps:spPr>
                      <wps:txbx>
                        <w:txbxContent>
                          <w:p>
                            <w:pPr>
                              <w:pStyle w:val="Normal"/>
                              <w:spacing w:lineRule="exact" w:line="320"/>
                              <w:rPr/>
                            </w:pPr>
                            <w:r>
                              <w:rPr>
                                <w:rFonts w:eastAsia="Times New Roman"/>
                                <w:lang w:val="en-US" w:eastAsia="zh-CN"/>
                              </w:rPr>
                              <w:t xml:space="preserve">          </w:t>
                            </w:r>
                            <w:r>
                              <w:rPr>
                                <w:rFonts w:ascii="方正书宋_GBK" w:hAnsi="方正书宋_GBK" w:cs="方正书宋_GBK" w:eastAsia="方正书宋_GBK"/>
                                <w:sz w:val="22"/>
                                <w:szCs w:val="22"/>
                              </w:rPr>
                              <w:t xml:space="preserve">预测建筑面积 </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lang w:val="en-US" w:eastAsia="zh-CN"/>
                              </w:rPr>
                              <w:t xml:space="preserve">  </w:t>
                            </w:r>
                          </w:p>
                        </w:txbxContent>
                      </wps:txbx>
                      <wps:bodyPr anchor="t" lIns="92075" tIns="46355" rIns="92075" bIns="46355">
                        <a:noAutofit/>
                      </wps:bodyPr>
                    </wps:wsp>
                  </a:graphicData>
                </a:graphic>
              </wp:anchor>
            </w:drawing>
          </mc:Choice>
          <mc:Fallback>
            <w:pict>
              <v:rect fillcolor="#FFFFFF" style="position:absolute;rotation:-0;width:171.25pt;height:24.4pt;mso-wrap-distance-left:9.05pt;mso-wrap-distance-right:9.05pt;mso-wrap-distance-top:0pt;mso-wrap-distance-bottom:0pt;margin-top:3.65pt;mso-position-vertical-relative:text;margin-left:124.75pt;mso-position-horizontal-relative:text">
                <v:fill opacity="0f"/>
                <v:textbox inset="0.100694444444444in,0.0506944444444444in,0.100694444444444in,0.0506944444444444in">
                  <w:txbxContent>
                    <w:p>
                      <w:pPr>
                        <w:pStyle w:val="Normal"/>
                        <w:spacing w:lineRule="exact" w:line="320"/>
                        <w:rPr/>
                      </w:pPr>
                      <w:r>
                        <w:rPr>
                          <w:rFonts w:eastAsia="Times New Roman"/>
                          <w:lang w:val="en-US" w:eastAsia="zh-CN"/>
                        </w:rPr>
                        <w:t xml:space="preserve">          </w:t>
                      </w:r>
                      <w:r>
                        <w:rPr>
                          <w:rFonts w:ascii="方正书宋_GBK" w:hAnsi="方正书宋_GBK" w:cs="方正书宋_GBK" w:eastAsia="方正书宋_GBK"/>
                          <w:sz w:val="22"/>
                          <w:szCs w:val="22"/>
                        </w:rPr>
                        <w:t xml:space="preserve">预测建筑面积 </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lang w:val="en-US" w:eastAsia="zh-CN"/>
                        </w:rPr>
                        <w:t xml:space="preserve">  </w:t>
                      </w:r>
                    </w:p>
                  </w:txbxContent>
                </v:textbox>
                <w10:wrap type="none"/>
              </v:rect>
            </w:pict>
          </mc:Fallback>
        </mc:AlternateConten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   </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lang w:val="en-US" w:eastAsia="zh-CN"/>
        </w:rPr>
        <w:t>3.</w:t>
      </w:r>
      <w:r>
        <w:rPr>
          <w:rFonts w:ascii="方正书宋_GBK" w:hAnsi="方正书宋_GBK" w:cs="方正书宋_GBK" w:eastAsia="方正书宋_GBK"/>
          <w:sz w:val="22"/>
          <w:szCs w:val="22"/>
        </w:rPr>
        <w:t>因设计变更造成面积差异，</w:t>
      </w:r>
      <w:r>
        <w:rPr>
          <w:rFonts w:ascii="方正书宋_GBK" w:hAnsi="方正书宋_GBK" w:cs="方正书宋_GBK" w:eastAsia="方正书宋_GBK"/>
          <w:sz w:val="22"/>
          <w:szCs w:val="22"/>
          <w:lang w:eastAsia="zh-CN"/>
        </w:rPr>
        <w:t>三方</w:t>
      </w:r>
      <w:r>
        <w:rPr>
          <w:rFonts w:ascii="方正书宋_GBK" w:hAnsi="方正书宋_GBK" w:cs="方正书宋_GBK" w:eastAsia="方正书宋_GBK"/>
          <w:sz w:val="22"/>
          <w:szCs w:val="22"/>
        </w:rPr>
        <w:t>不解除合同的，应当签署补充协议。</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w:t>
      </w:r>
      <w:r>
        <w:rPr>
          <w:rFonts w:ascii="方正书宋_GBK" w:hAnsi="方正书宋_GBK" w:cs="方正书宋_GBK" w:eastAsia="方正书宋_GBK"/>
          <w:sz w:val="22"/>
          <w:szCs w:val="22"/>
          <w:lang w:eastAsia="zh-CN"/>
        </w:rPr>
        <w:t>三方</w:t>
      </w:r>
      <w:r>
        <w:rPr>
          <w:rFonts w:ascii="方正书宋_GBK" w:hAnsi="方正书宋_GBK" w:cs="方正书宋_GBK" w:eastAsia="方正书宋_GBK"/>
          <w:sz w:val="22"/>
          <w:szCs w:val="22"/>
        </w:rPr>
        <w:t>自行约定：</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kern w:val="2"/>
          <w:sz w:val="22"/>
          <w:szCs w:val="22"/>
          <w:u w:val="single"/>
        </w:rPr>
        <w:t xml:space="preserve">                                    </w:t>
      </w:r>
      <w:r>
        <w:rPr>
          <w:rFonts w:ascii="方正书宋_GBK" w:hAnsi="方正书宋_GBK" w:cs="方正书宋_GBK" w:eastAsia="方正书宋_GBK"/>
          <w:kern w:val="2"/>
          <w:sz w:val="22"/>
          <w:szCs w:val="22"/>
          <w:u w:val="single"/>
          <w:lang w:val="en-US" w:eastAsia="zh-CN"/>
        </w:rPr>
        <w:t xml:space="preserve">              </w:t>
      </w:r>
      <w:r>
        <w:rPr>
          <w:rFonts w:ascii="方正书宋_GBK" w:hAnsi="方正书宋_GBK" w:cs="方正书宋_GBK" w:eastAsia="方正书宋_GBK"/>
          <w:kern w:val="2"/>
          <w:sz w:val="22"/>
          <w:szCs w:val="22"/>
          <w:u w:val="single"/>
        </w:rPr>
        <w:t xml:space="preserve">                   </w:t>
      </w:r>
      <w:r>
        <w:rPr>
          <w:rFonts w:ascii="方正书宋_GBK" w:hAnsi="方正书宋_GBK" w:cs="方正书宋_GBK" w:eastAsia="方正书宋_GBK"/>
          <w:kern w:val="2"/>
          <w:sz w:val="22"/>
          <w:szCs w:val="22"/>
        </w:rPr>
        <w:t xml:space="preserve"> </w:t>
      </w:r>
      <w:r>
        <w:rPr>
          <w:rFonts w:ascii="方正书宋_GBK" w:hAnsi="方正书宋_GBK" w:cs="方正书宋_GBK" w:eastAsia="方正书宋_GBK"/>
          <w:kern w:val="2"/>
          <w:sz w:val="22"/>
          <w:szCs w:val="22"/>
        </w:rPr>
        <w:t>。</w:t>
      </w:r>
    </w:p>
    <w:p>
      <w:pPr>
        <w:pStyle w:val="largefont"/>
        <w:keepNext w:val="false"/>
        <w:keepLines w:val="false"/>
        <w:pageBreakBefore w:val="false"/>
        <w:kinsoku w:val="true"/>
        <w:overflowPunct w:val="true"/>
        <w:bidi w:val="0"/>
        <w:spacing w:lineRule="exact" w:line="420" w:before="0" w:after="0"/>
        <w:ind w:hanging="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largefont"/>
        <w:keepNext w:val="false"/>
        <w:keepLines w:val="false"/>
        <w:pageBreakBefore w:val="false"/>
        <w:widowControl/>
        <w:kinsoku w:val="true"/>
        <w:overflowPunct w:val="true"/>
        <w:autoSpaceDE w:val="true"/>
        <w:bidi w:val="0"/>
        <w:snapToGrid w:val="true"/>
        <w:spacing w:lineRule="exact" w:line="420" w:before="0" w:after="0"/>
        <w:ind w:hanging="0" w:end="0"/>
        <w:jc w:val="center"/>
        <w:textAlignment w:val="auto"/>
        <w:rPr>
          <w:rStyle w:val="Strong"/>
          <w:rFonts w:ascii="方正黑体_GBK;微软雅黑" w:hAnsi="方正黑体_GBK;微软雅黑" w:eastAsia="方正黑体_GBK;微软雅黑" w:cs="方正黑体_GBK;微软雅黑"/>
          <w:b w:val="false"/>
          <w:bCs w:val="false"/>
          <w:sz w:val="28"/>
          <w:szCs w:val="28"/>
        </w:rPr>
      </w:pPr>
      <w:r>
        <w:rPr>
          <w:rStyle w:val="Strong"/>
          <w:rFonts w:ascii="方正黑体_GBK;微软雅黑" w:hAnsi="方正黑体_GBK;微软雅黑" w:cs="方正黑体_GBK;微软雅黑" w:eastAsia="方正黑体_GBK;微软雅黑"/>
          <w:b w:val="false"/>
          <w:bCs w:val="false"/>
          <w:sz w:val="28"/>
          <w:szCs w:val="28"/>
        </w:rPr>
        <w:t>第六章  规划设计变更</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Style w:val="Strong"/>
          <w:rFonts w:ascii="方正黑体_GBK;微软雅黑" w:hAnsi="方正黑体_GBK;微软雅黑" w:eastAsia="方正黑体_GBK;微软雅黑" w:cs="方正黑体_GBK;微软雅黑"/>
          <w:b w:val="false"/>
          <w:bCs w:val="false"/>
          <w:sz w:val="22"/>
          <w:szCs w:val="22"/>
        </w:rPr>
      </w:pPr>
      <w:r>
        <w:rPr>
          <w:rStyle w:val="Strong"/>
          <w:rFonts w:ascii="方正黑体_GBK;微软雅黑" w:hAnsi="方正黑体_GBK;微软雅黑" w:cs="方正黑体_GBK;微软雅黑" w:eastAsia="方正黑体_GBK;微软雅黑"/>
          <w:b w:val="false"/>
          <w:bCs w:val="false"/>
          <w:sz w:val="22"/>
          <w:szCs w:val="22"/>
        </w:rPr>
        <w:t xml:space="preserve">第十四条  规划设计变更  </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sz w:val="22"/>
          <w:szCs w:val="22"/>
        </w:rPr>
        <w:t>（一）甲方应当按照城乡规划主管部门核发的建设工程规划许可证规定的条件建设共有产权住房，不得擅自变更。</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双方签订合同后，因规划性质、面积、容积率、绿地率、基础设施、公共服务及其他配套设施等规划内容经城乡规划主管部门批准变更的，或</w:t>
      </w:r>
      <w:r>
        <w:rPr>
          <w:rFonts w:ascii="方正书宋_GBK" w:hAnsi="方正书宋_GBK" w:cs="方正书宋_GBK" w:eastAsia="方正书宋_GBK"/>
          <w:sz w:val="22"/>
          <w:szCs w:val="22"/>
          <w:lang w:eastAsia="zh-CN"/>
        </w:rPr>
        <w:t>甲方</w:t>
      </w:r>
      <w:r>
        <w:rPr>
          <w:rFonts w:ascii="方正书宋_GBK" w:hAnsi="方正书宋_GBK" w:cs="方正书宋_GBK" w:eastAsia="方正书宋_GBK"/>
          <w:sz w:val="22"/>
          <w:szCs w:val="22"/>
        </w:rPr>
        <w:t>按照法定程序变更建筑工程施工图设计文件涉及下列可能影响</w:t>
      </w:r>
      <w:r>
        <w:rPr>
          <w:rFonts w:ascii="方正书宋_GBK" w:hAnsi="方正书宋_GBK" w:cs="方正书宋_GBK" w:eastAsia="方正书宋_GBK"/>
          <w:sz w:val="22"/>
          <w:szCs w:val="22"/>
          <w:lang w:eastAsia="zh-CN"/>
        </w:rPr>
        <w:t>乙方、丙方</w:t>
      </w:r>
      <w:r>
        <w:rPr>
          <w:rFonts w:ascii="方正书宋_GBK" w:hAnsi="方正书宋_GBK" w:cs="方正书宋_GBK" w:eastAsia="方正书宋_GBK"/>
          <w:sz w:val="22"/>
          <w:szCs w:val="22"/>
        </w:rPr>
        <w:t>所购</w:t>
      </w:r>
      <w:r>
        <w:rPr>
          <w:rFonts w:ascii="方正书宋_GBK" w:hAnsi="方正书宋_GBK" w:cs="方正书宋_GBK" w:eastAsia="方正书宋_GBK"/>
          <w:sz w:val="22"/>
          <w:szCs w:val="22"/>
          <w:lang w:eastAsia="zh-CN"/>
        </w:rPr>
        <w:t>房屋</w:t>
      </w:r>
      <w:r>
        <w:rPr>
          <w:rFonts w:ascii="方正书宋_GBK" w:hAnsi="方正书宋_GBK" w:cs="方正书宋_GBK" w:eastAsia="方正书宋_GBK"/>
          <w:sz w:val="22"/>
          <w:szCs w:val="22"/>
        </w:rPr>
        <w:t>质量或使用功能情形的，以及由此引起共有部分建筑面积分摊说明发生变化的，甲方应当自变更确立之日起</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日内将书面通知送达乙方</w:t>
      </w:r>
      <w:r>
        <w:rPr>
          <w:rFonts w:ascii="方正书宋_GBK" w:hAnsi="方正书宋_GBK" w:cs="方正书宋_GBK" w:eastAsia="方正书宋_GBK"/>
          <w:sz w:val="22"/>
          <w:szCs w:val="22"/>
          <w:lang w:eastAsia="zh-CN"/>
        </w:rPr>
        <w:t>、丙方</w:t>
      </w:r>
      <w:r>
        <w:rPr>
          <w:rFonts w:ascii="方正书宋_GBK" w:hAnsi="方正书宋_GBK" w:cs="方正书宋_GBK" w:eastAsia="方正书宋_GBK"/>
          <w:sz w:val="22"/>
          <w:szCs w:val="22"/>
        </w:rPr>
        <w:t>。甲方未在规定期限内通知乙方的，乙方有权解除合同。</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 xml:space="preserve">该共有产权住房结构形式、户型、空间尺寸、朝向。 </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 xml:space="preserve">供热、采暖方式。 </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3.</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（二）乙方应当自通知送达之日起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日内做出是否解除合同的书面答复。乙方逾期未予以书面答复的，视同接受变更。</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（三）乙方解除合同的，应当书面通知甲方。甲方应当自解除合同通知送达之日起</w:t>
      </w:r>
      <w:r>
        <w:rPr>
          <w:rFonts w:eastAsia="方正书宋_GBK" w:cs="方正书宋_GBK" w:ascii="方正书宋_GBK" w:hAnsi="方正书宋_GBK"/>
          <w:sz w:val="22"/>
          <w:szCs w:val="22"/>
          <w:lang w:val="en-US" w:eastAsia="zh-CN"/>
        </w:rPr>
        <w:t>15</w:t>
      </w:r>
      <w:r>
        <w:rPr>
          <w:rFonts w:ascii="方正书宋_GBK" w:hAnsi="方正书宋_GBK" w:cs="方正书宋_GBK" w:eastAsia="方正书宋_GBK"/>
          <w:sz w:val="22"/>
          <w:szCs w:val="22"/>
        </w:rPr>
        <w:t>日内退还乙方已付</w:t>
      </w:r>
      <w:r>
        <w:rPr>
          <w:rFonts w:ascii="方正书宋_GBK" w:hAnsi="方正书宋_GBK" w:cs="方正书宋_GBK" w:eastAsia="方正书宋_GBK"/>
          <w:bCs/>
          <w:sz w:val="22"/>
          <w:szCs w:val="22"/>
        </w:rPr>
        <w:t>全部</w:t>
      </w:r>
      <w:r>
        <w:rPr>
          <w:rFonts w:ascii="方正书宋_GBK" w:hAnsi="方正书宋_GBK" w:cs="方正书宋_GBK" w:eastAsia="方正书宋_GBK"/>
          <w:sz w:val="22"/>
          <w:szCs w:val="22"/>
        </w:rPr>
        <w:t>房价款（含已付贷款部分），并自乙方付款之日起，按照</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（不低于同期全国银行间同业拆借中心公布的一年期贷款市场报价利率）计算给付利息；同时，甲方按照全部房价款的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向乙方支付违约金。</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（四）</w:t>
      </w:r>
      <w:r>
        <w:rPr>
          <w:rFonts w:ascii="方正书宋_GBK" w:hAnsi="方正书宋_GBK" w:cs="方正书宋_GBK" w:eastAsia="方正书宋_GBK"/>
          <w:sz w:val="22"/>
          <w:szCs w:val="22"/>
        </w:rPr>
        <w:t xml:space="preserve">乙方不解除合同的，有权要求甲方赔偿由此造成的损失，双方约定如下： </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kinsoku w:val="true"/>
        <w:overflowPunct w:val="true"/>
        <w:bidi w:val="0"/>
        <w:spacing w:lineRule="exact" w:line="420"/>
        <w:ind w:end="0"/>
        <w:rPr>
          <w:rFonts w:ascii="宋体" w:hAnsi="宋体" w:cs="宋体"/>
          <w:b/>
          <w:bCs/>
          <w:sz w:val="24"/>
        </w:rPr>
      </w:pPr>
      <w:r>
        <w:rPr>
          <w:rFonts w:ascii="宋体" w:hAnsi="宋体" w:cs="宋体"/>
          <w:b/>
          <w:bCs/>
          <w:sz w:val="24"/>
        </w:rPr>
        <w:t xml:space="preserve">   </w:t>
      </w:r>
    </w:p>
    <w:p>
      <w:pPr>
        <w:pStyle w:val="largefont"/>
        <w:keepNext w:val="false"/>
        <w:keepLines w:val="false"/>
        <w:pageBreakBefore w:val="false"/>
        <w:widowControl/>
        <w:kinsoku w:val="true"/>
        <w:overflowPunct w:val="true"/>
        <w:autoSpaceDE w:val="true"/>
        <w:bidi w:val="0"/>
        <w:snapToGrid w:val="true"/>
        <w:spacing w:lineRule="exact" w:line="420" w:before="0" w:after="0"/>
        <w:ind w:hanging="0" w:end="0"/>
        <w:jc w:val="center"/>
        <w:textAlignment w:val="auto"/>
        <w:rPr>
          <w:rStyle w:val="Strong"/>
          <w:rFonts w:ascii="方正黑体_GBK;微软雅黑" w:hAnsi="方正黑体_GBK;微软雅黑" w:eastAsia="方正黑体_GBK;微软雅黑" w:cs="方正黑体_GBK;微软雅黑"/>
          <w:b w:val="false"/>
          <w:bCs w:val="false"/>
          <w:sz w:val="28"/>
          <w:szCs w:val="28"/>
        </w:rPr>
      </w:pPr>
      <w:r>
        <w:rPr>
          <w:rStyle w:val="Strong"/>
          <w:rFonts w:ascii="方正黑体_GBK;微软雅黑" w:hAnsi="方正黑体_GBK;微软雅黑" w:cs="方正黑体_GBK;微软雅黑" w:eastAsia="方正黑体_GBK;微软雅黑"/>
          <w:b w:val="false"/>
          <w:bCs w:val="false"/>
          <w:sz w:val="28"/>
          <w:szCs w:val="28"/>
        </w:rPr>
        <w:t xml:space="preserve">第七章  共有产权住房质量和保修责任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Style w:val="Strong"/>
          <w:rFonts w:ascii="方正黑体_GBK;微软雅黑" w:hAnsi="方正黑体_GBK;微软雅黑" w:eastAsia="方正黑体_GBK;微软雅黑" w:cs="方正黑体_GBK;微软雅黑"/>
          <w:b w:val="false"/>
          <w:bCs w:val="false"/>
          <w:sz w:val="22"/>
          <w:szCs w:val="22"/>
        </w:rPr>
      </w:pPr>
      <w:r>
        <w:rPr>
          <w:rStyle w:val="Strong"/>
          <w:rFonts w:ascii="方正黑体_GBK;微软雅黑" w:hAnsi="方正黑体_GBK;微软雅黑" w:cs="方正黑体_GBK;微软雅黑" w:eastAsia="方正黑体_GBK;微软雅黑"/>
          <w:b w:val="false"/>
          <w:bCs w:val="false"/>
          <w:sz w:val="22"/>
          <w:szCs w:val="22"/>
        </w:rPr>
        <w:t xml:space="preserve">第十五条 共有产权住房质量 </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bCs/>
          <w:sz w:val="22"/>
          <w:szCs w:val="22"/>
        </w:rPr>
        <w:t>（一）地基基础和主体结构</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甲方承诺该共有产权住房地基基础和主体结构符合国家、本市及</w:t>
      </w:r>
      <w:r>
        <w:rPr>
          <w:rFonts w:ascii="方正书宋_GBK" w:hAnsi="方正书宋_GBK" w:cs="方正书宋_GBK" w:eastAsia="方正书宋_GBK"/>
          <w:sz w:val="22"/>
          <w:szCs w:val="22"/>
          <w:lang w:eastAsia="zh-CN"/>
        </w:rPr>
        <w:t>相关</w:t>
      </w:r>
      <w:r>
        <w:rPr>
          <w:rFonts w:ascii="方正书宋_GBK" w:hAnsi="方正书宋_GBK" w:cs="方正书宋_GBK" w:eastAsia="方正书宋_GBK"/>
          <w:sz w:val="22"/>
          <w:szCs w:val="22"/>
        </w:rPr>
        <w:t>行业标准和施工图设计文件的要求。</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经质量检测机构检测不合格的，乙方有权解除合同。乙方解除合同的，应当书面通知甲方</w:t>
      </w:r>
      <w:r>
        <w:rPr>
          <w:rFonts w:ascii="方正书宋_GBK" w:hAnsi="方正书宋_GBK" w:cs="方正书宋_GBK" w:eastAsia="方正书宋_GBK"/>
          <w:sz w:val="22"/>
          <w:szCs w:val="22"/>
          <w:lang w:eastAsia="zh-CN"/>
        </w:rPr>
        <w:t>、丙方</w:t>
      </w:r>
      <w:r>
        <w:rPr>
          <w:rFonts w:ascii="方正书宋_GBK" w:hAnsi="方正书宋_GBK" w:cs="方正书宋_GBK" w:eastAsia="方正书宋_GBK"/>
          <w:sz w:val="22"/>
          <w:szCs w:val="22"/>
        </w:rPr>
        <w:t>。甲方应当自解除合同通知送达之日起</w:t>
      </w:r>
      <w:r>
        <w:rPr>
          <w:rFonts w:eastAsia="方正书宋_GBK" w:cs="方正书宋_GBK" w:ascii="方正书宋_GBK" w:hAnsi="方正书宋_GBK"/>
          <w:sz w:val="22"/>
          <w:szCs w:val="22"/>
          <w:lang w:val="en-US" w:eastAsia="zh-CN"/>
        </w:rPr>
        <w:t>15</w:t>
      </w:r>
      <w:r>
        <w:rPr>
          <w:rFonts w:ascii="方正书宋_GBK" w:hAnsi="方正书宋_GBK" w:cs="方正书宋_GBK" w:eastAsia="方正书宋_GBK"/>
          <w:sz w:val="22"/>
          <w:szCs w:val="22"/>
        </w:rPr>
        <w:t>日内退还乙方已付</w:t>
      </w:r>
      <w:r>
        <w:rPr>
          <w:rFonts w:ascii="方正书宋_GBK" w:hAnsi="方正书宋_GBK" w:cs="方正书宋_GBK" w:eastAsia="方正书宋_GBK"/>
          <w:bCs/>
          <w:sz w:val="22"/>
          <w:szCs w:val="22"/>
        </w:rPr>
        <w:t>全部</w:t>
      </w:r>
      <w:r>
        <w:rPr>
          <w:rFonts w:ascii="方正书宋_GBK" w:hAnsi="方正书宋_GBK" w:cs="方正书宋_GBK" w:eastAsia="方正书宋_GBK"/>
          <w:sz w:val="22"/>
          <w:szCs w:val="22"/>
        </w:rPr>
        <w:t>房价款（含已付贷款部分），并自乙方付款之日起，按照</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（不低于同期全国银行间同业拆借中心公布的一年期贷款市场报价利率）计算给付利息。给乙方造成损失的，甲方还应当承担赔偿责任，赔偿金额为【已付房价款一倍】【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】。因此而发生的检测费用由甲方承担。</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乙方不解除合同的，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numPr>
          <w:ilvl w:val="0"/>
          <w:numId w:val="2"/>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其他质量问题</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该共有产权住房质量应当符合国家、本市及相关行业标准和施工图设计文件的要求。经质量检测机构检测，发现除地基基础和主体结构外质量问题的，双方按照以下方式处理：</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及时更换、修理</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如给乙方造成损失的，还应当承担相应赔偿责任。</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经过更换、修理，仍然严重影响正常使用的，乙方有权解除合同。乙方解除合同的，应当书面通知甲方</w:t>
      </w:r>
      <w:r>
        <w:rPr>
          <w:rFonts w:ascii="方正书宋_GBK" w:hAnsi="方正书宋_GBK" w:cs="方正书宋_GBK" w:eastAsia="方正书宋_GBK"/>
          <w:sz w:val="22"/>
          <w:szCs w:val="22"/>
          <w:lang w:eastAsia="zh-CN"/>
        </w:rPr>
        <w:t>、丙方</w:t>
      </w:r>
      <w:r>
        <w:rPr>
          <w:rFonts w:ascii="方正书宋_GBK" w:hAnsi="方正书宋_GBK" w:cs="方正书宋_GBK" w:eastAsia="方正书宋_GBK"/>
          <w:sz w:val="22"/>
          <w:szCs w:val="22"/>
        </w:rPr>
        <w:t>。甲方应当自解除合同通知送达之日起</w:t>
      </w:r>
      <w:r>
        <w:rPr>
          <w:rFonts w:eastAsia="方正书宋_GBK" w:cs="方正书宋_GBK" w:ascii="方正书宋_GBK" w:hAnsi="方正书宋_GBK"/>
          <w:sz w:val="22"/>
          <w:szCs w:val="22"/>
          <w:lang w:val="en-US" w:eastAsia="zh-CN"/>
        </w:rPr>
        <w:t>15</w:t>
      </w:r>
      <w:r>
        <w:rPr>
          <w:rFonts w:ascii="方正书宋_GBK" w:hAnsi="方正书宋_GBK" w:cs="方正书宋_GBK" w:eastAsia="方正书宋_GBK"/>
          <w:sz w:val="22"/>
          <w:szCs w:val="22"/>
        </w:rPr>
        <w:t>日内退还乙方已付</w:t>
      </w:r>
      <w:r>
        <w:rPr>
          <w:rFonts w:ascii="方正书宋_GBK" w:hAnsi="方正书宋_GBK" w:cs="方正书宋_GBK" w:eastAsia="方正书宋_GBK"/>
          <w:bCs/>
          <w:sz w:val="22"/>
          <w:szCs w:val="22"/>
        </w:rPr>
        <w:t>全部</w:t>
      </w:r>
      <w:r>
        <w:rPr>
          <w:rFonts w:ascii="方正书宋_GBK" w:hAnsi="方正书宋_GBK" w:cs="方正书宋_GBK" w:eastAsia="方正书宋_GBK"/>
          <w:sz w:val="22"/>
          <w:szCs w:val="22"/>
        </w:rPr>
        <w:t>房价款（含已付贷款部分），并自乙方付款之日起，按照</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（不低于同期全国银行间同业拆借中心公布的一年期贷款市场报价利率）计算给付利息。给乙方造成损失的，由甲方承担相应赔偿责任。因此而发生的检测费用由甲方承担。</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乙方不解除合同的，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（三）装饰装修及设备标准</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该共有产权住房应当使用合格的建筑材料、构配件和设备，装置、装修、装饰所用材料的产品质量必须符合国家和本市关于质量、安全、节能、绿色建筑等方面的强制性标准及双方约定的标准。</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经质量检测机构检测，不符合上述标准的，乙方有权要求甲方按照下列第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方式处理（可多选）：</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firstLine="440" w:end="0"/>
        <w:jc w:val="start"/>
        <w:textAlignment w:val="auto"/>
        <w:outlineLvl w:val="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 xml:space="preserve">及时更换、修理。 </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firstLine="440" w:end="0"/>
        <w:jc w:val="start"/>
        <w:textAlignment w:val="auto"/>
        <w:outlineLvl w:val="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甲方赔偿双倍的装饰、设备差价。</w:t>
      </w:r>
    </w:p>
    <w:p>
      <w:pPr>
        <w:pStyle w:val="Normal"/>
        <w:keepNext w:val="false"/>
        <w:keepLines w:val="false"/>
        <w:pageBreakBefore w:val="false"/>
        <w:widowControl/>
        <w:tabs>
          <w:tab w:val="clear" w:pos="420"/>
          <w:tab w:val="left" w:pos="8100" w:leader="none"/>
        </w:tabs>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【甲方应在项目摇号前，将装修菜单内容进行公示，并配备样板间。样板间应向全体乙方开放，并保留至交房后六个月，其使用的材料、部品、设备等应当与本合同约定一致</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具体装饰装修及相关设备标准的约定见附件六。</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（四）民用建筑节能措施</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承诺该共有产权住房在民用建筑节能和绿色建筑方面合格，并符合国家、本市及相关行业标准。经质量检测机构检测，未达到标准的，甲方应当按照相应标准要求补做节能措施，并承担全部费用；给乙方造成损失的，甲方应当承担相应赔偿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）绿色建筑执行标准及星级情况</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绿色建筑符合【国家】【地方】标准，标准名称：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，标准文号：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；绿色建筑星级等级：【一星级】【二星级】【三星级】。</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）建筑节能设计标准</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符合【国家】【地方】标准，标准名称：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，标准文号：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lang w:eastAsia="zh-CN"/>
        </w:rPr>
        <w:t>。</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【是】【否】超低能耗建筑，标准名称：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标准文号</w:t>
      </w:r>
      <w:r>
        <w:rPr>
          <w:rFonts w:ascii="方正书宋_GBK" w:hAnsi="方正书宋_GBK" w:cs="方正书宋_GBK" w:eastAsia="方正书宋_GBK"/>
          <w:sz w:val="22"/>
          <w:szCs w:val="22"/>
          <w:u w:val="none"/>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rPr>
        <w:t xml:space="preserve">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供暖系统形式：【集中采暖】【分户采暖】【</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】；供暖单位：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；室内系统：【散热器】【地面辐射】【顶板辐射】【其他</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】；供热计量收费方式：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 xml:space="preserve">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可再生能源利用情况：【太阳能热水】：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 xml:space="preserve"> ；【太阳能光伏发电】：</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；【地源热泵】：</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；【空气源热泵】：</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lang w:eastAsia="zh-CN"/>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室内空气质量与建筑隔声措施。</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甲方承诺该共有产权住房在室内空气质量方面符合【国家】【地方】标准，标准名称：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，标准文号：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该共有产权住房建筑隔声情况符合《民用建筑隔声设计规范》（</w:t>
      </w:r>
      <w:r>
        <w:rPr>
          <w:rFonts w:eastAsia="方正书宋_GBK" w:cs="方正书宋_GBK" w:ascii="方正书宋_GBK" w:hAnsi="方正书宋_GBK"/>
          <w:sz w:val="22"/>
          <w:szCs w:val="22"/>
        </w:rPr>
        <w:t>GB 50118</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《住宅设计规范》（</w:t>
      </w:r>
      <w:r>
        <w:rPr>
          <w:rFonts w:eastAsia="方正书宋_GBK" w:cs="方正书宋_GBK" w:ascii="方正书宋_GBK" w:hAnsi="方正书宋_GBK"/>
          <w:sz w:val="22"/>
          <w:szCs w:val="22"/>
        </w:rPr>
        <w:t>DB11/1740</w:t>
      </w:r>
      <w:r>
        <w:rPr>
          <w:rFonts w:ascii="方正书宋_GBK" w:hAnsi="方正书宋_GBK" w:cs="方正书宋_GBK" w:eastAsia="方正书宋_GBK"/>
          <w:sz w:val="22"/>
          <w:szCs w:val="22"/>
        </w:rPr>
        <w:t>）等国家及本市相关隔声标准要求、建筑室内振动符合《住宅建筑室内振动限值及其测量方法标准》</w:t>
      </w:r>
      <w:r>
        <w:rPr>
          <w:rFonts w:eastAsia="方正书宋_GBK" w:cs="方正书宋_GBK" w:ascii="方正书宋_GBK" w:hAnsi="方正书宋_GBK"/>
          <w:sz w:val="22"/>
          <w:szCs w:val="22"/>
          <w:lang w:val="en-US" w:eastAsia="zh-CN"/>
        </w:rPr>
        <w:t>(</w:t>
      </w:r>
      <w:r>
        <w:rPr>
          <w:rFonts w:eastAsia="方正书宋_GBK" w:cs="方正书宋_GBK" w:ascii="方正书宋_GBK" w:hAnsi="方正书宋_GBK"/>
          <w:sz w:val="22"/>
          <w:szCs w:val="22"/>
        </w:rPr>
        <w:t>GB/T</w:t>
      </w:r>
      <w:r>
        <w:rPr>
          <w:rFonts w:eastAsia="方正书宋_GBK" w:cs="方正书宋_GBK" w:ascii="方正书宋_GBK" w:hAnsi="方正书宋_GBK"/>
          <w:sz w:val="22"/>
          <w:szCs w:val="22"/>
          <w:lang w:val="en-US" w:eastAsia="zh-CN"/>
        </w:rPr>
        <w:t xml:space="preserve"> </w:t>
      </w:r>
      <w:r>
        <w:rPr>
          <w:rFonts w:eastAsia="方正书宋_GBK" w:cs="方正书宋_GBK" w:ascii="方正书宋_GBK" w:hAnsi="方正书宋_GBK"/>
          <w:sz w:val="22"/>
          <w:szCs w:val="22"/>
        </w:rPr>
        <w:t>50355</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lang w:eastAsia="zh-CN"/>
        </w:rPr>
        <w:t>标准</w:t>
      </w:r>
      <w:r>
        <w:rPr>
          <w:rFonts w:ascii="方正书宋_GBK" w:hAnsi="方正书宋_GBK" w:cs="方正书宋_GBK" w:eastAsia="方正书宋_GBK"/>
          <w:sz w:val="22"/>
          <w:szCs w:val="22"/>
        </w:rPr>
        <w:t>。共有产权住房建筑设计文件所标注的建筑隔声情况、环境影响评价文件所表征的声环境状况及受固定噪声</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振动源影响情况见附件七。</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该共有产权住房室内空气质量或建筑隔声情况经质量检测机构检测，不符合标准或附件</w:t>
      </w:r>
      <w:r>
        <w:rPr>
          <w:rFonts w:ascii="方正书宋_GBK" w:hAnsi="方正书宋_GBK" w:cs="方正书宋_GBK" w:eastAsia="方正书宋_GBK"/>
          <w:sz w:val="22"/>
          <w:szCs w:val="22"/>
          <w:lang w:eastAsia="zh-CN"/>
        </w:rPr>
        <w:t>七</w:t>
      </w:r>
      <w:r>
        <w:rPr>
          <w:rFonts w:ascii="方正书宋_GBK" w:hAnsi="方正书宋_GBK" w:cs="方正书宋_GBK" w:eastAsia="方正书宋_GBK"/>
          <w:sz w:val="22"/>
          <w:szCs w:val="22"/>
        </w:rPr>
        <w:t>所列情况与事实不符的，由甲方负责整改，整改后仍不符合标准的，乙方有权解除合同。乙方解除合同的，应当书面通知甲方</w:t>
      </w:r>
      <w:r>
        <w:rPr>
          <w:rFonts w:ascii="方正书宋_GBK" w:hAnsi="方正书宋_GBK" w:cs="方正书宋_GBK" w:eastAsia="方正书宋_GBK"/>
          <w:sz w:val="22"/>
          <w:szCs w:val="22"/>
          <w:lang w:eastAsia="zh-CN"/>
        </w:rPr>
        <w:t>、丙方</w:t>
      </w:r>
      <w:r>
        <w:rPr>
          <w:rFonts w:ascii="方正书宋_GBK" w:hAnsi="方正书宋_GBK" w:cs="方正书宋_GBK" w:eastAsia="方正书宋_GBK"/>
          <w:sz w:val="22"/>
          <w:szCs w:val="22"/>
        </w:rPr>
        <w:t>。甲方应当自解除合同通知送达之日起</w:t>
      </w:r>
      <w:r>
        <w:rPr>
          <w:rFonts w:eastAsia="方正书宋_GBK" w:cs="方正书宋_GBK" w:ascii="方正书宋_GBK" w:hAnsi="方正书宋_GBK"/>
          <w:sz w:val="22"/>
          <w:szCs w:val="22"/>
          <w:lang w:val="en-US" w:eastAsia="zh-CN"/>
        </w:rPr>
        <w:t>15</w:t>
      </w:r>
      <w:r>
        <w:rPr>
          <w:rFonts w:ascii="方正书宋_GBK" w:hAnsi="方正书宋_GBK" w:cs="方正书宋_GBK" w:eastAsia="方正书宋_GBK"/>
          <w:sz w:val="22"/>
          <w:szCs w:val="22"/>
        </w:rPr>
        <w:t>日内退还乙方已付全部房价款（含已付贷款部分），并自乙方付款之日起，按照</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低于同期全国银行间同业拆借中心公布的一年期贷款市场报价利率）计算给付利息。给乙方造成损失的，由甲方承担相应赔偿责任。经检测不符合标准的，检测费用由甲方承担，整改后再次检测发生的费用仍由甲方承担。因整改导致该共有产权住房逾期交付的，甲方应当按照本合同第十二条约定承担逾期交付责任。</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Style w:val="Strong"/>
          <w:rFonts w:ascii="方正黑体_GBK;微软雅黑" w:hAnsi="方正黑体_GBK;微软雅黑" w:eastAsia="方正黑体_GBK;微软雅黑" w:cs="方正黑体_GBK;微软雅黑"/>
          <w:b w:val="false"/>
          <w:bCs w:val="false"/>
          <w:sz w:val="22"/>
          <w:szCs w:val="22"/>
        </w:rPr>
      </w:pPr>
      <w:r>
        <w:rPr>
          <w:rStyle w:val="Strong"/>
          <w:rFonts w:ascii="方正黑体_GBK;微软雅黑" w:hAnsi="方正黑体_GBK;微软雅黑" w:cs="方正黑体_GBK;微软雅黑" w:eastAsia="方正黑体_GBK;微软雅黑"/>
          <w:b w:val="false"/>
          <w:bCs w:val="false"/>
          <w:sz w:val="22"/>
          <w:szCs w:val="22"/>
        </w:rPr>
        <w:t xml:space="preserve">第十六条  保修责任 </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（一）共有产权住房实行质量保修制度。甲方应当在建设工程质量保修范围和保修期限内履行保修义务。甲方自该共有产权住房交付之日起，</w:t>
      </w:r>
      <w:r>
        <w:rPr>
          <w:rFonts w:ascii="方正书宋_GBK" w:hAnsi="方正书宋_GBK" w:cs="方正书宋_GBK" w:eastAsia="方正书宋_GBK"/>
          <w:b w:val="false"/>
          <w:bCs w:val="false"/>
          <w:sz w:val="22"/>
          <w:szCs w:val="22"/>
          <w:u w:val="none"/>
          <w:lang w:val="en-US" w:eastAsia="zh-CN"/>
        </w:rPr>
        <w:t>按照</w:t>
      </w:r>
      <w:r>
        <w:rPr>
          <w:rFonts w:ascii="方正书宋_GBK" w:hAnsi="方正书宋_GBK" w:cs="方正书宋_GBK" w:eastAsia="方正书宋_GBK"/>
          <w:b w:val="false"/>
          <w:bCs w:val="false"/>
          <w:i w:val="false"/>
          <w:iCs w:val="false"/>
          <w:sz w:val="22"/>
          <w:szCs w:val="22"/>
          <w:u w:val="none"/>
          <w:lang w:val="en-US" w:eastAsia="zh-CN"/>
        </w:rPr>
        <w:t>附件八约定</w:t>
      </w:r>
      <w:r>
        <w:rPr>
          <w:rFonts w:ascii="方正书宋_GBK" w:hAnsi="方正书宋_GBK" w:cs="方正书宋_GBK" w:eastAsia="方正书宋_GBK"/>
          <w:b w:val="false"/>
          <w:bCs w:val="false"/>
          <w:sz w:val="22"/>
          <w:szCs w:val="22"/>
          <w:u w:val="none"/>
          <w:lang w:val="en-US" w:eastAsia="zh-CN"/>
        </w:rPr>
        <w:t>和《北京市住宅工程质量保证书》承诺的内容承担相应的保修责任</w:t>
      </w:r>
      <w:r>
        <w:rPr>
          <w:rFonts w:ascii="方正书宋_GBK" w:hAnsi="方正书宋_GBK" w:cs="方正书宋_GBK" w:eastAsia="方正书宋_GBK"/>
          <w:sz w:val="22"/>
          <w:szCs w:val="22"/>
          <w:lang w:val="en-US" w:eastAsia="zh-CN"/>
        </w:rPr>
        <w:t>。《北京市住宅工程质量保证书》中关于工程质量保修范围、保修期限及保修要求等不得低于国家和本市有关法律法规的规定。</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甲方应当按照北京市有关规定投保建设工程质量潜在缺陷责任保险。与保险公司签订书面保险合同，并在销售区域给予公示，并在乙方办理房屋交付手续时，将《工程质量潜在缺陷保险告知书》交付乙方。保险范围包括地基基础和主体结构工程、保温和防水工程，地基基础和主体结构的保险期间为</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年，保温和防水工程的保险期间为</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lang w:eastAsia="zh-CN"/>
        </w:rPr>
        <w:t>甲方</w:t>
      </w:r>
      <w:r>
        <w:rPr>
          <w:rFonts w:ascii="方正书宋_GBK" w:hAnsi="方正书宋_GBK" w:cs="方正书宋_GBK" w:eastAsia="方正书宋_GBK"/>
          <w:sz w:val="22"/>
          <w:szCs w:val="22"/>
        </w:rPr>
        <w:t>在房屋销售前，应当按照北京市有关规定办理住宅工程质量保修担保。</w:t>
      </w:r>
    </w:p>
    <w:p>
      <w:pPr>
        <w:pStyle w:val="Normal"/>
        <w:keepNext w:val="false"/>
        <w:keepLines w:val="false"/>
        <w:pageBreakBefore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（三）下列情形，甲方不承担保修责任：</w:t>
      </w:r>
    </w:p>
    <w:p>
      <w:pPr>
        <w:pStyle w:val="Normal"/>
        <w:keepNext w:val="false"/>
        <w:keepLines w:val="false"/>
        <w:pageBreakBefore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因不可抗力造成的房屋及其附属设施的损害。</w:t>
      </w:r>
    </w:p>
    <w:p>
      <w:pPr>
        <w:pStyle w:val="Normal"/>
        <w:keepNext w:val="false"/>
        <w:keepLines w:val="false"/>
        <w:pageBreakBefore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因乙方不当使用造成的房屋及其附属设施的损害。</w:t>
      </w:r>
    </w:p>
    <w:p>
      <w:pPr>
        <w:pStyle w:val="Normal"/>
        <w:keepNext w:val="false"/>
        <w:keepLines w:val="false"/>
        <w:pageBreakBefore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因第</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项原因造成房屋及附属设施损害的，丙方有权要求乙方修复房屋，并承担全部维修费用。</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（四）在保修期内，乙方要求维修的书面通知送达甲方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日内，甲方既不履行保修义务也不提出书面异议的，乙方可以自行或委托他人进行维修，维修费用及维修期间造成的其他损失由甲方承担。对于紧急情况维修的，乙方与甲方可通过协商处理，</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Style w:val="Strong"/>
          <w:rFonts w:ascii="方正黑体_GBK;微软雅黑" w:hAnsi="方正黑体_GBK;微软雅黑" w:eastAsia="方正黑体_GBK;微软雅黑" w:cs="方正黑体_GBK;微软雅黑"/>
          <w:b w:val="false"/>
          <w:bCs w:val="false"/>
          <w:sz w:val="22"/>
          <w:szCs w:val="22"/>
        </w:rPr>
      </w:pPr>
      <w:r>
        <w:rPr>
          <w:rStyle w:val="Strong"/>
          <w:rFonts w:ascii="方正黑体_GBK;微软雅黑" w:hAnsi="方正黑体_GBK;微软雅黑" w:cs="方正黑体_GBK;微软雅黑" w:eastAsia="方正黑体_GBK;微软雅黑"/>
          <w:b w:val="false"/>
          <w:bCs w:val="false"/>
          <w:sz w:val="22"/>
          <w:szCs w:val="22"/>
        </w:rPr>
        <w:t>第十七条  质量担保</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甲方未按照第十五条、第十六条约定承担相关责任的，由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承担连带责任。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关于质量担保的具体约定见附件九。</w:t>
      </w:r>
    </w:p>
    <w:p>
      <w:pPr>
        <w:pStyle w:val="largefont"/>
        <w:keepNext w:val="false"/>
        <w:keepLines w:val="false"/>
        <w:pageBreakBefore w:val="false"/>
        <w:kinsoku w:val="true"/>
        <w:overflowPunct w:val="true"/>
        <w:bidi w:val="0"/>
        <w:spacing w:lineRule="exact" w:line="420" w:before="0" w:after="0"/>
        <w:ind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largefont"/>
        <w:keepNext w:val="false"/>
        <w:keepLines w:val="false"/>
        <w:pageBreakBefore w:val="false"/>
        <w:widowControl/>
        <w:kinsoku w:val="true"/>
        <w:overflowPunct w:val="true"/>
        <w:autoSpaceDE w:val="true"/>
        <w:bidi w:val="0"/>
        <w:snapToGrid w:val="true"/>
        <w:spacing w:lineRule="exact" w:line="420" w:before="0" w:after="0"/>
        <w:ind w:hanging="0" w:end="0"/>
        <w:jc w:val="center"/>
        <w:textAlignment w:val="auto"/>
        <w:rPr>
          <w:rStyle w:val="Strong"/>
          <w:rFonts w:ascii="方正黑体_GBK;微软雅黑" w:hAnsi="方正黑体_GBK;微软雅黑" w:eastAsia="方正黑体_GBK;微软雅黑" w:cs="方正黑体_GBK;微软雅黑"/>
          <w:b w:val="false"/>
          <w:bCs w:val="false"/>
          <w:sz w:val="28"/>
          <w:szCs w:val="28"/>
        </w:rPr>
      </w:pPr>
      <w:r>
        <w:rPr>
          <w:rStyle w:val="Strong"/>
          <w:rFonts w:ascii="方正黑体_GBK;微软雅黑" w:hAnsi="方正黑体_GBK;微软雅黑" w:cs="方正黑体_GBK;微软雅黑" w:eastAsia="方正黑体_GBK;微软雅黑"/>
          <w:b w:val="false"/>
          <w:bCs w:val="false"/>
          <w:sz w:val="28"/>
          <w:szCs w:val="28"/>
        </w:rPr>
        <w:t>第八章  合同备案和不动产登记</w:t>
      </w:r>
    </w:p>
    <w:p>
      <w:pPr>
        <w:pStyle w:val="largefont"/>
        <w:keepNext w:val="false"/>
        <w:keepLines w:val="false"/>
        <w:pageBreakBefore w:val="false"/>
        <w:kinsoku w:val="true"/>
        <w:overflowPunct w:val="true"/>
        <w:bidi w:val="0"/>
        <w:snapToGrid w:val="true"/>
        <w:spacing w:lineRule="exact" w:line="420" w:before="0" w:after="0"/>
        <w:ind w:firstLine="440" w:end="0"/>
        <w:textAlignment w:val="auto"/>
        <w:rPr>
          <w:rStyle w:val="Strong"/>
          <w:rFonts w:ascii="方正黑体_GBK;微软雅黑" w:hAnsi="方正黑体_GBK;微软雅黑" w:eastAsia="方正黑体_GBK;微软雅黑" w:cs="方正黑体_GBK;微软雅黑"/>
          <w:b w:val="false"/>
          <w:bCs w:val="false"/>
          <w:sz w:val="22"/>
          <w:szCs w:val="22"/>
        </w:rPr>
      </w:pPr>
      <w:r>
        <w:rPr>
          <w:rStyle w:val="Strong"/>
          <w:rFonts w:ascii="方正黑体_GBK;微软雅黑" w:hAnsi="方正黑体_GBK;微软雅黑" w:cs="方正黑体_GBK;微软雅黑" w:eastAsia="方正黑体_GBK;微软雅黑"/>
          <w:b w:val="false"/>
          <w:bCs w:val="false"/>
          <w:sz w:val="22"/>
          <w:szCs w:val="22"/>
        </w:rPr>
        <w:t>第十八条  预售合同网签备案</w:t>
      </w:r>
    </w:p>
    <w:p>
      <w:pPr>
        <w:pStyle w:val="Normal"/>
        <w:keepNext w:val="false"/>
        <w:keepLines w:val="false"/>
        <w:pageBreakBefore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sz w:val="22"/>
          <w:szCs w:val="22"/>
        </w:rPr>
        <w:t>（一）甲方应当自本合同签订之日起【</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日内】【</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日内】（不超过</w:t>
      </w:r>
      <w:r>
        <w:rPr>
          <w:rFonts w:eastAsia="方正书宋_GBK" w:cs="方正书宋_GBK" w:ascii="方正书宋_GBK" w:hAnsi="方正书宋_GBK"/>
          <w:sz w:val="22"/>
          <w:szCs w:val="22"/>
        </w:rPr>
        <w:t>30</w:t>
      </w:r>
      <w:r>
        <w:rPr>
          <w:rFonts w:ascii="方正书宋_GBK" w:hAnsi="方正书宋_GBK" w:cs="方正书宋_GBK" w:eastAsia="方正书宋_GBK"/>
          <w:sz w:val="22"/>
          <w:szCs w:val="22"/>
        </w:rPr>
        <w:t>日）办理预售合同联机备案手续，并将本合同备案情况告知乙方和丙方。</w:t>
      </w:r>
    </w:p>
    <w:p>
      <w:pPr>
        <w:pStyle w:val="Normal"/>
        <w:keepNext w:val="false"/>
        <w:keepLines w:val="false"/>
        <w:pageBreakBefore w:val="false"/>
        <w:widowControl/>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（二）有关预售合同备案的其他约定如下： </w:t>
      </w:r>
    </w:p>
    <w:p>
      <w:pPr>
        <w:pStyle w:val="Normal"/>
        <w:keepNext w:val="false"/>
        <w:keepLines w:val="false"/>
        <w:pageBreakBefore w:val="false"/>
        <w:widowControl/>
        <w:kinsoku w:val="true"/>
        <w:overflowPunct w:val="true"/>
        <w:bidi w:val="0"/>
        <w:snapToGrid w:val="true"/>
        <w:spacing w:lineRule="exact" w:line="420"/>
        <w:ind w:firstLine="440" w:end="0"/>
        <w:jc w:val="start"/>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kinsoku w:val="true"/>
        <w:overflowPunct w:val="true"/>
        <w:bidi w:val="0"/>
        <w:snapToGrid w:val="true"/>
        <w:spacing w:lineRule="exact" w:line="420"/>
        <w:ind w:firstLine="440" w:end="0"/>
        <w:jc w:val="start"/>
        <w:textAlignment w:val="auto"/>
        <w:rPr>
          <w:rFonts w:ascii="宋体" w:hAnsi="宋体" w:cs="宋体"/>
          <w:kern w:val="0"/>
          <w:sz w:val="24"/>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kern w:val="0"/>
          <w:sz w:val="22"/>
          <w:szCs w:val="22"/>
        </w:rPr>
        <w:t>。</w:t>
      </w:r>
    </w:p>
    <w:p>
      <w:pPr>
        <w:pStyle w:val="largefont"/>
        <w:keepNext w:val="false"/>
        <w:keepLines w:val="false"/>
        <w:pageBreakBefore w:val="false"/>
        <w:kinsoku w:val="true"/>
        <w:overflowPunct w:val="true"/>
        <w:bidi w:val="0"/>
        <w:snapToGrid w:val="true"/>
        <w:spacing w:lineRule="exact" w:line="420" w:before="0" w:after="0"/>
        <w:ind w:firstLine="440" w:end="0"/>
        <w:textAlignment w:val="auto"/>
        <w:rPr>
          <w:rStyle w:val="Strong"/>
          <w:rFonts w:ascii="方正黑体_GBK;微软雅黑" w:hAnsi="方正黑体_GBK;微软雅黑" w:eastAsia="方正黑体_GBK;微软雅黑" w:cs="方正黑体_GBK;微软雅黑"/>
          <w:b w:val="false"/>
          <w:bCs w:val="false"/>
          <w:sz w:val="22"/>
          <w:szCs w:val="22"/>
        </w:rPr>
      </w:pPr>
      <w:r>
        <w:rPr>
          <w:rStyle w:val="Strong"/>
          <w:rFonts w:ascii="方正黑体_GBK;微软雅黑" w:hAnsi="方正黑体_GBK;微软雅黑" w:cs="方正黑体_GBK;微软雅黑" w:eastAsia="方正黑体_GBK;微软雅黑"/>
          <w:b w:val="false"/>
          <w:bCs w:val="false"/>
          <w:sz w:val="22"/>
          <w:szCs w:val="22"/>
        </w:rPr>
        <w:t>第十九条  不动产登记</w:t>
      </w:r>
    </w:p>
    <w:p>
      <w:pPr>
        <w:pStyle w:val="Normal"/>
        <w:keepNext w:val="false"/>
        <w:keepLines w:val="false"/>
        <w:pageBreakBefore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lang w:eastAsia="zh-CN"/>
        </w:rPr>
        <w:t>（一）</w:t>
      </w:r>
      <w:r>
        <w:rPr>
          <w:rFonts w:ascii="方正书宋_GBK" w:hAnsi="方正书宋_GBK" w:cs="方正书宋_GBK" w:eastAsia="方正书宋_GBK"/>
          <w:kern w:val="0"/>
          <w:sz w:val="22"/>
          <w:szCs w:val="22"/>
        </w:rPr>
        <w:t>甲方、乙方和丙方共同向不动产登记机构申请办理该共有产权住房的不动产转移登记。</w:t>
      </w:r>
    </w:p>
    <w:p>
      <w:pPr>
        <w:pStyle w:val="Normal"/>
        <w:keepNext w:val="false"/>
        <w:keepLines w:val="false"/>
        <w:pageBreakBefore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甲方办理不动产首次登记并办理完毕不动产转移登记备案手续后，乙方和丙方可自行向不动产登记机构申请办理不动产转移登记。房屋交接时，甲方应当将该房屋的房屋登记表、房产平面图各两份交付乙方、丙方。房屋坐落、面积和价款发生变化的，甲方还应当将与乙方、丙方签订的补充协议交付乙方、丙方。</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sz w:val="22"/>
          <w:szCs w:val="22"/>
          <w:lang w:eastAsia="zh-CN"/>
        </w:rPr>
        <w:t>（二）</w:t>
      </w:r>
      <w:r>
        <w:rPr>
          <w:rFonts w:ascii="方正书宋_GBK" w:hAnsi="方正书宋_GBK" w:cs="方正书宋_GBK" w:eastAsia="方正书宋_GBK"/>
          <w:kern w:val="0"/>
          <w:sz w:val="22"/>
          <w:szCs w:val="22"/>
        </w:rPr>
        <w:t>因甲方的原因，乙方和丙方未能在该共有产权住房交付之日起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kern w:val="0"/>
          <w:sz w:val="22"/>
          <w:szCs w:val="22"/>
        </w:rPr>
        <w:t>日内取得该共有产权住房的不动产权证书的，各方同意按照下列第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kern w:val="0"/>
          <w:sz w:val="22"/>
          <w:szCs w:val="22"/>
        </w:rPr>
        <w:t xml:space="preserve">种方式处理： </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lang w:val="en-US" w:eastAsia="zh-CN"/>
        </w:rPr>
        <w:t>1.</w:t>
      </w:r>
      <w:r>
        <w:rPr>
          <w:rFonts w:ascii="方正书宋_GBK" w:hAnsi="方正书宋_GBK" w:cs="方正书宋_GBK" w:eastAsia="方正书宋_GBK"/>
          <w:kern w:val="0"/>
          <w:sz w:val="22"/>
          <w:szCs w:val="22"/>
        </w:rPr>
        <w:t>乙方和丙方任一方有权解除合同。乙方和丙方任一方解除合同的，应当书面通知甲方。甲方应当自解除合同通知送达之日起</w:t>
      </w:r>
      <w:r>
        <w:rPr>
          <w:rFonts w:eastAsia="方正书宋_GBK" w:cs="方正书宋_GBK" w:ascii="方正书宋_GBK" w:hAnsi="方正书宋_GBK"/>
          <w:kern w:val="0"/>
          <w:sz w:val="22"/>
          <w:szCs w:val="22"/>
          <w:lang w:val="en-US" w:eastAsia="zh-CN"/>
        </w:rPr>
        <w:t>15</w:t>
      </w:r>
      <w:r>
        <w:rPr>
          <w:rFonts w:ascii="方正书宋_GBK" w:hAnsi="方正书宋_GBK" w:cs="方正书宋_GBK" w:eastAsia="方正书宋_GBK"/>
          <w:kern w:val="0"/>
          <w:sz w:val="22"/>
          <w:szCs w:val="22"/>
        </w:rPr>
        <w:t>日内退还乙方已付全部房价款（含已付贷款部分），并自乙方付款之日起，按照</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（不低于同期全国银行间同业拆借中心公布的一年期贷款市场报价利率）计算给付利息。</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u w:val="none"/>
          <w:lang w:eastAsia="zh-CN"/>
        </w:rPr>
      </w:pPr>
      <w:r>
        <w:rPr>
          <w:rFonts w:ascii="方正书宋_GBK" w:hAnsi="方正书宋_GBK" w:cs="方正书宋_GBK" w:eastAsia="方正书宋_GBK"/>
          <w:sz w:val="22"/>
          <w:szCs w:val="22"/>
        </w:rPr>
        <w:t>乙方和丙方不解除合同的，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none"/>
          <w:lang w:eastAsia="zh-CN"/>
        </w:rPr>
        <w:t>。</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kern w:val="0"/>
          <w:sz w:val="22"/>
          <w:szCs w:val="22"/>
          <w:lang w:val="en-US" w:eastAsia="zh-CN"/>
        </w:rPr>
        <w:t>2.</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lang w:eastAsia="zh-CN"/>
        </w:rPr>
        <w:t>（三）</w:t>
      </w:r>
      <w:r>
        <w:rPr>
          <w:rFonts w:ascii="方正书宋_GBK" w:hAnsi="方正书宋_GBK" w:cs="方正书宋_GBK" w:eastAsia="方正书宋_GBK"/>
          <w:kern w:val="0"/>
          <w:sz w:val="22"/>
          <w:szCs w:val="22"/>
        </w:rPr>
        <w:t>因乙方、丙方的原因未能在约定期限内完成该共有产权住房的不动产转移登记的，甲方不承担责任。</w:t>
      </w:r>
    </w:p>
    <w:p>
      <w:pPr>
        <w:pStyle w:val="Normal"/>
        <w:keepNext w:val="false"/>
        <w:keepLines w:val="false"/>
        <w:pageBreakBefore w:val="false"/>
        <w:kinsoku w:val="true"/>
        <w:overflowPunct w:val="true"/>
        <w:bidi w:val="0"/>
        <w:snapToGrid w:val="false"/>
        <w:spacing w:lineRule="exact" w:line="420"/>
        <w:ind w:end="0"/>
        <w:jc w:val="center"/>
        <w:rPr>
          <w:rFonts w:ascii="宋体" w:hAnsi="宋体" w:eastAsia="方正书宋_GBK" w:cs="宋体"/>
          <w:b/>
          <w:kern w:val="0"/>
          <w:sz w:val="30"/>
          <w:szCs w:val="30"/>
        </w:rPr>
      </w:pPr>
      <w:r>
        <w:rPr>
          <w:rFonts w:eastAsia="方正书宋_GBK" w:cs="宋体" w:ascii="宋体" w:hAnsi="宋体"/>
          <w:b/>
          <w:kern w:val="0"/>
          <w:sz w:val="30"/>
          <w:szCs w:val="30"/>
        </w:rPr>
      </w:r>
    </w:p>
    <w:p>
      <w:pPr>
        <w:pStyle w:val="largefont"/>
        <w:keepNext w:val="false"/>
        <w:keepLines w:val="false"/>
        <w:pageBreakBefore w:val="false"/>
        <w:widowControl/>
        <w:kinsoku w:val="true"/>
        <w:overflowPunct w:val="true"/>
        <w:autoSpaceDE w:val="true"/>
        <w:bidi w:val="0"/>
        <w:snapToGrid w:val="true"/>
        <w:spacing w:lineRule="exact" w:line="420" w:before="0" w:after="0"/>
        <w:ind w:hanging="0" w:end="0"/>
        <w:jc w:val="center"/>
        <w:textAlignment w:val="auto"/>
        <w:rPr>
          <w:rStyle w:val="Strong"/>
          <w:rFonts w:ascii="方正黑体_GBK;微软雅黑" w:hAnsi="方正黑体_GBK;微软雅黑" w:eastAsia="方正黑体_GBK;微软雅黑" w:cs="方正黑体_GBK;微软雅黑"/>
          <w:b w:val="false"/>
          <w:bCs w:val="false"/>
          <w:sz w:val="28"/>
          <w:szCs w:val="28"/>
        </w:rPr>
      </w:pPr>
      <w:r>
        <w:rPr>
          <w:rStyle w:val="Strong"/>
          <w:rFonts w:ascii="方正黑体_GBK;微软雅黑" w:hAnsi="方正黑体_GBK;微软雅黑" w:cs="方正黑体_GBK;微软雅黑" w:eastAsia="方正黑体_GBK;微软雅黑"/>
          <w:b w:val="false"/>
          <w:bCs w:val="false"/>
          <w:sz w:val="28"/>
          <w:szCs w:val="28"/>
        </w:rPr>
        <w:t>第九章  前期物业管理</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Style w:val="Strong"/>
          <w:rFonts w:ascii="方正黑体_GBK;微软雅黑" w:hAnsi="方正黑体_GBK;微软雅黑" w:eastAsia="方正黑体_GBK;微软雅黑" w:cs="方正黑体_GBK;微软雅黑"/>
          <w:b w:val="false"/>
          <w:bCs w:val="false"/>
          <w:sz w:val="22"/>
          <w:szCs w:val="22"/>
        </w:rPr>
      </w:pPr>
      <w:r>
        <w:rPr>
          <w:rStyle w:val="Strong"/>
          <w:rFonts w:ascii="方正黑体_GBK;微软雅黑" w:hAnsi="方正黑体_GBK;微软雅黑" w:cs="方正黑体_GBK;微软雅黑" w:eastAsia="方正黑体_GBK;微软雅黑"/>
          <w:b w:val="false"/>
          <w:bCs w:val="false"/>
          <w:sz w:val="22"/>
          <w:szCs w:val="22"/>
        </w:rPr>
        <w:t>第二十条  前期物业管理</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（一）物业管理区域划分四至为：</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东至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西至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南至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北至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sz w:val="22"/>
          <w:szCs w:val="22"/>
        </w:rPr>
        <w:t>物业服务用房建筑面积为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平方米，其中地上建筑面积为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平方米，位于</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【号楼】【幢】【座】</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单元</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层</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号；地下建筑面积为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平方米，位于</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【号楼】【幢】【座】</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单元</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层</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号；其中业主大会及业主委员会办公用房建筑面积为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平方米，位于</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【号楼】【幢】【座】</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单元</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层</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kern w:val="0"/>
          <w:sz w:val="22"/>
          <w:szCs w:val="22"/>
        </w:rPr>
        <w:t>号。（注：物业服务用房为多处时，双方可自行增加以上内容）</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（二）物业服务期限自</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至</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前期物业管理期间，本物业管理区域内的物业服务费标准为：</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元</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平方米</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月。</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三）该共有产权住房与商品住房分区域实施物业管理的，甲方应当按照本市规划设计指标，分区域建设公共建筑和公用设施，分别配套设备设施；实施统一物业管理的，甲方不得通过增设围栏、绿植等方式将同一个物业管理区域内的共有产权住房与商品住房分割。</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四）物业管理区域内规划用于停放车辆的车库、车位，甲方承诺按照本市有关规定进行销售，不向本物业管理区域业主以外的其他人销售。甲方出租物业管理区域内规划用于停放车辆的车库、车位的，应当优先出租给本物业管理区域业主。在满足本物业管理区域业主需要后，甲方可将空余车库、车位临时按月出租给本物业管理区域外的其他人。</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sz w:val="22"/>
          <w:szCs w:val="22"/>
        </w:rPr>
        <w:t>占用该共有产权住房所在建筑区划内的道路（属于城镇公共道路的除外）、绿地（属于城镇公共绿地或明示属于个人的除外）、业主共有的道路或其他场地用于停放汽车的车位由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（停车管理单位）负责管理，停车费用为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月，停车收益归全体业主共有；停车管理单位及停车费用调整的，应当由专有部分面积占比三分之二以上的业主且人数占比三分之二以上的业主参与表决，并经参与表决专有部分面积过半数的业主且参与表决人数过半数的业主同意。</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（五）乙方已详细阅读前期物业服务合同和临时管理规约，同意甲方提供的前期物业服务，遵守临时管理规约。</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业主委员会（物业管理委员会）成立后，由业主大会决定选聘或续聘物业服务企业。</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Style w:val="Strong"/>
          <w:rFonts w:ascii="方正书宋_GBK" w:hAnsi="方正书宋_GBK" w:eastAsia="方正书宋_GBK" w:cs="方正书宋_GBK"/>
          <w:sz w:val="22"/>
          <w:szCs w:val="22"/>
        </w:rPr>
      </w:pPr>
      <w:r>
        <w:rPr>
          <w:rFonts w:ascii="方正书宋_GBK" w:hAnsi="方正书宋_GBK" w:cs="方正书宋_GBK" w:eastAsia="方正书宋_GBK"/>
          <w:kern w:val="0"/>
          <w:sz w:val="22"/>
          <w:szCs w:val="22"/>
        </w:rPr>
        <w:t>（六）甲方应当按照前期物业服务合同的约定承担前期物业服务责任。前期物业服务合同、临时管理规约及其他约定见附件十。</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Style w:val="Strong"/>
          <w:rFonts w:ascii="方正黑体_GBK;微软雅黑" w:hAnsi="方正黑体_GBK;微软雅黑" w:eastAsia="方正黑体_GBK;微软雅黑" w:cs="方正黑体_GBK;微软雅黑"/>
          <w:b w:val="false"/>
          <w:bCs w:val="false"/>
          <w:sz w:val="22"/>
          <w:szCs w:val="22"/>
        </w:rPr>
      </w:pPr>
      <w:r>
        <w:rPr>
          <w:rStyle w:val="Strong"/>
          <w:rFonts w:ascii="方正黑体_GBK;微软雅黑" w:hAnsi="方正黑体_GBK;微软雅黑" w:cs="方正黑体_GBK;微软雅黑" w:eastAsia="方正黑体_GBK;微软雅黑"/>
          <w:b w:val="false"/>
          <w:bCs w:val="false"/>
          <w:sz w:val="22"/>
          <w:szCs w:val="22"/>
        </w:rPr>
        <w:t xml:space="preserve">第二十一条  专项维修资金 </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bCs/>
          <w:sz w:val="22"/>
          <w:szCs w:val="22"/>
        </w:rPr>
      </w:pPr>
      <w:r>
        <w:rPr>
          <w:rFonts w:ascii="方正书宋_GBK" w:hAnsi="方正书宋_GBK" w:cs="方正书宋_GBK" w:eastAsia="方正书宋_GBK"/>
          <w:bCs/>
          <w:sz w:val="22"/>
          <w:szCs w:val="22"/>
        </w:rPr>
        <w:t>甲方应于办理该共有产权住房首次登记前，到市住房资金管理中心完成商品住宅</w:t>
      </w:r>
      <w:r>
        <w:rPr>
          <w:rFonts w:ascii="方正书宋_GBK" w:hAnsi="方正书宋_GBK" w:cs="方正书宋_GBK" w:eastAsia="方正书宋_GBK"/>
          <w:bCs/>
          <w:sz w:val="22"/>
          <w:szCs w:val="22"/>
          <w:lang w:eastAsia="zh-CN"/>
        </w:rPr>
        <w:t>专项</w:t>
      </w:r>
      <w:r>
        <w:rPr>
          <w:rFonts w:ascii="方正书宋_GBK" w:hAnsi="方正书宋_GBK" w:cs="方正书宋_GBK" w:eastAsia="方正书宋_GBK"/>
          <w:bCs/>
          <w:sz w:val="22"/>
          <w:szCs w:val="22"/>
        </w:rPr>
        <w:t>维修资金账户建立。乙方应于办理该共有产权住房入住手续（房屋交付日期</w:t>
      </w:r>
      <w:r>
        <w:rPr>
          <w:rFonts w:ascii="方正书宋_GBK" w:hAnsi="方正书宋_GBK" w:cs="方正书宋_GBK" w:eastAsia="方正书宋_GBK"/>
          <w:bCs/>
          <w:sz w:val="22"/>
          <w:szCs w:val="22"/>
          <w:u w:val="single"/>
        </w:rPr>
        <w:t xml:space="preserve">  </w:t>
      </w:r>
      <w:r>
        <w:rPr>
          <w:rFonts w:ascii="方正书宋_GBK" w:hAnsi="方正书宋_GBK" w:cs="方正书宋_GBK" w:eastAsia="方正书宋_GBK"/>
          <w:bCs/>
          <w:sz w:val="22"/>
          <w:szCs w:val="22"/>
          <w:u w:val="single"/>
          <w:lang w:val="en-US" w:eastAsia="zh-CN"/>
        </w:rPr>
        <w:t xml:space="preserve"> </w:t>
      </w:r>
      <w:r>
        <w:rPr>
          <w:rFonts w:ascii="方正书宋_GBK" w:hAnsi="方正书宋_GBK" w:cs="方正书宋_GBK" w:eastAsia="方正书宋_GBK"/>
          <w:bCs/>
          <w:sz w:val="22"/>
          <w:szCs w:val="22"/>
        </w:rPr>
        <w:t>年</w:t>
      </w:r>
      <w:r>
        <w:rPr>
          <w:rFonts w:ascii="方正书宋_GBK" w:hAnsi="方正书宋_GBK" w:cs="方正书宋_GBK" w:eastAsia="方正书宋_GBK"/>
          <w:bCs/>
          <w:sz w:val="22"/>
          <w:szCs w:val="22"/>
          <w:u w:val="single"/>
        </w:rPr>
        <w:t xml:space="preserve"> </w:t>
      </w:r>
      <w:r>
        <w:rPr>
          <w:rFonts w:ascii="方正书宋_GBK" w:hAnsi="方正书宋_GBK" w:cs="方正书宋_GBK" w:eastAsia="方正书宋_GBK"/>
          <w:bCs/>
          <w:sz w:val="22"/>
          <w:szCs w:val="22"/>
          <w:u w:val="single"/>
          <w:lang w:val="en-US" w:eastAsia="zh-CN"/>
        </w:rPr>
        <w:t xml:space="preserve"> </w:t>
      </w:r>
      <w:r>
        <w:rPr>
          <w:rFonts w:ascii="方正书宋_GBK" w:hAnsi="方正书宋_GBK" w:cs="方正书宋_GBK" w:eastAsia="方正书宋_GBK"/>
          <w:bCs/>
          <w:sz w:val="22"/>
          <w:szCs w:val="22"/>
          <w:u w:val="single"/>
        </w:rPr>
        <w:t xml:space="preserve">  </w:t>
      </w:r>
      <w:r>
        <w:rPr>
          <w:rFonts w:ascii="方正书宋_GBK" w:hAnsi="方正书宋_GBK" w:cs="方正书宋_GBK" w:eastAsia="方正书宋_GBK"/>
          <w:bCs/>
          <w:sz w:val="22"/>
          <w:szCs w:val="22"/>
        </w:rPr>
        <w:t>月</w:t>
      </w:r>
      <w:r>
        <w:rPr>
          <w:rFonts w:ascii="方正书宋_GBK" w:hAnsi="方正书宋_GBK" w:cs="方正书宋_GBK" w:eastAsia="方正书宋_GBK"/>
          <w:bCs/>
          <w:sz w:val="22"/>
          <w:szCs w:val="22"/>
          <w:u w:val="single"/>
        </w:rPr>
        <w:t xml:space="preserve">   </w:t>
      </w:r>
      <w:r>
        <w:rPr>
          <w:rFonts w:ascii="方正书宋_GBK" w:hAnsi="方正书宋_GBK" w:cs="方正书宋_GBK" w:eastAsia="方正书宋_GBK"/>
          <w:bCs/>
          <w:sz w:val="22"/>
          <w:szCs w:val="22"/>
        </w:rPr>
        <w:t>日）前，按照有关规定到市住房资金管理中心</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bCs/>
          <w:sz w:val="22"/>
          <w:szCs w:val="22"/>
        </w:rPr>
        <w:t>区管理部（地址：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bCs/>
          <w:sz w:val="22"/>
          <w:szCs w:val="22"/>
        </w:rPr>
        <w:t>；联系电话：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bCs/>
          <w:sz w:val="22"/>
          <w:szCs w:val="22"/>
        </w:rPr>
        <w:t>）交存首期住宅专项维修资金。</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bCs/>
          <w:sz w:val="22"/>
          <w:szCs w:val="22"/>
        </w:rPr>
      </w:pPr>
      <w:r>
        <w:rPr>
          <w:rFonts w:ascii="方正书宋_GBK" w:hAnsi="方正书宋_GBK" w:cs="方正书宋_GBK" w:eastAsia="方正书宋_GBK"/>
          <w:bCs/>
          <w:sz w:val="22"/>
          <w:szCs w:val="22"/>
        </w:rPr>
        <w:t>未交纳专项维修资金的，甲方不得向乙方交付该共有产权住房。由此产生的延期交付情况，甲方不承担相应法律责任。</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乙方委托甲方代交专项维修资金的，甲方自接受委托之日起</w:t>
      </w:r>
      <w:r>
        <w:rPr>
          <w:rFonts w:ascii="方正书宋_GBK" w:hAnsi="方正书宋_GBK" w:cs="方正书宋_GBK" w:eastAsia="方正书宋_GBK"/>
          <w:bCs/>
          <w:sz w:val="22"/>
          <w:szCs w:val="22"/>
          <w:u w:val="single"/>
        </w:rPr>
        <w:t xml:space="preserve">    </w:t>
      </w:r>
      <w:r>
        <w:rPr>
          <w:rFonts w:ascii="方正书宋_GBK" w:hAnsi="方正书宋_GBK" w:cs="方正书宋_GBK" w:eastAsia="方正书宋_GBK"/>
          <w:sz w:val="22"/>
          <w:szCs w:val="22"/>
        </w:rPr>
        <w:t>日（不超过</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 xml:space="preserve">日）内，向乙方提交北京市住宅专项维修资金专用收据。 </w:t>
      </w:r>
    </w:p>
    <w:p>
      <w:pPr>
        <w:pStyle w:val="largefont"/>
        <w:keepNext w:val="false"/>
        <w:keepLines w:val="false"/>
        <w:pageBreakBefore w:val="false"/>
        <w:kinsoku w:val="true"/>
        <w:overflowPunct w:val="true"/>
        <w:bidi w:val="0"/>
        <w:spacing w:lineRule="exact" w:line="420" w:before="0" w:after="0"/>
        <w:ind w:hanging="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largefont"/>
        <w:keepNext w:val="false"/>
        <w:keepLines w:val="false"/>
        <w:pageBreakBefore w:val="false"/>
        <w:widowControl/>
        <w:kinsoku w:val="true"/>
        <w:overflowPunct w:val="true"/>
        <w:autoSpaceDE w:val="true"/>
        <w:bidi w:val="0"/>
        <w:snapToGrid w:val="true"/>
        <w:spacing w:lineRule="exact" w:line="420" w:before="0" w:after="0"/>
        <w:ind w:hanging="0" w:end="0"/>
        <w:jc w:val="center"/>
        <w:textAlignment w:val="auto"/>
        <w:rPr>
          <w:rStyle w:val="Strong"/>
          <w:rFonts w:ascii="方正黑体_GBK;微软雅黑" w:hAnsi="方正黑体_GBK;微软雅黑" w:eastAsia="方正黑体_GBK;微软雅黑" w:cs="方正黑体_GBK;微软雅黑"/>
          <w:b w:val="false"/>
          <w:bCs w:val="false"/>
          <w:sz w:val="28"/>
          <w:szCs w:val="28"/>
        </w:rPr>
      </w:pPr>
      <w:r>
        <w:rPr>
          <w:rStyle w:val="Strong"/>
          <w:rFonts w:ascii="方正黑体_GBK;微软雅黑" w:hAnsi="方正黑体_GBK;微软雅黑" w:cs="方正黑体_GBK;微软雅黑" w:eastAsia="方正黑体_GBK;微软雅黑"/>
          <w:b w:val="false"/>
          <w:bCs w:val="false"/>
          <w:sz w:val="28"/>
          <w:szCs w:val="28"/>
        </w:rPr>
        <w:t>第十章  其他约定</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Style w:val="Strong"/>
          <w:rFonts w:ascii="方正黑体_GBK;微软雅黑" w:hAnsi="方正黑体_GBK;微软雅黑" w:eastAsia="方正黑体_GBK;微软雅黑" w:cs="方正黑体_GBK;微软雅黑"/>
          <w:b w:val="false"/>
          <w:bCs w:val="false"/>
          <w:sz w:val="22"/>
          <w:szCs w:val="22"/>
        </w:rPr>
      </w:pPr>
      <w:r>
        <w:rPr>
          <w:rStyle w:val="Strong"/>
          <w:rFonts w:ascii="方正黑体_GBK;微软雅黑" w:hAnsi="方正黑体_GBK;微软雅黑" w:cs="方正黑体_GBK;微软雅黑" w:eastAsia="方正黑体_GBK;微软雅黑"/>
          <w:b w:val="false"/>
          <w:bCs w:val="false"/>
          <w:sz w:val="22"/>
          <w:szCs w:val="22"/>
        </w:rPr>
        <w:t>第二十二条  建筑物区分所有权</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（一）乙方对其建筑物专有部分享有占有、使用、收益和处分的权利。</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（二）以下部位为共有部分：</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建筑物的基础、承重结构、外墙、屋顶等基本结构部分，通道、楼梯、大堂等公共通行部分，消防、公共照明等附属设施、设备，避难层、设备层或设备间等结构部分。</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该共有产权住房所在建筑区划内的道路（属于城镇公共道路的除外）、绿地（属于城镇公共绿地或明示属于个人的除外）、占用业主共有的道路或其他场地用于停放汽车的车位、物业服务用房。</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w:t>
      </w:r>
      <w:r>
        <w:rPr>
          <w:rFonts w:ascii="方正书宋_GBK" w:hAnsi="方正书宋_GBK" w:cs="方正书宋_GBK" w:eastAsia="方正书宋_GBK"/>
          <w:sz w:val="22"/>
          <w:szCs w:val="22"/>
          <w:lang w:eastAsia="zh-CN"/>
        </w:rPr>
        <w:t>三</w:t>
      </w:r>
      <w:r>
        <w:rPr>
          <w:rFonts w:ascii="方正书宋_GBK" w:hAnsi="方正书宋_GBK" w:cs="方正书宋_GBK" w:eastAsia="方正书宋_GBK"/>
          <w:sz w:val="22"/>
          <w:szCs w:val="22"/>
        </w:rPr>
        <w:t>方对其他配套设施约定如下：</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规划的车位、车库：</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b/>
          <w:sz w:val="22"/>
          <w:szCs w:val="22"/>
        </w:rPr>
      </w:pPr>
      <w:r>
        <w:rPr>
          <w:rFonts w:ascii="方正书宋_GBK" w:hAnsi="方正书宋_GBK" w:cs="方正书宋_GBK" w:eastAsia="方正书宋_GBK"/>
          <w:sz w:val="22"/>
          <w:szCs w:val="22"/>
        </w:rPr>
        <w:t>（四）合同当事人均不得侵占使用建筑区划内绿地、道路、人防、共有车位等共有部位。</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Style w:val="Strong"/>
          <w:rFonts w:ascii="方正黑体_GBK;微软雅黑" w:hAnsi="方正黑体_GBK;微软雅黑" w:eastAsia="方正黑体_GBK;微软雅黑" w:cs="方正黑体_GBK;微软雅黑"/>
          <w:b w:val="false"/>
          <w:bCs w:val="false"/>
          <w:sz w:val="22"/>
          <w:szCs w:val="22"/>
        </w:rPr>
      </w:pPr>
      <w:r>
        <w:rPr>
          <w:rStyle w:val="Strong"/>
          <w:rFonts w:ascii="方正黑体_GBK;微软雅黑" w:hAnsi="方正黑体_GBK;微软雅黑" w:cs="方正黑体_GBK;微软雅黑" w:eastAsia="方正黑体_GBK;微软雅黑"/>
          <w:b w:val="false"/>
          <w:bCs w:val="false"/>
          <w:sz w:val="22"/>
          <w:szCs w:val="22"/>
        </w:rPr>
        <w:t>第二十三条  税费</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乙方、丙方应当按照国家和本市有关规定，向相应部门缴纳因该共有产权住房买卖发生的税费，甲方不得代收、代缴应由乙方和丙方缴纳的税费。因预测面积与实测面积差异，导致乙方不能享受税收优惠政策而增加的税收负担，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承担。</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Style w:val="Strong"/>
          <w:rFonts w:ascii="方正黑体_GBK;微软雅黑" w:hAnsi="方正黑体_GBK;微软雅黑" w:eastAsia="方正黑体_GBK;微软雅黑" w:cs="方正黑体_GBK;微软雅黑"/>
          <w:b w:val="false"/>
          <w:bCs w:val="false"/>
          <w:sz w:val="22"/>
          <w:szCs w:val="22"/>
        </w:rPr>
      </w:pPr>
      <w:r>
        <w:rPr>
          <w:rStyle w:val="Strong"/>
          <w:rFonts w:ascii="方正黑体_GBK;微软雅黑" w:hAnsi="方正黑体_GBK;微软雅黑" w:cs="方正黑体_GBK;微软雅黑" w:eastAsia="方正黑体_GBK;微软雅黑"/>
          <w:b w:val="false"/>
          <w:bCs w:val="false"/>
          <w:sz w:val="22"/>
          <w:szCs w:val="22"/>
        </w:rPr>
        <w:t>第二十四条  购房资格承诺</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乙方通过隐瞒家庭信息、虚假申报、伪造证明材料等方式，骗购共有产权住房的，</w:t>
      </w:r>
      <w:r>
        <w:rPr>
          <w:rFonts w:ascii="方正书宋_GBK" w:hAnsi="方正书宋_GBK" w:cs="方正书宋_GBK" w:eastAsia="方正书宋_GBK"/>
          <w:b w:val="false"/>
          <w:kern w:val="2"/>
          <w:sz w:val="22"/>
          <w:szCs w:val="22"/>
        </w:rPr>
        <w:t>或承诺腾退公租房、公房未在规定时间内腾退的，</w:t>
      </w:r>
      <w:r>
        <w:rPr>
          <w:rFonts w:ascii="方正书宋_GBK" w:hAnsi="方正书宋_GBK" w:cs="方正书宋_GBK" w:eastAsia="方正书宋_GBK"/>
          <w:sz w:val="22"/>
          <w:szCs w:val="22"/>
        </w:rPr>
        <w:t>应当承担相应经济和法律责任，且</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年内乙方家庭不得在本市申请购买保障性住房、政策性住房。甲方有权向人民法院申请确认合同无效，乙方应当自合同被确认无效之日起</w:t>
      </w:r>
      <w:r>
        <w:rPr>
          <w:rFonts w:eastAsia="方正书宋_GBK" w:cs="方正书宋_GBK" w:ascii="方正书宋_GBK" w:hAnsi="方正书宋_GBK"/>
          <w:sz w:val="22"/>
          <w:szCs w:val="22"/>
          <w:u w:val="none"/>
          <w:lang w:val="en-US" w:eastAsia="zh-CN"/>
        </w:rPr>
        <w:t>15</w:t>
      </w:r>
      <w:r>
        <w:rPr>
          <w:rFonts w:ascii="方正书宋_GBK" w:hAnsi="方正书宋_GBK" w:cs="方正书宋_GBK" w:eastAsia="方正书宋_GBK"/>
          <w:sz w:val="22"/>
          <w:szCs w:val="22"/>
        </w:rPr>
        <w:t>日内按照全部房价款的【</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】向甲方支付违约金或赔偿金。同时，甲方应当退还乙方已付全部房价款（含已付贷款部分）。</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Style w:val="Strong"/>
          <w:rFonts w:ascii="方正黑体_GBK;微软雅黑" w:hAnsi="方正黑体_GBK;微软雅黑" w:eastAsia="方正黑体_GBK;微软雅黑" w:cs="方正黑体_GBK;微软雅黑"/>
          <w:b w:val="false"/>
          <w:bCs w:val="false"/>
          <w:sz w:val="22"/>
          <w:szCs w:val="22"/>
        </w:rPr>
      </w:pPr>
      <w:r>
        <w:rPr>
          <w:rStyle w:val="Strong"/>
          <w:rFonts w:ascii="方正黑体_GBK;微软雅黑" w:hAnsi="方正黑体_GBK;微软雅黑" w:cs="方正黑体_GBK;微软雅黑" w:eastAsia="方正黑体_GBK;微软雅黑"/>
          <w:b w:val="false"/>
          <w:bCs w:val="false"/>
          <w:sz w:val="22"/>
          <w:szCs w:val="22"/>
        </w:rPr>
        <w:t>第二十</w:t>
      </w:r>
      <w:r>
        <w:rPr>
          <w:rStyle w:val="Strong"/>
          <w:rFonts w:ascii="方正黑体_GBK;微软雅黑" w:hAnsi="方正黑体_GBK;微软雅黑" w:cs="方正黑体_GBK;微软雅黑" w:eastAsia="方正黑体_GBK;微软雅黑"/>
          <w:b w:val="false"/>
          <w:bCs w:val="false"/>
          <w:sz w:val="22"/>
          <w:szCs w:val="22"/>
          <w:lang w:eastAsia="zh-CN"/>
        </w:rPr>
        <w:t>五</w:t>
      </w:r>
      <w:r>
        <w:rPr>
          <w:rStyle w:val="Strong"/>
          <w:rFonts w:ascii="方正黑体_GBK;微软雅黑" w:hAnsi="方正黑体_GBK;微软雅黑" w:cs="方正黑体_GBK;微软雅黑" w:eastAsia="方正黑体_GBK;微软雅黑"/>
          <w:b w:val="false"/>
          <w:bCs w:val="false"/>
          <w:sz w:val="22"/>
          <w:szCs w:val="22"/>
        </w:rPr>
        <w:t>条  销售和使用承诺</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lang w:val="en-US" w:eastAsia="zh-CN"/>
        </w:rPr>
        <w:t>1</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甲方承诺对共有产权住房的销售，不涉及依法或依规划属于乙方和丙方共有的共用部位和设施的处分。</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lang w:val="en-US" w:eastAsia="zh-CN"/>
        </w:rPr>
        <w:t>2</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甲方承诺已将遮挡或妨碍房屋正常使用的情况告知乙方。具体内容见附件十</w:t>
      </w:r>
      <w:r>
        <w:rPr>
          <w:rFonts w:ascii="方正书宋_GBK" w:hAnsi="方正书宋_GBK" w:cs="方正书宋_GBK" w:eastAsia="方正书宋_GBK"/>
          <w:kern w:val="0"/>
          <w:sz w:val="22"/>
          <w:szCs w:val="22"/>
          <w:lang w:eastAsia="zh-CN"/>
        </w:rPr>
        <w:t>一</w:t>
      </w:r>
      <w:r>
        <w:rPr>
          <w:rFonts w:ascii="方正书宋_GBK" w:hAnsi="方正书宋_GBK" w:cs="方正书宋_GBK" w:eastAsia="方正书宋_GBK"/>
          <w:kern w:val="0"/>
          <w:sz w:val="22"/>
          <w:szCs w:val="22"/>
        </w:rPr>
        <w:t>。</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lang w:val="en-US" w:eastAsia="zh-CN"/>
        </w:rPr>
        <w:t>3</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乙方使用该共有产权住房期间，不得擅自改变该共有产权住房的用途、建筑主体结构和承重结构。</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kern w:val="0"/>
          <w:sz w:val="22"/>
          <w:szCs w:val="22"/>
          <w:lang w:val="en-US" w:eastAsia="zh-CN"/>
        </w:rPr>
        <w:t>4</w:t>
      </w:r>
      <w:r>
        <w:rPr>
          <w:rFonts w:eastAsia="方正书宋_GBK" w:cs="方正书宋_GBK" w:ascii="方正书宋_GBK" w:hAnsi="方正书宋_GBK"/>
          <w:kern w:val="0"/>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kern w:val="0"/>
          <w:sz w:val="22"/>
          <w:szCs w:val="22"/>
        </w:rPr>
        <w:t>。</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Style w:val="Strong"/>
          <w:rFonts w:ascii="方正黑体_GBK;微软雅黑" w:hAnsi="方正黑体_GBK;微软雅黑" w:eastAsia="方正黑体_GBK;微软雅黑" w:cs="方正黑体_GBK;微软雅黑"/>
          <w:b w:val="false"/>
          <w:bCs w:val="false"/>
          <w:sz w:val="22"/>
          <w:szCs w:val="22"/>
        </w:rPr>
      </w:pPr>
      <w:r>
        <w:rPr>
          <w:rStyle w:val="Strong"/>
          <w:rFonts w:ascii="方正黑体_GBK;微软雅黑" w:hAnsi="方正黑体_GBK;微软雅黑" w:cs="方正黑体_GBK;微软雅黑" w:eastAsia="方正黑体_GBK;微软雅黑"/>
          <w:b w:val="false"/>
          <w:bCs w:val="false"/>
          <w:sz w:val="22"/>
          <w:szCs w:val="22"/>
        </w:rPr>
        <w:t>第二十</w:t>
      </w:r>
      <w:r>
        <w:rPr>
          <w:rStyle w:val="Strong"/>
          <w:rFonts w:ascii="方正黑体_GBK;微软雅黑" w:hAnsi="方正黑体_GBK;微软雅黑" w:cs="方正黑体_GBK;微软雅黑" w:eastAsia="方正黑体_GBK;微软雅黑"/>
          <w:b w:val="false"/>
          <w:bCs w:val="false"/>
          <w:sz w:val="22"/>
          <w:szCs w:val="22"/>
          <w:lang w:eastAsia="zh-CN"/>
        </w:rPr>
        <w:t>六</w:t>
      </w:r>
      <w:r>
        <w:rPr>
          <w:rStyle w:val="Strong"/>
          <w:rFonts w:ascii="方正黑体_GBK;微软雅黑" w:hAnsi="方正黑体_GBK;微软雅黑" w:cs="方正黑体_GBK;微软雅黑" w:eastAsia="方正黑体_GBK;微软雅黑"/>
          <w:b w:val="false"/>
          <w:bCs w:val="false"/>
          <w:sz w:val="22"/>
          <w:szCs w:val="22"/>
        </w:rPr>
        <w:t>条  送达</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甲方、乙方和丙方保证在本合同中记载的通讯地址、联系电话均真实有效。任何根据本合同发出的文件，均应当采用书面形式，以【邮政快递】【邮寄挂号信】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】方式送达对方。任何一方变更通讯地址、联系电话的，应当自变更之日起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日内书面通知对方。变更的一方未履行通知义务导致送达不能的，应当承担相应的法律责任。</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Style w:val="Strong"/>
          <w:rFonts w:ascii="方正黑体_GBK;微软雅黑" w:hAnsi="方正黑体_GBK;微软雅黑" w:eastAsia="方正黑体_GBK;微软雅黑" w:cs="方正黑体_GBK;微软雅黑"/>
          <w:b w:val="false"/>
          <w:bCs w:val="false"/>
          <w:sz w:val="22"/>
          <w:szCs w:val="22"/>
        </w:rPr>
      </w:pPr>
      <w:r>
        <w:rPr>
          <w:rStyle w:val="Strong"/>
          <w:rFonts w:ascii="方正黑体_GBK;微软雅黑" w:hAnsi="方正黑体_GBK;微软雅黑" w:cs="方正黑体_GBK;微软雅黑" w:eastAsia="方正黑体_GBK;微软雅黑"/>
          <w:b w:val="false"/>
          <w:bCs w:val="false"/>
          <w:sz w:val="22"/>
          <w:szCs w:val="22"/>
        </w:rPr>
        <w:t>第二十</w:t>
      </w:r>
      <w:r>
        <w:rPr>
          <w:rStyle w:val="Strong"/>
          <w:rFonts w:ascii="方正黑体_GBK;微软雅黑" w:hAnsi="方正黑体_GBK;微软雅黑" w:cs="方正黑体_GBK;微软雅黑" w:eastAsia="方正黑体_GBK;微软雅黑"/>
          <w:b w:val="false"/>
          <w:bCs w:val="false"/>
          <w:sz w:val="22"/>
          <w:szCs w:val="22"/>
          <w:lang w:eastAsia="zh-CN"/>
        </w:rPr>
        <w:t>七</w:t>
      </w:r>
      <w:r>
        <w:rPr>
          <w:rStyle w:val="Strong"/>
          <w:rFonts w:ascii="方正黑体_GBK;微软雅黑" w:hAnsi="方正黑体_GBK;微软雅黑" w:cs="方正黑体_GBK;微软雅黑" w:eastAsia="方正黑体_GBK;微软雅黑"/>
          <w:b w:val="false"/>
          <w:bCs w:val="false"/>
          <w:sz w:val="22"/>
          <w:szCs w:val="22"/>
        </w:rPr>
        <w:t>条  买受人信息保护</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对乙方信息负有保密义务。非因法律、法规规定或国家安全机关、公安机关、检察机关、审判机关、纪检监察部门执行公务的需要，未经乙方书面同意，甲方及其销售人员和相关工作人员不得对外披露乙方信息，或将乙方信息用于履行本合同之外的其他用途。</w:t>
      </w:r>
      <w:bookmarkStart w:id="0" w:name="_GoBack"/>
      <w:bookmarkEnd w:id="0"/>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Style w:val="Strong"/>
          <w:rFonts w:ascii="方正黑体_GBK;微软雅黑" w:hAnsi="方正黑体_GBK;微软雅黑" w:eastAsia="方正黑体_GBK;微软雅黑" w:cs="方正黑体_GBK;微软雅黑"/>
          <w:b w:val="false"/>
          <w:bCs w:val="false"/>
          <w:sz w:val="22"/>
          <w:szCs w:val="22"/>
        </w:rPr>
      </w:pPr>
      <w:r>
        <w:rPr>
          <w:rStyle w:val="Strong"/>
          <w:rFonts w:ascii="方正黑体_GBK;微软雅黑" w:hAnsi="方正黑体_GBK;微软雅黑" w:cs="方正黑体_GBK;微软雅黑" w:eastAsia="方正黑体_GBK;微软雅黑"/>
          <w:b w:val="false"/>
          <w:bCs w:val="false"/>
          <w:sz w:val="22"/>
          <w:szCs w:val="22"/>
        </w:rPr>
        <w:t>第二十</w:t>
      </w:r>
      <w:r>
        <w:rPr>
          <w:rStyle w:val="Strong"/>
          <w:rFonts w:ascii="方正黑体_GBK;微软雅黑" w:hAnsi="方正黑体_GBK;微软雅黑" w:cs="方正黑体_GBK;微软雅黑" w:eastAsia="方正黑体_GBK;微软雅黑"/>
          <w:b w:val="false"/>
          <w:bCs w:val="false"/>
          <w:sz w:val="22"/>
          <w:szCs w:val="22"/>
          <w:lang w:eastAsia="zh-CN"/>
        </w:rPr>
        <w:t>八</w:t>
      </w:r>
      <w:r>
        <w:rPr>
          <w:rStyle w:val="Strong"/>
          <w:rFonts w:ascii="方正黑体_GBK;微软雅黑" w:hAnsi="方正黑体_GBK;微软雅黑" w:cs="方正黑体_GBK;微软雅黑" w:eastAsia="方正黑体_GBK;微软雅黑"/>
          <w:b w:val="false"/>
          <w:bCs w:val="false"/>
          <w:sz w:val="22"/>
          <w:szCs w:val="22"/>
        </w:rPr>
        <w:t xml:space="preserve">条  争议解决方式 </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本合同在履行过程中发生的争议，由当事人协商解决，也可申请【中国】【北京】房地产业协会或消费者协会等相关机构调解；或按照下列第</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 xml:space="preserve">种方式解决： </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依法向房屋所在地人民法院起诉。</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cs="宋体"/>
          <w:sz w:val="24"/>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提交</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仲裁委员会仲裁。</w:t>
      </w:r>
      <w:r>
        <w:rPr>
          <w:rFonts w:ascii="宋体" w:hAnsi="宋体" w:cs="宋体"/>
          <w:sz w:val="24"/>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Style w:val="Strong"/>
          <w:rFonts w:ascii="方正黑体_GBK;微软雅黑" w:hAnsi="方正黑体_GBK;微软雅黑" w:eastAsia="方正黑体_GBK;微软雅黑" w:cs="方正黑体_GBK;微软雅黑"/>
          <w:b w:val="false"/>
          <w:bCs w:val="false"/>
          <w:sz w:val="22"/>
          <w:szCs w:val="22"/>
        </w:rPr>
      </w:pPr>
      <w:r>
        <w:rPr>
          <w:rStyle w:val="Strong"/>
          <w:rFonts w:ascii="方正黑体_GBK;微软雅黑" w:hAnsi="方正黑体_GBK;微软雅黑" w:cs="方正黑体_GBK;微软雅黑" w:eastAsia="方正黑体_GBK;微软雅黑"/>
          <w:b w:val="false"/>
          <w:bCs w:val="false"/>
          <w:sz w:val="22"/>
          <w:szCs w:val="22"/>
        </w:rPr>
        <w:t>第二十</w:t>
      </w:r>
      <w:r>
        <w:rPr>
          <w:rStyle w:val="Strong"/>
          <w:rFonts w:ascii="方正黑体_GBK;微软雅黑" w:hAnsi="方正黑体_GBK;微软雅黑" w:cs="方正黑体_GBK;微软雅黑" w:eastAsia="方正黑体_GBK;微软雅黑"/>
          <w:b w:val="false"/>
          <w:bCs w:val="false"/>
          <w:sz w:val="22"/>
          <w:szCs w:val="22"/>
          <w:lang w:eastAsia="zh-CN"/>
        </w:rPr>
        <w:t>九</w:t>
      </w:r>
      <w:r>
        <w:rPr>
          <w:rStyle w:val="Strong"/>
          <w:rFonts w:ascii="方正黑体_GBK;微软雅黑" w:hAnsi="方正黑体_GBK;微软雅黑" w:cs="方正黑体_GBK;微软雅黑" w:eastAsia="方正黑体_GBK;微软雅黑"/>
          <w:b w:val="false"/>
          <w:bCs w:val="false"/>
          <w:sz w:val="22"/>
          <w:szCs w:val="22"/>
        </w:rPr>
        <w:t>条  合同生效</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本合同自三方签字或盖章之日起生效。本合同的解除应当采用书面形式。</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本合同及附件共</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页，一式</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份，其中甲方</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份，乙方</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份，丙方</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 xml:space="preserve">份。合同附件与本合同具有同等法律效力。 </w:t>
      </w:r>
    </w:p>
    <w:p>
      <w:pPr>
        <w:pStyle w:val="Normal"/>
        <w:keepNext w:val="false"/>
        <w:keepLines w:val="false"/>
        <w:pageBreakBefore w:val="false"/>
        <w:widowControl/>
        <w:kinsoku w:val="true"/>
        <w:overflowPunct w:val="true"/>
        <w:autoSpaceDE w:val="true"/>
        <w:bidi w:val="0"/>
        <w:spacing w:lineRule="exact" w:line="420"/>
        <w:ind w:firstLine="44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PlainText"/>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PlainText"/>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PlainText"/>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keepNext w:val="false"/>
        <w:keepLines w:val="false"/>
        <w:pageBreakBefore w:val="false"/>
        <w:widowControl/>
        <w:kinsoku w:val="true"/>
        <w:overflowPunct w:val="true"/>
        <w:autoSpaceDE w:val="true"/>
        <w:bidi w:val="0"/>
        <w:spacing w:lineRule="exact" w:line="420"/>
        <w:ind w:firstLine="44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BodyTextIndent"/>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val="false"/>
          <w:sz w:val="22"/>
          <w:szCs w:val="22"/>
        </w:rPr>
        <w:t>甲方</w:t>
      </w:r>
      <w:r>
        <w:rPr>
          <w:rFonts w:ascii="方正书宋_GBK" w:hAnsi="方正书宋_GBK" w:cs="方正书宋_GBK" w:eastAsia="方正书宋_GBK"/>
          <w:sz w:val="22"/>
          <w:szCs w:val="22"/>
        </w:rPr>
        <w:t xml:space="preserve">（名称）：                   </w:t>
      </w:r>
    </w:p>
    <w:p>
      <w:pPr>
        <w:pStyle w:val="BodyTextIndent"/>
        <w:keepNext w:val="false"/>
        <w:keepLines w:val="false"/>
        <w:pageBreakBefore w:val="false"/>
        <w:kinsoku w:val="true"/>
        <w:overflowPunct w:val="true"/>
        <w:autoSpaceDE w:val="true"/>
        <w:bidi w:val="0"/>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法定代表人签署：                 </w:t>
      </w:r>
    </w:p>
    <w:p>
      <w:pPr>
        <w:pStyle w:val="BodyTextIndent"/>
        <w:keepNext w:val="false"/>
        <w:keepLines w:val="false"/>
        <w:pageBreakBefore w:val="false"/>
        <w:kinsoku w:val="true"/>
        <w:overflowPunct w:val="true"/>
        <w:autoSpaceDE w:val="true"/>
        <w:bidi w:val="0"/>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委托代理人签署：    </w:t>
      </w:r>
    </w:p>
    <w:p>
      <w:pPr>
        <w:pStyle w:val="BodyTextIndent"/>
        <w:keepNext w:val="false"/>
        <w:keepLines w:val="false"/>
        <w:pageBreakBefore w:val="false"/>
        <w:kinsoku w:val="true"/>
        <w:overflowPunct w:val="true"/>
        <w:autoSpaceDE w:val="true"/>
        <w:bidi w:val="0"/>
        <w:spacing w:lineRule="exact" w:line="420"/>
        <w:ind w:firstLine="44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BodyTextIndent"/>
        <w:keepNext w:val="false"/>
        <w:keepLines w:val="false"/>
        <w:pageBreakBefore w:val="false"/>
        <w:kinsoku w:val="true"/>
        <w:overflowPunct w:val="true"/>
        <w:autoSpaceDE w:val="true"/>
        <w:bidi w:val="0"/>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甲方盖章：                       日期：    年    月    日         </w:t>
      </w:r>
    </w:p>
    <w:p>
      <w:pPr>
        <w:pStyle w:val="BodyTextIndent"/>
        <w:keepNext w:val="false"/>
        <w:keepLines w:val="false"/>
        <w:pageBreakBefore w:val="false"/>
        <w:kinsoku w:val="true"/>
        <w:overflowPunct w:val="true"/>
        <w:autoSpaceDE w:val="true"/>
        <w:bidi w:val="0"/>
        <w:spacing w:lineRule="exact" w:line="420"/>
        <w:ind w:firstLine="44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BodyTextIndent"/>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val="false"/>
          <w:sz w:val="22"/>
          <w:szCs w:val="22"/>
        </w:rPr>
        <w:t>乙方</w:t>
      </w:r>
      <w:r>
        <w:rPr>
          <w:rFonts w:ascii="方正书宋_GBK" w:hAnsi="方正书宋_GBK" w:cs="方正书宋_GBK" w:eastAsia="方正书宋_GBK"/>
          <w:sz w:val="22"/>
          <w:szCs w:val="22"/>
        </w:rPr>
        <w:t>（名字）：</w:t>
      </w:r>
    </w:p>
    <w:p>
      <w:pPr>
        <w:pStyle w:val="BodyTextIndent"/>
        <w:keepNext w:val="false"/>
        <w:keepLines w:val="false"/>
        <w:pageBreakBefore w:val="false"/>
        <w:kinsoku w:val="true"/>
        <w:overflowPunct w:val="true"/>
        <w:autoSpaceDE w:val="true"/>
        <w:bidi w:val="0"/>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乙方本人签署：</w:t>
      </w:r>
    </w:p>
    <w:p>
      <w:pPr>
        <w:pStyle w:val="BodyTextIndent"/>
        <w:keepNext w:val="false"/>
        <w:keepLines w:val="false"/>
        <w:pageBreakBefore w:val="false"/>
        <w:kinsoku w:val="true"/>
        <w:overflowPunct w:val="true"/>
        <w:autoSpaceDE w:val="true"/>
        <w:bidi w:val="0"/>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法定代理人签署：</w:t>
      </w:r>
    </w:p>
    <w:p>
      <w:pPr>
        <w:pStyle w:val="BodyTextIndent"/>
        <w:keepNext w:val="false"/>
        <w:keepLines w:val="false"/>
        <w:pageBreakBefore w:val="false"/>
        <w:kinsoku w:val="true"/>
        <w:overflowPunct w:val="true"/>
        <w:autoSpaceDE w:val="true"/>
        <w:bidi w:val="0"/>
        <w:spacing w:lineRule="exact" w:line="420"/>
        <w:ind w:firstLine="44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BodyTextIndent"/>
        <w:keepNext w:val="false"/>
        <w:keepLines w:val="false"/>
        <w:pageBreakBefore w:val="false"/>
        <w:kinsoku w:val="true"/>
        <w:overflowPunct w:val="true"/>
        <w:autoSpaceDE w:val="true"/>
        <w:bidi w:val="0"/>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乙方盖章：                          日期：    年    月    日</w:t>
      </w:r>
    </w:p>
    <w:p>
      <w:pPr>
        <w:pStyle w:val="BodyTextIndent"/>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b w:val="false"/>
          <w:sz w:val="22"/>
          <w:szCs w:val="22"/>
        </w:rPr>
      </w:pPr>
      <w:r>
        <w:rPr>
          <w:rFonts w:eastAsia="方正书宋_GBK" w:cs="方正书宋_GBK" w:ascii="方正书宋_GBK" w:hAnsi="方正书宋_GBK"/>
          <w:b w:val="false"/>
          <w:sz w:val="22"/>
          <w:szCs w:val="22"/>
        </w:rPr>
      </w:r>
    </w:p>
    <w:p>
      <w:pPr>
        <w:pStyle w:val="BodyTextIndent"/>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val="false"/>
          <w:sz w:val="22"/>
          <w:szCs w:val="22"/>
        </w:rPr>
        <w:t>丙方</w:t>
      </w:r>
      <w:r>
        <w:rPr>
          <w:rFonts w:ascii="方正书宋_GBK" w:hAnsi="方正书宋_GBK" w:cs="方正书宋_GBK" w:eastAsia="方正书宋_GBK"/>
          <w:sz w:val="22"/>
          <w:szCs w:val="22"/>
        </w:rPr>
        <w:t xml:space="preserve">（名称）：    </w:t>
      </w:r>
    </w:p>
    <w:p>
      <w:pPr>
        <w:pStyle w:val="BodyTextIndent"/>
        <w:keepNext w:val="false"/>
        <w:keepLines w:val="false"/>
        <w:pageBreakBefore w:val="false"/>
        <w:kinsoku w:val="true"/>
        <w:overflowPunct w:val="true"/>
        <w:autoSpaceDE w:val="true"/>
        <w:bidi w:val="0"/>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法定代表人签署：                      </w:t>
      </w:r>
    </w:p>
    <w:p>
      <w:pPr>
        <w:pStyle w:val="BodyTextIndent"/>
        <w:keepNext w:val="false"/>
        <w:keepLines w:val="false"/>
        <w:pageBreakBefore w:val="false"/>
        <w:kinsoku w:val="true"/>
        <w:overflowPunct w:val="true"/>
        <w:autoSpaceDE w:val="true"/>
        <w:bidi w:val="0"/>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委托代理人签署：                       </w:t>
      </w:r>
    </w:p>
    <w:p>
      <w:pPr>
        <w:pStyle w:val="BodyTextIndent"/>
        <w:keepNext w:val="false"/>
        <w:keepLines w:val="false"/>
        <w:pageBreakBefore w:val="false"/>
        <w:kinsoku w:val="true"/>
        <w:overflowPunct w:val="true"/>
        <w:autoSpaceDE w:val="true"/>
        <w:bidi w:val="0"/>
        <w:spacing w:lineRule="exact" w:line="420"/>
        <w:ind w:firstLine="44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BodyTextIndent"/>
        <w:keepNext w:val="false"/>
        <w:keepLines w:val="false"/>
        <w:pageBreakBefore w:val="false"/>
        <w:kinsoku w:val="true"/>
        <w:overflowPunct w:val="true"/>
        <w:autoSpaceDE w:val="true"/>
        <w:bidi w:val="0"/>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丙方盖章：                       日期：    年    月    日</w:t>
      </w:r>
    </w:p>
    <w:p>
      <w:pPr>
        <w:pStyle w:val="BodyTextIndent"/>
        <w:keepNext w:val="false"/>
        <w:keepLines w:val="false"/>
        <w:pageBreakBefore w:val="false"/>
        <w:kinsoku w:val="true"/>
        <w:overflowPunct w:val="true"/>
        <w:autoSpaceDE w:val="true"/>
        <w:bidi w:val="0"/>
        <w:spacing w:lineRule="exact" w:line="420"/>
        <w:ind w:firstLine="44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BodyTextIndent"/>
        <w:keepNext w:val="false"/>
        <w:keepLines w:val="false"/>
        <w:pageBreakBefore w:val="false"/>
        <w:kinsoku w:val="true"/>
        <w:overflowPunct w:val="true"/>
        <w:autoSpaceDE w:val="true"/>
        <w:bidi w:val="0"/>
        <w:spacing w:lineRule="exact" w:line="420"/>
        <w:ind w:firstLine="442" w:end="0"/>
        <w:jc w:val="center"/>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签约地点：</w:t>
      </w:r>
      <w:r>
        <w:rPr>
          <w:rFonts w:ascii="方正书宋_GBK" w:hAnsi="方正书宋_GBK" w:cs="方正书宋_GBK" w:eastAsia="方正书宋_GBK"/>
          <w:sz w:val="22"/>
          <w:szCs w:val="22"/>
          <w:u w:val="single"/>
        </w:rPr>
        <w:t xml:space="preserve">                  </w:t>
      </w:r>
    </w:p>
    <w:p>
      <w:pPr>
        <w:sectPr>
          <w:headerReference w:type="default" r:id="rId22"/>
          <w:headerReference w:type="first" r:id="rId23"/>
          <w:footerReference w:type="default" r:id="rId24"/>
          <w:footerReference w:type="first" r:id="rId25"/>
          <w:type w:val="nextPage"/>
          <w:pgSz w:w="11906" w:h="16838"/>
          <w:pgMar w:left="1559" w:right="1559" w:gutter="0" w:header="851" w:top="1440" w:footer="992" w:bottom="1440"/>
          <w:pgNumType w:start="1" w:fmt="decimal"/>
          <w:formProt w:val="false"/>
          <w:titlePg/>
          <w:textDirection w:val="lrTb"/>
          <w:docGrid w:type="lines" w:linePitch="312" w:charSpace="0"/>
        </w:sectPr>
        <w:pStyle w:val="Normal"/>
        <w:keepNext w:val="false"/>
        <w:keepLines w:val="false"/>
        <w:pageBreakBefore w:val="false"/>
        <w:kinsoku w:val="true"/>
        <w:overflowPunct w:val="true"/>
        <w:autoSpaceDE w:val="true"/>
        <w:bidi w:val="0"/>
        <w:spacing w:lineRule="exact" w:line="420"/>
        <w:ind w:firstLine="442" w:end="0"/>
        <w:jc w:val="center"/>
        <w:textAlignment w:val="auto"/>
        <w:rPr>
          <w:rFonts w:ascii="方正书宋_GBK" w:hAnsi="方正书宋_GBK" w:eastAsia="方正书宋_GBK" w:cs="方正书宋_GBK"/>
          <w:b/>
          <w:sz w:val="22"/>
          <w:szCs w:val="22"/>
          <w:u w:val="single"/>
        </w:rPr>
      </w:pPr>
      <w:r>
        <w:rPr>
          <w:rFonts w:eastAsia="方正书宋_GBK" w:cs="方正书宋_GBK" w:ascii="方正书宋_GBK" w:hAnsi="方正书宋_GBK"/>
          <w:b/>
          <w:sz w:val="22"/>
          <w:szCs w:val="22"/>
          <w:u w:val="single"/>
        </w:rPr>
      </w:r>
      <w:r>
        <w:br w:type="page"/>
      </w:r>
    </w:p>
    <w:p>
      <w:pPr>
        <w:pStyle w:val="Normal"/>
        <w:keepNext w:val="false"/>
        <w:keepLines w:val="false"/>
        <w:pageBreakBefore w:val="false"/>
        <w:kinsoku w:val="true"/>
        <w:overflowPunct w:val="true"/>
        <w:bidi w:val="0"/>
        <w:spacing w:lineRule="exact" w:line="420"/>
        <w:ind w:firstLine="3640" w:end="0"/>
        <w:jc w:val="both"/>
        <w:rPr>
          <w:rFonts w:ascii="方正黑体_GBK;微软雅黑" w:hAnsi="方正黑体_GBK;微软雅黑" w:eastAsia="方正黑体_GBK;微软雅黑" w:cs="方正黑体_GBK;微软雅黑"/>
          <w:b w:val="false"/>
          <w:bCs/>
          <w:sz w:val="28"/>
          <w:szCs w:val="28"/>
        </w:rPr>
      </w:pPr>
      <w:r>
        <w:rPr>
          <w:rFonts w:ascii="方正黑体_GBK;微软雅黑" w:hAnsi="方正黑体_GBK;微软雅黑" w:cs="方正黑体_GBK;微软雅黑" w:eastAsia="方正黑体_GBK;微软雅黑"/>
          <w:b w:val="false"/>
          <w:bCs/>
          <w:sz w:val="28"/>
          <w:szCs w:val="28"/>
        </w:rPr>
        <w:t>合同附件</w:t>
      </w:r>
    </w:p>
    <w:p>
      <w:pPr>
        <w:pStyle w:val="Style22"/>
        <w:keepNext w:val="false"/>
        <w:keepLines w:val="false"/>
        <w:pageBreakBefore w:val="false"/>
        <w:kinsoku w:val="true"/>
        <w:overflowPunct w:val="true"/>
        <w:bidi w:val="0"/>
        <w:spacing w:lineRule="exact" w:line="420"/>
        <w:ind w:hanging="2" w:end="0"/>
        <w:jc w:val="start"/>
        <w:rPr>
          <w:rFonts w:ascii="方正黑体_GBK;微软雅黑" w:hAnsi="方正黑体_GBK;微软雅黑" w:eastAsia="方正黑体_GBK;微软雅黑" w:cs="方正黑体_GBK;微软雅黑"/>
          <w:b w:val="false"/>
          <w:bCs/>
          <w:kern w:val="0"/>
          <w:sz w:val="28"/>
          <w:szCs w:val="28"/>
        </w:rPr>
      </w:pPr>
      <w:r>
        <w:rPr>
          <w:rFonts w:ascii="方正黑体_GBK;微软雅黑" w:hAnsi="方正黑体_GBK;微软雅黑" w:cs="方正黑体_GBK;微软雅黑" w:eastAsia="方正黑体_GBK;微软雅黑"/>
          <w:b w:val="false"/>
          <w:bCs/>
          <w:kern w:val="0"/>
          <w:sz w:val="28"/>
          <w:szCs w:val="28"/>
        </w:rPr>
        <w:t>附件一</w:t>
      </w:r>
    </w:p>
    <w:p>
      <w:pPr>
        <w:pStyle w:val="Style22"/>
        <w:keepNext w:val="false"/>
        <w:keepLines w:val="false"/>
        <w:pageBreakBefore w:val="false"/>
        <w:kinsoku w:val="true"/>
        <w:overflowPunct w:val="true"/>
        <w:bidi w:val="0"/>
        <w:spacing w:lineRule="exact" w:line="420"/>
        <w:ind w:hanging="2" w:end="0"/>
        <w:jc w:val="center"/>
        <w:rPr>
          <w:rFonts w:ascii="方正黑体_GBK;微软雅黑" w:hAnsi="方正黑体_GBK;微软雅黑" w:eastAsia="方正黑体_GBK;微软雅黑" w:cs="方正黑体_GBK;微软雅黑"/>
          <w:kern w:val="0"/>
          <w:sz w:val="28"/>
          <w:szCs w:val="28"/>
          <w:lang w:eastAsia="zh-CN"/>
        </w:rPr>
      </w:pPr>
      <w:r>
        <w:rPr>
          <w:rFonts w:ascii="方正黑体_GBK;微软雅黑" w:hAnsi="方正黑体_GBK;微软雅黑" w:cs="方正黑体_GBK;微软雅黑" w:eastAsia="方正黑体_GBK;微软雅黑"/>
          <w:sz w:val="28"/>
          <w:szCs w:val="28"/>
        </w:rPr>
        <w:t>北京市共有产权住房使用</w:t>
      </w:r>
      <w:r>
        <w:rPr>
          <w:rFonts w:ascii="方正黑体_GBK;微软雅黑" w:hAnsi="方正黑体_GBK;微软雅黑" w:cs="方正黑体_GBK;微软雅黑" w:eastAsia="方正黑体_GBK;微软雅黑"/>
          <w:sz w:val="28"/>
          <w:szCs w:val="28"/>
          <w:lang w:eastAsia="zh-CN"/>
        </w:rPr>
        <w:t>承诺书</w:t>
      </w:r>
    </w:p>
    <w:p>
      <w:pPr>
        <w:pStyle w:val="Style22"/>
        <w:keepNext w:val="false"/>
        <w:keepLines w:val="false"/>
        <w:pageBreakBefore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kern w:val="0"/>
          <w:sz w:val="22"/>
          <w:szCs w:val="22"/>
          <w:lang w:eastAsia="zh-CN"/>
        </w:rPr>
      </w:pPr>
      <w:r>
        <w:rPr>
          <w:rFonts w:eastAsia="方正书宋_GBK" w:cs="方正书宋_GBK" w:ascii="方正书宋_GBK" w:hAnsi="方正书宋_GBK"/>
          <w:kern w:val="0"/>
          <w:sz w:val="22"/>
          <w:szCs w:val="22"/>
          <w:lang w:eastAsia="zh-CN"/>
        </w:rPr>
      </w:r>
    </w:p>
    <w:p>
      <w:pPr>
        <w:pStyle w:val="Style22"/>
        <w:keepNext w:val="false"/>
        <w:keepLines w:val="false"/>
        <w:pageBreakBefore w:val="false"/>
        <w:kinsoku w:val="true"/>
        <w:overflowPunct w:val="true"/>
        <w:autoSpaceDE w:val="true"/>
        <w:bidi w:val="0"/>
        <w:snapToGrid w:val="true"/>
        <w:spacing w:lineRule="exact" w:line="420"/>
        <w:ind w:firstLine="442" w:end="0"/>
        <w:jc w:val="start"/>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lang w:eastAsia="zh-CN"/>
        </w:rPr>
        <w:t>承诺人：</w:t>
      </w:r>
      <w:r>
        <w:rPr>
          <w:rFonts w:ascii="方正书宋_GBK" w:hAnsi="方正书宋_GBK" w:cs="方正书宋_GBK" w:eastAsia="方正书宋_GBK"/>
          <w:b/>
          <w:sz w:val="22"/>
          <w:szCs w:val="22"/>
        </w:rPr>
        <w:t>共有产权住房购房人</w:t>
      </w:r>
      <w:r>
        <w:rPr>
          <w:rFonts w:ascii="方正书宋_GBK" w:hAnsi="方正书宋_GBK" w:cs="方正书宋_GBK" w:eastAsia="方正书宋_GBK"/>
          <w:b/>
          <w:sz w:val="22"/>
          <w:szCs w:val="22"/>
          <w:lang w:eastAsia="zh-CN"/>
        </w:rPr>
        <w:t>（</w:t>
      </w:r>
      <w:r>
        <w:rPr>
          <w:rFonts w:ascii="方正书宋_GBK" w:hAnsi="方正书宋_GBK" w:cs="方正书宋_GBK" w:eastAsia="方正书宋_GBK"/>
          <w:b/>
          <w:sz w:val="22"/>
          <w:szCs w:val="22"/>
        </w:rPr>
        <w:t>乙方</w:t>
      </w:r>
      <w:r>
        <w:rPr>
          <w:rFonts w:ascii="方正书宋_GBK" w:hAnsi="方正书宋_GBK" w:cs="方正书宋_GBK" w:eastAsia="方正书宋_GBK"/>
          <w:b/>
          <w:sz w:val="22"/>
          <w:szCs w:val="22"/>
          <w:lang w:eastAsia="zh-CN"/>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承诺</w:t>
      </w:r>
      <w:r>
        <w:rPr>
          <w:rFonts w:ascii="方正书宋_GBK" w:hAnsi="方正书宋_GBK" w:cs="方正书宋_GBK" w:eastAsia="方正书宋_GBK"/>
          <w:sz w:val="22"/>
          <w:szCs w:val="22"/>
        </w:rPr>
        <w:t>人一：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户籍所在地：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证号：</w:t>
      </w:r>
      <w:r>
        <w:rPr>
          <w:rFonts w:ascii="方正书宋_GBK" w:hAnsi="方正书宋_GBK" w:cs="方正书宋_GBK" w:eastAsia="方正书宋_GBK"/>
          <w:sz w:val="22"/>
          <w:szCs w:val="22"/>
          <w:u w:val="single"/>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出生日期：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年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月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日，性别：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邮政编码：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【法定代理人】【委托代理人】：</w:t>
      </w:r>
      <w:r>
        <w:rPr>
          <w:rFonts w:ascii="方正书宋_GBK" w:hAnsi="方正书宋_GBK" w:cs="方正书宋_GBK" w:eastAsia="方正书宋_GBK"/>
          <w:sz w:val="22"/>
          <w:szCs w:val="22"/>
          <w:u w:val="single"/>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户籍所在地：</w:t>
      </w:r>
      <w:r>
        <w:rPr>
          <w:rFonts w:ascii="方正书宋_GBK" w:hAnsi="方正书宋_GBK" w:cs="方正书宋_GBK" w:eastAsia="方正书宋_GBK"/>
          <w:sz w:val="22"/>
          <w:szCs w:val="22"/>
          <w:u w:val="single"/>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证号：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出生日期：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年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月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日，性别：</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邮政编码：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承诺</w:t>
      </w:r>
      <w:r>
        <w:rPr>
          <w:rFonts w:ascii="方正书宋_GBK" w:hAnsi="方正书宋_GBK" w:cs="方正书宋_GBK" w:eastAsia="方正书宋_GBK"/>
          <w:sz w:val="22"/>
          <w:szCs w:val="22"/>
        </w:rPr>
        <w:t>人二：</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户籍所在地：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证号：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pacing w:val="14"/>
          <w:sz w:val="22"/>
          <w:szCs w:val="22"/>
          <w:u w:val="single"/>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出生日期：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年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月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日，性别：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邮政编码：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【法定代理人】【委托代理人】：</w:t>
      </w:r>
      <w:r>
        <w:rPr>
          <w:rFonts w:ascii="方正书宋_GBK" w:hAnsi="方正书宋_GBK" w:cs="方正书宋_GBK" w:eastAsia="方正书宋_GBK"/>
          <w:sz w:val="22"/>
          <w:szCs w:val="22"/>
          <w:u w:val="single"/>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户籍所在地：</w:t>
      </w:r>
      <w:r>
        <w:rPr>
          <w:rFonts w:ascii="方正书宋_GBK" w:hAnsi="方正书宋_GBK" w:cs="方正书宋_GBK" w:eastAsia="方正书宋_GBK"/>
          <w:sz w:val="22"/>
          <w:szCs w:val="22"/>
          <w:u w:val="single"/>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证号：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出生日期：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年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月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日，性别：</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邮政编码：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Style22"/>
        <w:keepNext w:val="false"/>
        <w:keepLines w:val="false"/>
        <w:pageBreakBefore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sz w:val="24"/>
        </w:rPr>
      </w:pPr>
      <w:r>
        <w:rPr>
          <w:rFonts w:ascii="方正书宋_GBK" w:hAnsi="方正书宋_GBK" w:cs="方正书宋_GBK" w:eastAsia="方正书宋_GBK"/>
          <w:sz w:val="22"/>
          <w:szCs w:val="22"/>
        </w:rPr>
        <w:t>乙方及乙方同住人已仔细阅读了《北京市共有产权住房管理暂行办法》和相关规定，以及北京市共有产权住房预售合同（以下简称预售合同）、本</w:t>
      </w:r>
      <w:r>
        <w:rPr>
          <w:rFonts w:ascii="方正书宋_GBK" w:hAnsi="方正书宋_GBK" w:cs="方正书宋_GBK" w:eastAsia="方正书宋_GBK"/>
          <w:sz w:val="22"/>
          <w:szCs w:val="22"/>
          <w:lang w:eastAsia="zh-CN"/>
        </w:rPr>
        <w:t>承诺书</w:t>
      </w:r>
      <w:r>
        <w:rPr>
          <w:rFonts w:ascii="方正书宋_GBK" w:hAnsi="方正书宋_GBK" w:cs="方正书宋_GBK" w:eastAsia="方正书宋_GBK"/>
          <w:sz w:val="22"/>
          <w:szCs w:val="22"/>
        </w:rPr>
        <w:t>内容，对乙方及乙方同住人享有的权利和应当承担的义务明确、清楚，承诺在居住期间，遵守共有产权住房使用有关规定和预售合同、</w:t>
      </w:r>
      <w:r>
        <w:rPr>
          <w:rFonts w:ascii="方正书宋_GBK" w:hAnsi="方正书宋_GBK" w:cs="方正书宋_GBK" w:eastAsia="方正书宋_GBK"/>
          <w:sz w:val="22"/>
          <w:szCs w:val="22"/>
          <w:lang w:eastAsia="zh-CN"/>
        </w:rPr>
        <w:t>承诺书内容</w:t>
      </w:r>
      <w:r>
        <w:rPr>
          <w:rFonts w:ascii="方正书宋_GBK" w:hAnsi="方正书宋_GBK" w:cs="方正书宋_GBK" w:eastAsia="方正书宋_GBK"/>
          <w:sz w:val="22"/>
          <w:szCs w:val="22"/>
        </w:rPr>
        <w:t>，合理使用房屋。有违反相关规定和预售合同、</w:t>
      </w:r>
      <w:r>
        <w:rPr>
          <w:rFonts w:ascii="方正书宋_GBK" w:hAnsi="方正书宋_GBK" w:cs="方正书宋_GBK" w:eastAsia="方正书宋_GBK"/>
          <w:sz w:val="22"/>
          <w:szCs w:val="22"/>
          <w:lang w:eastAsia="zh-CN"/>
        </w:rPr>
        <w:t>承诺书</w:t>
      </w:r>
      <w:r>
        <w:rPr>
          <w:rFonts w:ascii="方正书宋_GBK" w:hAnsi="方正书宋_GBK" w:cs="方正书宋_GBK" w:eastAsia="方正书宋_GBK"/>
          <w:sz w:val="22"/>
          <w:szCs w:val="22"/>
        </w:rPr>
        <w:t>的，</w:t>
      </w:r>
      <w:r>
        <w:rPr>
          <w:rFonts w:ascii="方正书宋_GBK" w:hAnsi="方正书宋_GBK" w:cs="方正书宋_GBK" w:eastAsia="方正书宋_GBK"/>
          <w:sz w:val="22"/>
          <w:szCs w:val="22"/>
          <w:lang w:eastAsia="zh-CN"/>
        </w:rPr>
        <w:t>由</w:t>
      </w:r>
      <w:r>
        <w:rPr>
          <w:rFonts w:ascii="方正书宋_GBK" w:hAnsi="方正书宋_GBK" w:cs="方正书宋_GBK" w:eastAsia="方正书宋_GBK"/>
          <w:sz w:val="22"/>
          <w:szCs w:val="22"/>
        </w:rPr>
        <w:t>丙方按管理规定和预售合同、</w:t>
      </w:r>
      <w:r>
        <w:rPr>
          <w:rFonts w:ascii="方正书宋_GBK" w:hAnsi="方正书宋_GBK" w:cs="方正书宋_GBK" w:eastAsia="方正书宋_GBK"/>
          <w:sz w:val="22"/>
          <w:szCs w:val="22"/>
          <w:lang w:eastAsia="zh-CN"/>
        </w:rPr>
        <w:t>承诺书</w:t>
      </w:r>
      <w:r>
        <w:rPr>
          <w:rFonts w:ascii="方正书宋_GBK" w:hAnsi="方正书宋_GBK" w:cs="方正书宋_GBK" w:eastAsia="方正书宋_GBK"/>
          <w:sz w:val="22"/>
          <w:szCs w:val="22"/>
        </w:rPr>
        <w:t>进行处理。</w:t>
      </w:r>
    </w:p>
    <w:p>
      <w:pPr>
        <w:pStyle w:val="Normal"/>
        <w:keepNext w:val="false"/>
        <w:keepLines w:val="false"/>
        <w:pageBreakBefore w:val="false"/>
        <w:widowControl/>
        <w:kinsoku w:val="true"/>
        <w:overflowPunct w:val="true"/>
        <w:bidi w:val="0"/>
        <w:spacing w:lineRule="exact" w:line="420"/>
        <w:ind w:firstLine="440" w:end="0"/>
        <w:jc w:val="start"/>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第一条  同住人基本情况</w:t>
      </w:r>
    </w:p>
    <w:p>
      <w:pPr>
        <w:pStyle w:val="Normal"/>
        <w:keepNext w:val="false"/>
        <w:keepLines w:val="false"/>
        <w:pageBreakBefore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姓名</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户籍所在地：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证号：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pacing w:val="14"/>
          <w:sz w:val="22"/>
          <w:szCs w:val="22"/>
          <w:u w:val="single"/>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出生日期：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年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月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日，性别：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邮政编码：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【法定代理人】【委托代理人】：</w:t>
      </w:r>
      <w:r>
        <w:rPr>
          <w:rFonts w:ascii="方正书宋_GBK" w:hAnsi="方正书宋_GBK" w:cs="方正书宋_GBK" w:eastAsia="方正书宋_GBK"/>
          <w:sz w:val="22"/>
          <w:szCs w:val="22"/>
          <w:u w:val="single"/>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户籍所在地：</w:t>
      </w:r>
      <w:r>
        <w:rPr>
          <w:rFonts w:ascii="方正书宋_GBK" w:hAnsi="方正书宋_GBK" w:cs="方正书宋_GBK" w:eastAsia="方正书宋_GBK"/>
          <w:sz w:val="22"/>
          <w:szCs w:val="22"/>
          <w:u w:val="single"/>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证号：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出生日期：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年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月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日，性别：</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邮政编码：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（同住人为多人时，可相应增加）</w:t>
      </w:r>
    </w:p>
    <w:p>
      <w:pPr>
        <w:pStyle w:val="Normal"/>
        <w:keepNext w:val="false"/>
        <w:keepLines w:val="false"/>
        <w:pageBreakBefore w:val="false"/>
        <w:widowControl/>
        <w:kinsoku w:val="true"/>
        <w:overflowPunct w:val="true"/>
        <w:bidi w:val="0"/>
        <w:spacing w:lineRule="exact" w:line="420"/>
        <w:ind w:firstLine="440" w:end="0"/>
        <w:jc w:val="start"/>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第二条  房屋转让</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乙方取得不动产权证</w:t>
      </w:r>
      <w:r>
        <w:rPr>
          <w:rFonts w:ascii="方正书宋_GBK" w:hAnsi="方正书宋_GBK" w:cs="方正书宋_GBK" w:eastAsia="方正书宋_GBK"/>
          <w:kern w:val="0"/>
          <w:sz w:val="22"/>
          <w:szCs w:val="22"/>
          <w:lang w:eastAsia="zh-CN"/>
        </w:rPr>
        <w:t>书</w:t>
      </w:r>
      <w:r>
        <w:rPr>
          <w:rFonts w:ascii="方正书宋_GBK" w:hAnsi="方正书宋_GBK" w:cs="方正书宋_GBK" w:eastAsia="方正书宋_GBK"/>
          <w:kern w:val="0"/>
          <w:sz w:val="22"/>
          <w:szCs w:val="22"/>
        </w:rPr>
        <w:t>未满</w:t>
      </w: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年的，不允许转让房屋产权份额，因特殊原因确需转让的，可向原分配区住房城乡建设委（房管局）提交申请，由丙方回购。回购价格按购买价格并考虑折旧和物价水平等因素确定，具体价格在回购合同中另行约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乙方取得不动产权证</w:t>
      </w:r>
      <w:r>
        <w:rPr>
          <w:rFonts w:ascii="方正书宋_GBK" w:hAnsi="方正书宋_GBK" w:cs="方正书宋_GBK" w:eastAsia="方正书宋_GBK"/>
          <w:kern w:val="0"/>
          <w:sz w:val="22"/>
          <w:szCs w:val="22"/>
          <w:lang w:eastAsia="zh-CN"/>
        </w:rPr>
        <w:t>书</w:t>
      </w:r>
      <w:r>
        <w:rPr>
          <w:rFonts w:ascii="方正书宋_GBK" w:hAnsi="方正书宋_GBK" w:cs="方正书宋_GBK" w:eastAsia="方正书宋_GBK"/>
          <w:kern w:val="0"/>
          <w:sz w:val="22"/>
          <w:szCs w:val="22"/>
        </w:rPr>
        <w:t>满</w:t>
      </w: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年的，可按市场价格转让所购房屋产权份额。</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）乙方向原分配区住房城乡建设委（房管局）提交上市申请，明确出售价格。同等价格条件下，丙方可优先购买。</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丙方放弃优先购买权的，乙方可在丙方建立的网络服务平台发布转让所购房屋产权份额信息，具体份额比例为本合同第六条中明确的乙方拥有的产权比例。转让对象应为其他符合共有产权住房购买条件的家庭。新购房人获得房屋产权性质仍为“共有产权住房”。</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丙方行使优先购买权的房屋价格，应委托房地产估价机构参照周边市场价格评估确定。乙方转让价格明显低于评估价格的，丙方应当按购房人提出的转让价格予以回购。</w:t>
      </w:r>
    </w:p>
    <w:p>
      <w:pPr>
        <w:pStyle w:val="Normal"/>
        <w:keepNext w:val="false"/>
        <w:keepLines w:val="false"/>
        <w:pageBreakBefore w:val="false"/>
        <w:widowControl/>
        <w:kinsoku w:val="true"/>
        <w:overflowPunct w:val="true"/>
        <w:bidi w:val="0"/>
        <w:spacing w:lineRule="exact" w:line="420"/>
        <w:ind w:firstLine="440" w:end="0"/>
        <w:jc w:val="start"/>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第三条  购买其他住房</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乙方</w:t>
      </w:r>
      <w:r>
        <w:rPr>
          <w:rFonts w:ascii="方正书宋_GBK" w:hAnsi="方正书宋_GBK" w:cs="方正书宋_GBK" w:eastAsia="方正书宋_GBK"/>
          <w:kern w:val="0"/>
          <w:sz w:val="22"/>
          <w:szCs w:val="22"/>
          <w:lang w:eastAsia="zh-CN"/>
        </w:rPr>
        <w:t>及其未成年子女</w:t>
      </w:r>
      <w:r>
        <w:rPr>
          <w:rFonts w:ascii="方正书宋_GBK" w:hAnsi="方正书宋_GBK" w:cs="方正书宋_GBK" w:eastAsia="方正书宋_GBK"/>
          <w:kern w:val="0"/>
          <w:sz w:val="22"/>
          <w:szCs w:val="22"/>
        </w:rPr>
        <w:t>购买其他商品住房的，在签订有关房屋</w:t>
      </w:r>
      <w:r>
        <w:rPr>
          <w:rFonts w:ascii="方正书宋_GBK" w:hAnsi="方正书宋_GBK" w:cs="方正书宋_GBK" w:eastAsia="方正书宋_GBK"/>
          <w:kern w:val="0"/>
          <w:sz w:val="22"/>
          <w:szCs w:val="22"/>
          <w:lang w:eastAsia="zh-CN"/>
        </w:rPr>
        <w:t>买卖</w:t>
      </w:r>
      <w:r>
        <w:rPr>
          <w:rFonts w:ascii="方正书宋_GBK" w:hAnsi="方正书宋_GBK" w:cs="方正书宋_GBK" w:eastAsia="方正书宋_GBK"/>
          <w:kern w:val="0"/>
          <w:sz w:val="22"/>
          <w:szCs w:val="22"/>
        </w:rPr>
        <w:t>合同后</w:t>
      </w:r>
      <w:r>
        <w:rPr>
          <w:rFonts w:eastAsia="方正书宋_GBK" w:cs="方正书宋_GBK" w:ascii="方正书宋_GBK" w:hAnsi="方正书宋_GBK"/>
          <w:kern w:val="0"/>
          <w:sz w:val="22"/>
          <w:szCs w:val="22"/>
        </w:rPr>
        <w:t>30</w:t>
      </w:r>
      <w:r>
        <w:rPr>
          <w:rFonts w:ascii="方正书宋_GBK" w:hAnsi="方正书宋_GBK" w:cs="方正书宋_GBK" w:eastAsia="方正书宋_GBK"/>
          <w:kern w:val="0"/>
          <w:sz w:val="22"/>
          <w:szCs w:val="22"/>
        </w:rPr>
        <w:t>日内，以书面形式告知丙方。丙方可以在收到乙方告知或者收到相关不动产登记机构书面告知后，按照有关规定由丙方按市场评估价格回购该房屋乙方产权份额。</w:t>
      </w:r>
    </w:p>
    <w:p>
      <w:pPr>
        <w:pStyle w:val="Normal"/>
        <w:keepNext w:val="false"/>
        <w:keepLines w:val="false"/>
        <w:pageBreakBefore w:val="false"/>
        <w:widowControl/>
        <w:kinsoku w:val="true"/>
        <w:overflowPunct w:val="true"/>
        <w:bidi w:val="0"/>
        <w:spacing w:lineRule="exact" w:line="420"/>
        <w:ind w:firstLine="440" w:end="0"/>
        <w:jc w:val="start"/>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第四条  房屋出租</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乙方应在市级统一搭建的网络服务平台发布房屋出租信息。乙方出租住房后，所得租金收益（除应缴纳的相关税费外）按照本合同约定的乙方、丙方所占房屋产权份额比例进行分配，即乙方获得租金收益的</w:t>
      </w:r>
      <w:r>
        <w:rPr>
          <w:rFonts w:eastAsia="方正书宋_GBK" w:cs="方正书宋_GBK" w:ascii="方正书宋_GBK" w:hAnsi="方正书宋_GBK"/>
          <w:sz w:val="22"/>
          <w:szCs w:val="22"/>
        </w:rPr>
        <w:t>________%</w:t>
      </w:r>
      <w:r>
        <w:rPr>
          <w:rFonts w:ascii="方正书宋_GBK" w:hAnsi="方正书宋_GBK" w:cs="方正书宋_GBK" w:eastAsia="方正书宋_GBK"/>
          <w:sz w:val="22"/>
          <w:szCs w:val="22"/>
        </w:rPr>
        <w:t>，丙方获得租金收益的</w:t>
      </w:r>
      <w:r>
        <w:rPr>
          <w:rFonts w:eastAsia="方正书宋_GBK" w:cs="方正书宋_GBK" w:ascii="方正书宋_GBK" w:hAnsi="方正书宋_GBK"/>
          <w:sz w:val="22"/>
          <w:szCs w:val="22"/>
        </w:rPr>
        <w:t>________%</w:t>
      </w:r>
      <w:r>
        <w:rPr>
          <w:rFonts w:ascii="方正书宋_GBK" w:hAnsi="方正书宋_GBK" w:cs="方正书宋_GBK" w:eastAsia="方正书宋_GBK"/>
          <w:sz w:val="22"/>
          <w:szCs w:val="22"/>
        </w:rPr>
        <w:t>。</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乙方及其</w:t>
      </w:r>
      <w:r>
        <w:rPr>
          <w:rFonts w:ascii="方正书宋_GBK" w:hAnsi="方正书宋_GBK" w:cs="方正书宋_GBK" w:eastAsia="方正书宋_GBK"/>
          <w:sz w:val="22"/>
          <w:szCs w:val="22"/>
          <w:lang w:eastAsia="zh-CN"/>
        </w:rPr>
        <w:t>同住人</w:t>
      </w:r>
      <w:r>
        <w:rPr>
          <w:rFonts w:ascii="方正书宋_GBK" w:hAnsi="方正书宋_GBK" w:cs="方正书宋_GBK" w:eastAsia="方正书宋_GBK"/>
          <w:sz w:val="22"/>
          <w:szCs w:val="22"/>
        </w:rPr>
        <w:t>，未经丙方同意不得擅自出租共有产权住房，应按时足额缴纳政府产权份额租金收益，违反规定且拒不改正的，丙方可暂停办理本套住房的回购和上市手续。乙方、丙方可另行具体约定租赁相关事宜。</w:t>
      </w:r>
    </w:p>
    <w:p>
      <w:pPr>
        <w:pStyle w:val="Normal"/>
        <w:keepNext w:val="false"/>
        <w:keepLines w:val="false"/>
        <w:pageBreakBefore w:val="false"/>
        <w:widowControl/>
        <w:kinsoku w:val="true"/>
        <w:overflowPunct w:val="true"/>
        <w:bidi w:val="0"/>
        <w:spacing w:lineRule="exact" w:line="420"/>
        <w:ind w:firstLine="440" w:end="0"/>
        <w:jc w:val="start"/>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第五条  房屋的居住及查访</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乙方承诺，购买的共有产权住房用于</w:t>
      </w:r>
      <w:r>
        <w:rPr>
          <w:rFonts w:ascii="方正书宋_GBK" w:hAnsi="方正书宋_GBK" w:cs="方正书宋_GBK" w:eastAsia="方正书宋_GBK"/>
          <w:sz w:val="22"/>
          <w:szCs w:val="22"/>
          <w:lang w:eastAsia="zh-CN"/>
        </w:rPr>
        <w:t>乙方</w:t>
      </w:r>
      <w:r>
        <w:rPr>
          <w:rFonts w:ascii="方正书宋_GBK" w:hAnsi="方正书宋_GBK" w:cs="方正书宋_GBK" w:eastAsia="方正书宋_GBK"/>
          <w:sz w:val="22"/>
          <w:szCs w:val="22"/>
        </w:rPr>
        <w:t>及</w:t>
      </w:r>
      <w:r>
        <w:rPr>
          <w:rFonts w:ascii="方正书宋_GBK" w:hAnsi="方正书宋_GBK" w:cs="方正书宋_GBK" w:eastAsia="方正书宋_GBK"/>
          <w:sz w:val="22"/>
          <w:szCs w:val="22"/>
          <w:lang w:eastAsia="zh-CN"/>
        </w:rPr>
        <w:t>其</w:t>
      </w:r>
      <w:r>
        <w:rPr>
          <w:rFonts w:ascii="方正书宋_GBK" w:hAnsi="方正书宋_GBK" w:cs="方正书宋_GBK" w:eastAsia="方正书宋_GBK"/>
          <w:sz w:val="22"/>
          <w:szCs w:val="22"/>
        </w:rPr>
        <w:t>同住人居住使用。乙方和丙方未协商一致且书面同意的情况下，不得将拥有的产权份额赠与或分割转让给他人，不得擅自转让、调换、出租、出借共有产权住房。</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乙方同意，丙方可以采取家访等方式，查实该房屋的居住和使用状况，乙方应当给予配合。</w:t>
      </w:r>
    </w:p>
    <w:p>
      <w:pPr>
        <w:pStyle w:val="Normal"/>
        <w:keepNext w:val="false"/>
        <w:keepLines w:val="false"/>
        <w:pageBreakBefore w:val="false"/>
        <w:widowControl/>
        <w:kinsoku w:val="true"/>
        <w:overflowPunct w:val="true"/>
        <w:bidi w:val="0"/>
        <w:spacing w:lineRule="exact" w:line="420"/>
        <w:ind w:firstLine="440" w:end="0"/>
        <w:jc w:val="start"/>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 xml:space="preserve">第六条  合理使用 </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乙方按照相关规定和主合同及本房屋使用协议，合理使用房屋，自房屋交付后</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年内，乙方不得对内部装饰装修进行拆除。自主合同签订之日起，乙方与丙方没有协商一致，不得将房屋出售、赠与、出租、出借。乙方有擅自出售、赠与、出租、出借行为的，按照以下</w:t>
      </w:r>
      <w:r>
        <w:rPr>
          <w:rFonts w:ascii="方正书宋_GBK" w:hAnsi="方正书宋_GBK" w:cs="方正书宋_GBK" w:eastAsia="方正书宋_GBK"/>
          <w:sz w:val="22"/>
          <w:szCs w:val="22"/>
          <w:lang w:eastAsia="zh-CN"/>
        </w:rPr>
        <w:t>方式</w:t>
      </w:r>
      <w:r>
        <w:rPr>
          <w:rFonts w:ascii="方正书宋_GBK" w:hAnsi="方正书宋_GBK" w:cs="方正书宋_GBK" w:eastAsia="方正书宋_GBK"/>
          <w:sz w:val="22"/>
          <w:szCs w:val="22"/>
        </w:rPr>
        <w:t>处理：</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（一）乙方收到丙方要求改正的书面通知后，应及时改正。</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（二）乙方未及时改正的，</w:t>
      </w:r>
      <w:r>
        <w:rPr>
          <w:rFonts w:ascii="方正书宋_GBK" w:hAnsi="方正书宋_GBK" w:cs="方正书宋_GBK" w:eastAsia="方正书宋_GBK"/>
          <w:sz w:val="22"/>
          <w:szCs w:val="22"/>
          <w:lang w:eastAsia="zh-CN"/>
        </w:rPr>
        <w:t>每日</w:t>
      </w:r>
      <w:r>
        <w:rPr>
          <w:rFonts w:ascii="方正书宋_GBK" w:hAnsi="方正书宋_GBK" w:cs="方正书宋_GBK" w:eastAsia="方正书宋_GBK"/>
          <w:sz w:val="22"/>
          <w:szCs w:val="22"/>
        </w:rPr>
        <w:t>按乙方支付房款</w:t>
      </w:r>
      <w:r>
        <w:rPr>
          <w:rFonts w:ascii="方正书宋_GBK" w:hAnsi="方正书宋_GBK" w:cs="方正书宋_GBK" w:eastAsia="方正书宋_GBK"/>
          <w:sz w:val="22"/>
          <w:szCs w:val="22"/>
          <w:lang w:eastAsia="zh-CN"/>
        </w:rPr>
        <w:t>的</w:t>
      </w:r>
      <w:r>
        <w:rPr>
          <w:rFonts w:ascii="方正书宋_GBK" w:hAnsi="方正书宋_GBK" w:cs="方正书宋_GBK" w:eastAsia="方正书宋_GBK"/>
          <w:sz w:val="22"/>
          <w:szCs w:val="22"/>
        </w:rPr>
        <w:t>万分之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向丙方支付违约金，违约金</w:t>
      </w:r>
      <w:r>
        <w:rPr>
          <w:rFonts w:ascii="方正书宋_GBK" w:hAnsi="方正书宋_GBK" w:cs="方正书宋_GBK" w:eastAsia="方正书宋_GBK"/>
          <w:sz w:val="22"/>
          <w:szCs w:val="22"/>
          <w:lang w:eastAsia="zh-CN"/>
        </w:rPr>
        <w:t>计算期限</w:t>
      </w:r>
      <w:r>
        <w:rPr>
          <w:rFonts w:ascii="方正书宋_GBK" w:hAnsi="方正书宋_GBK" w:cs="方正书宋_GBK" w:eastAsia="方正书宋_GBK"/>
          <w:sz w:val="22"/>
          <w:szCs w:val="22"/>
        </w:rPr>
        <w:t>自书面通知明确的改正日期至实际改正之日止。</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（三）乙方擅自转让、出租等行为将作为不良信用记录，纳入本市信用信息管理系统。</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（四）政府主管部门对乙方擅自转让、出租等行为</w:t>
      </w:r>
      <w:r>
        <w:rPr>
          <w:rFonts w:ascii="方正书宋_GBK" w:hAnsi="方正书宋_GBK" w:cs="方正书宋_GBK" w:eastAsia="方正书宋_GBK"/>
          <w:sz w:val="22"/>
          <w:szCs w:val="22"/>
          <w:lang w:val="en-US" w:eastAsia="zh-CN"/>
        </w:rPr>
        <w:t>作</w:t>
      </w:r>
      <w:r>
        <w:rPr>
          <w:rFonts w:ascii="方正书宋_GBK" w:hAnsi="方正书宋_GBK" w:cs="方正书宋_GBK" w:eastAsia="方正书宋_GBK"/>
          <w:sz w:val="22"/>
          <w:szCs w:val="22"/>
        </w:rPr>
        <w:t>出行政处理决定或</w:t>
      </w:r>
      <w:r>
        <w:rPr>
          <w:rFonts w:ascii="方正书宋_GBK" w:hAnsi="方正书宋_GBK" w:cs="方正书宋_GBK" w:eastAsia="方正书宋_GBK"/>
          <w:sz w:val="22"/>
          <w:szCs w:val="22"/>
          <w:lang w:eastAsia="zh-CN"/>
        </w:rPr>
        <w:t>乙方</w:t>
      </w:r>
      <w:r>
        <w:rPr>
          <w:rFonts w:ascii="方正书宋_GBK" w:hAnsi="方正书宋_GBK" w:cs="方正书宋_GBK" w:eastAsia="方正书宋_GBK"/>
          <w:sz w:val="22"/>
          <w:szCs w:val="22"/>
        </w:rPr>
        <w:t>造成丙方重大损失的，丙方有权在退回乙方原购房款同等金额后，腾退该住房。</w:t>
      </w:r>
    </w:p>
    <w:p>
      <w:pPr>
        <w:pStyle w:val="Normal"/>
        <w:keepNext w:val="false"/>
        <w:keepLines w:val="false"/>
        <w:pageBreakBefore w:val="false"/>
        <w:widowControl/>
        <w:kinsoku w:val="true"/>
        <w:overflowPunct w:val="true"/>
        <w:bidi w:val="0"/>
        <w:spacing w:lineRule="exact" w:line="420"/>
        <w:ind w:firstLine="440" w:end="0"/>
        <w:jc w:val="start"/>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第七条  使用房屋相关费用</w:t>
      </w:r>
    </w:p>
    <w:p>
      <w:pPr>
        <w:pStyle w:val="Normal"/>
        <w:keepNext w:val="false"/>
        <w:keepLines w:val="false"/>
        <w:pageBreakBefore w:val="false"/>
        <w:kinsoku w:val="true"/>
        <w:overflowPunct w:val="true"/>
        <w:bidi w:val="0"/>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乙方应当按照本市相关规定和</w:t>
      </w:r>
      <w:r>
        <w:rPr>
          <w:rFonts w:ascii="方正书宋_GBK" w:hAnsi="方正书宋_GBK" w:cs="方正书宋_GBK" w:eastAsia="方正书宋_GBK"/>
          <w:sz w:val="22"/>
          <w:szCs w:val="22"/>
          <w:lang w:eastAsia="zh-CN"/>
        </w:rPr>
        <w:t>主</w:t>
      </w:r>
      <w:r>
        <w:rPr>
          <w:rFonts w:ascii="方正书宋_GBK" w:hAnsi="方正书宋_GBK" w:cs="方正书宋_GBK" w:eastAsia="方正书宋_GBK"/>
          <w:sz w:val="22"/>
          <w:szCs w:val="22"/>
        </w:rPr>
        <w:t>合同第二十</w:t>
      </w:r>
      <w:r>
        <w:rPr>
          <w:rFonts w:ascii="方正书宋_GBK" w:hAnsi="方正书宋_GBK" w:cs="方正书宋_GBK" w:eastAsia="方正书宋_GBK"/>
          <w:sz w:val="22"/>
          <w:szCs w:val="22"/>
          <w:lang w:eastAsia="zh-CN"/>
        </w:rPr>
        <w:t>一</w:t>
      </w:r>
      <w:r>
        <w:rPr>
          <w:rFonts w:ascii="方正书宋_GBK" w:hAnsi="方正书宋_GBK" w:cs="方正书宋_GBK" w:eastAsia="方正书宋_GBK"/>
          <w:sz w:val="22"/>
          <w:szCs w:val="22"/>
        </w:rPr>
        <w:t>条约定，缴纳</w:t>
      </w:r>
      <w:r>
        <w:rPr>
          <w:rFonts w:ascii="方正书宋_GBK" w:hAnsi="方正书宋_GBK" w:cs="方正书宋_GBK" w:eastAsia="方正书宋_GBK"/>
          <w:sz w:val="22"/>
          <w:szCs w:val="22"/>
          <w:lang w:eastAsia="zh-CN"/>
        </w:rPr>
        <w:t>专项</w:t>
      </w:r>
      <w:r>
        <w:rPr>
          <w:rFonts w:ascii="方正书宋_GBK" w:hAnsi="方正书宋_GBK" w:cs="方正书宋_GBK" w:eastAsia="方正书宋_GBK"/>
          <w:sz w:val="22"/>
          <w:szCs w:val="22"/>
        </w:rPr>
        <w:t>维修资金，关于支取、使用</w:t>
      </w:r>
      <w:r>
        <w:rPr>
          <w:rFonts w:ascii="方正书宋_GBK" w:hAnsi="方正书宋_GBK" w:cs="方正书宋_GBK" w:eastAsia="方正书宋_GBK"/>
          <w:sz w:val="22"/>
          <w:szCs w:val="22"/>
          <w:lang w:eastAsia="zh-CN"/>
        </w:rPr>
        <w:t>专项</w:t>
      </w:r>
      <w:r>
        <w:rPr>
          <w:rFonts w:ascii="方正书宋_GBK" w:hAnsi="方正书宋_GBK" w:cs="方正书宋_GBK" w:eastAsia="方正书宋_GBK"/>
          <w:sz w:val="22"/>
          <w:szCs w:val="22"/>
        </w:rPr>
        <w:t>维修</w:t>
      </w:r>
      <w:r>
        <w:rPr>
          <w:rFonts w:ascii="方正书宋_GBK" w:hAnsi="方正书宋_GBK" w:cs="方正书宋_GBK" w:eastAsia="方正书宋_GBK"/>
          <w:sz w:val="22"/>
          <w:szCs w:val="22"/>
          <w:lang w:eastAsia="zh-CN"/>
        </w:rPr>
        <w:t>资金</w:t>
      </w:r>
      <w:r>
        <w:rPr>
          <w:rFonts w:ascii="方正书宋_GBK" w:hAnsi="方正书宋_GBK" w:cs="方正书宋_GBK" w:eastAsia="方正书宋_GBK"/>
          <w:sz w:val="22"/>
          <w:szCs w:val="22"/>
        </w:rPr>
        <w:t>等相关事宜，根据本市有关规定或经乙方、丙方另行约定。</w:t>
      </w:r>
    </w:p>
    <w:p>
      <w:pPr>
        <w:pStyle w:val="Normal"/>
        <w:keepNext w:val="false"/>
        <w:keepLines w:val="false"/>
        <w:pageBreakBefore w:val="false"/>
        <w:kinsoku w:val="true"/>
        <w:overflowPunct w:val="true"/>
        <w:bidi w:val="0"/>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共有产权住房的物业服务费，由乙方承担。具体事宜由乙方和物业服务企业在物业服务合同中进行约定。</w:t>
      </w:r>
    </w:p>
    <w:p>
      <w:pPr>
        <w:pStyle w:val="BodyTextIndent"/>
        <w:keepNext w:val="false"/>
        <w:keepLines w:val="false"/>
        <w:pageBreakBefore w:val="false"/>
        <w:widowControl w:val="false"/>
        <w:kinsoku w:val="true"/>
        <w:overflowPunct w:val="true"/>
        <w:autoSpaceDE w:val="true"/>
        <w:bidi w:val="0"/>
        <w:snapToGrid w:val="false"/>
        <w:spacing w:lineRule="exact" w:line="420"/>
        <w:ind w:firstLine="397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w:t>
      </w:r>
      <w:r>
        <w:rPr>
          <w:rFonts w:ascii="方正书宋_GBK" w:hAnsi="方正书宋_GBK" w:cs="方正书宋_GBK" w:eastAsia="方正书宋_GBK"/>
          <w:sz w:val="22"/>
          <w:szCs w:val="22"/>
          <w:lang w:eastAsia="zh-CN"/>
        </w:rPr>
        <w:t>签字</w:t>
      </w:r>
      <w:r>
        <w:rPr>
          <w:rFonts w:ascii="方正书宋_GBK" w:hAnsi="方正书宋_GBK" w:cs="方正书宋_GBK" w:eastAsia="方正书宋_GBK"/>
          <w:sz w:val="22"/>
          <w:szCs w:val="22"/>
        </w:rPr>
        <w:t>：</w:t>
      </w:r>
    </w:p>
    <w:p>
      <w:pPr>
        <w:pStyle w:val="BodyTextIndent"/>
        <w:keepNext w:val="false"/>
        <w:keepLines w:val="false"/>
        <w:pageBreakBefore w:val="false"/>
        <w:widowControl w:val="false"/>
        <w:kinsoku w:val="true"/>
        <w:overflowPunct w:val="true"/>
        <w:autoSpaceDE w:val="true"/>
        <w:bidi w:val="0"/>
        <w:snapToGrid w:val="false"/>
        <w:spacing w:lineRule="exact" w:line="420"/>
        <w:ind w:firstLine="3975" w:end="0"/>
        <w:textAlignment w:val="auto"/>
        <w:rPr>
          <w:rFonts w:ascii="方正书宋_GBK" w:hAnsi="方正书宋_GBK" w:eastAsia="方正书宋_GBK" w:cs="方正书宋_GBK"/>
          <w:sz w:val="22"/>
          <w:szCs w:val="22"/>
          <w:lang w:eastAsia="zh-CN"/>
        </w:rPr>
      </w:pPr>
      <w:r>
        <w:rPr>
          <w:rFonts w:ascii="方正书宋_GBK" w:hAnsi="方正书宋_GBK" w:cs="方正书宋_GBK" w:eastAsia="方正书宋_GBK"/>
          <w:sz w:val="22"/>
          <w:szCs w:val="22"/>
          <w:lang w:eastAsia="zh-CN"/>
        </w:rPr>
        <w:t>承诺人一：</w:t>
      </w:r>
    </w:p>
    <w:p>
      <w:pPr>
        <w:pStyle w:val="BodyTextIndent"/>
        <w:keepNext w:val="false"/>
        <w:keepLines w:val="false"/>
        <w:pageBreakBefore w:val="false"/>
        <w:widowControl w:val="false"/>
        <w:kinsoku w:val="true"/>
        <w:overflowPunct w:val="true"/>
        <w:autoSpaceDE w:val="true"/>
        <w:bidi w:val="0"/>
        <w:snapToGrid w:val="false"/>
        <w:spacing w:lineRule="exact" w:line="420"/>
        <w:ind w:firstLine="3975" w:end="0"/>
        <w:textAlignment w:val="auto"/>
        <w:rPr>
          <w:rFonts w:ascii="方正书宋_GBK" w:hAnsi="方正书宋_GBK" w:eastAsia="方正书宋_GBK" w:cs="方正书宋_GBK"/>
          <w:sz w:val="22"/>
          <w:szCs w:val="22"/>
          <w:lang w:eastAsia="zh-CN"/>
        </w:rPr>
      </w:pPr>
      <w:r>
        <w:rPr>
          <w:rFonts w:ascii="方正书宋_GBK" w:hAnsi="方正书宋_GBK" w:cs="方正书宋_GBK" w:eastAsia="方正书宋_GBK"/>
          <w:sz w:val="22"/>
          <w:szCs w:val="22"/>
          <w:lang w:eastAsia="zh-CN"/>
        </w:rPr>
        <w:t>承诺人二：</w:t>
      </w:r>
    </w:p>
    <w:p>
      <w:pPr>
        <w:sectPr>
          <w:headerReference w:type="default" r:id="rId26"/>
          <w:headerReference w:type="first" r:id="rId27"/>
          <w:footerReference w:type="default" r:id="rId28"/>
          <w:footerReference w:type="first" r:id="rId29"/>
          <w:type w:val="nextPage"/>
          <w:pgSz w:w="11906" w:h="16838"/>
          <w:pgMar w:left="1559" w:right="1559" w:gutter="0" w:header="851" w:top="1440" w:footer="992" w:bottom="1440"/>
          <w:pgNumType w:start="1" w:fmt="decimal"/>
          <w:formProt w:val="false"/>
          <w:titlePg/>
          <w:textDirection w:val="lrTb"/>
          <w:docGrid w:type="lines" w:linePitch="312" w:charSpace="0"/>
        </w:sectPr>
        <w:pStyle w:val="BodyTextIndent"/>
        <w:keepNext w:val="false"/>
        <w:keepLines w:val="false"/>
        <w:pageBreakBefore w:val="false"/>
        <w:widowControl w:val="false"/>
        <w:kinsoku w:val="true"/>
        <w:overflowPunct w:val="true"/>
        <w:autoSpaceDE w:val="true"/>
        <w:bidi w:val="0"/>
        <w:snapToGrid w:val="false"/>
        <w:spacing w:lineRule="exact" w:line="420"/>
        <w:ind w:firstLine="4859" w:end="0"/>
        <w:textAlignment w:val="auto"/>
        <w:rPr>
          <w:rFonts w:ascii="宋体" w:hAnsi="宋体" w:cs="宋体"/>
          <w:kern w:val="0"/>
          <w:szCs w:val="21"/>
        </w:rPr>
      </w:pPr>
      <w:r>
        <w:rPr>
          <w:rFonts w:ascii="方正书宋_GBK" w:hAnsi="方正书宋_GBK" w:cs="方正书宋_GBK" w:eastAsia="方正书宋_GBK"/>
          <w:sz w:val="22"/>
          <w:szCs w:val="22"/>
          <w:lang w:eastAsia="zh-CN"/>
        </w:rPr>
        <w:t>年</w:t>
      </w:r>
      <w:r>
        <w:rPr>
          <w:rFonts w:ascii="方正书宋_GBK" w:hAnsi="方正书宋_GBK" w:cs="方正书宋_GBK" w:eastAsia="方正书宋_GBK"/>
          <w:sz w:val="22"/>
          <w:szCs w:val="22"/>
          <w:lang w:val="en-US" w:eastAsia="zh-CN"/>
        </w:rPr>
        <w:t xml:space="preserve">   月    日</w:t>
      </w:r>
      <w:r>
        <w:rPr>
          <w:rFonts w:ascii="方正书宋_GBK" w:hAnsi="方正书宋_GBK" w:cs="方正书宋_GBK" w:eastAsia="方正书宋_GBK"/>
          <w:sz w:val="22"/>
          <w:szCs w:val="22"/>
        </w:rPr>
        <w:t xml:space="preserve">        </w:t>
      </w:r>
      <w:r>
        <w:br w:type="page"/>
      </w:r>
    </w:p>
    <w:p>
      <w:pPr>
        <w:pStyle w:val="Style22"/>
        <w:keepNext w:val="false"/>
        <w:keepLines w:val="false"/>
        <w:pageBreakBefore w:val="false"/>
        <w:kinsoku w:val="true"/>
        <w:overflowPunct w:val="true"/>
        <w:bidi w:val="0"/>
        <w:spacing w:lineRule="exact" w:line="420"/>
        <w:ind w:hanging="2" w:end="0"/>
        <w:jc w:val="start"/>
        <w:rPr>
          <w:rFonts w:ascii="方正黑体_GBK;微软雅黑" w:hAnsi="方正黑体_GBK;微软雅黑" w:eastAsia="方正黑体_GBK;微软雅黑" w:cs="方正黑体_GBK;微软雅黑"/>
          <w:b w:val="false"/>
          <w:bCs/>
          <w:kern w:val="0"/>
          <w:sz w:val="28"/>
          <w:szCs w:val="28"/>
        </w:rPr>
      </w:pPr>
      <w:r>
        <w:rPr>
          <w:rFonts w:ascii="方正黑体_GBK;微软雅黑" w:hAnsi="方正黑体_GBK;微软雅黑" w:cs="方正黑体_GBK;微软雅黑" w:eastAsia="方正黑体_GBK;微软雅黑"/>
          <w:b w:val="false"/>
          <w:bCs/>
          <w:kern w:val="0"/>
          <w:sz w:val="28"/>
          <w:szCs w:val="28"/>
        </w:rPr>
        <w:t xml:space="preserve">附件二  </w:t>
      </w:r>
    </w:p>
    <w:p>
      <w:pPr>
        <w:pStyle w:val="Normal"/>
        <w:keepNext w:val="false"/>
        <w:keepLines w:val="false"/>
        <w:pageBreakBefore w:val="false"/>
        <w:tabs>
          <w:tab w:val="clear" w:pos="420"/>
          <w:tab w:val="left" w:pos="4680" w:leader="none"/>
        </w:tabs>
        <w:kinsoku w:val="true"/>
        <w:overflowPunct w:val="true"/>
        <w:bidi w:val="0"/>
        <w:spacing w:lineRule="exact" w:line="420"/>
        <w:ind w:end="0"/>
        <w:jc w:val="center"/>
        <w:rPr>
          <w:rFonts w:ascii="方正黑体_GBK;微软雅黑" w:hAnsi="方正黑体_GBK;微软雅黑" w:eastAsia="方正黑体_GBK;微软雅黑" w:cs="方正黑体_GBK;微软雅黑"/>
          <w:b w:val="false"/>
          <w:bCs/>
          <w:kern w:val="0"/>
          <w:sz w:val="28"/>
          <w:szCs w:val="28"/>
        </w:rPr>
      </w:pPr>
      <w:r>
        <w:rPr>
          <w:rFonts w:eastAsia="方正黑体_GBK;微软雅黑" w:cs="方正黑体_GBK;微软雅黑" w:ascii="方正黑体_GBK;微软雅黑" w:hAnsi="方正黑体_GBK;微软雅黑"/>
          <w:b w:val="false"/>
          <w:bCs/>
          <w:kern w:val="0"/>
          <w:sz w:val="28"/>
          <w:szCs w:val="28"/>
        </w:rPr>
      </w:r>
    </w:p>
    <w:p>
      <w:pPr>
        <w:pStyle w:val="Normal"/>
        <w:keepNext w:val="false"/>
        <w:keepLines w:val="false"/>
        <w:pageBreakBefore w:val="false"/>
        <w:tabs>
          <w:tab w:val="clear" w:pos="420"/>
          <w:tab w:val="left" w:pos="4680" w:leader="none"/>
        </w:tabs>
        <w:kinsoku w:val="true"/>
        <w:overflowPunct w:val="true"/>
        <w:bidi w:val="0"/>
        <w:spacing w:lineRule="exact" w:line="420"/>
        <w:ind w:end="0"/>
        <w:jc w:val="center"/>
        <w:rPr>
          <w:rFonts w:ascii="方正黑体_GBK;微软雅黑" w:hAnsi="方正黑体_GBK;微软雅黑" w:eastAsia="方正黑体_GBK;微软雅黑" w:cs="方正黑体_GBK;微软雅黑"/>
          <w:b w:val="false"/>
          <w:bCs/>
          <w:sz w:val="28"/>
          <w:szCs w:val="28"/>
        </w:rPr>
      </w:pPr>
      <w:r>
        <w:rPr>
          <w:rFonts w:ascii="方正黑体_GBK;微软雅黑" w:hAnsi="方正黑体_GBK;微软雅黑" w:cs="方正黑体_GBK;微软雅黑" w:eastAsia="方正黑体_GBK;微软雅黑"/>
          <w:b w:val="false"/>
          <w:bCs/>
          <w:sz w:val="28"/>
          <w:szCs w:val="28"/>
        </w:rPr>
        <w:t>房屋平面图（应当标明方位、标识消防门、过道、设备等部位）</w:t>
      </w:r>
    </w:p>
    <w:p>
      <w:pPr>
        <w:pStyle w:val="PlainText"/>
        <w:rPr>
          <w:rFonts w:ascii="方正黑体_GBK;微软雅黑" w:hAnsi="方正黑体_GBK;微软雅黑" w:eastAsia="方正黑体_GBK;微软雅黑" w:cs="方正黑体_GBK;微软雅黑"/>
          <w:b w:val="false"/>
          <w:bCs/>
          <w:sz w:val="28"/>
          <w:szCs w:val="28"/>
        </w:rPr>
      </w:pPr>
      <w:r>
        <w:rPr>
          <w:rFonts w:eastAsia="方正黑体_GBK;微软雅黑" w:cs="方正黑体_GBK;微软雅黑" w:ascii="方正黑体_GBK;微软雅黑" w:hAnsi="方正黑体_GBK;微软雅黑"/>
          <w:b w:val="false"/>
          <w:bCs/>
          <w:sz w:val="28"/>
          <w:szCs w:val="28"/>
        </w:rPr>
      </w:r>
    </w:p>
    <w:p>
      <w:pPr>
        <w:pStyle w:val="largefont"/>
        <w:keepNext w:val="false"/>
        <w:keepLines w:val="false"/>
        <w:pageBreakBefore w:val="false"/>
        <w:kinsoku w:val="true"/>
        <w:overflowPunct w:val="true"/>
        <w:bidi w:val="0"/>
        <w:spacing w:lineRule="exact" w:line="420" w:before="0" w:after="0"/>
        <w:ind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房屋分层分户图（应当标明详细尺寸，并约定误差范围）。</w:t>
      </w:r>
    </w:p>
    <w:p>
      <w:pPr>
        <w:sectPr>
          <w:headerReference w:type="default" r:id="rId30"/>
          <w:headerReference w:type="first" r:id="rId31"/>
          <w:footerReference w:type="default" r:id="rId32"/>
          <w:footerReference w:type="first" r:id="rId33"/>
          <w:type w:val="nextPage"/>
          <w:pgSz w:w="11906" w:h="16838"/>
          <w:pgMar w:left="1559" w:right="1559" w:gutter="0" w:header="851" w:top="1440" w:footer="992" w:bottom="1440"/>
          <w:pgNumType w:fmt="decimal"/>
          <w:formProt w:val="false"/>
          <w:titlePg/>
          <w:textDirection w:val="lrTb"/>
          <w:docGrid w:type="lines" w:linePitch="312" w:charSpace="0"/>
        </w:sectPr>
        <w:pStyle w:val="largefont"/>
        <w:keepNext w:val="false"/>
        <w:keepLines w:val="false"/>
        <w:pageBreakBefore w:val="false"/>
        <w:kinsoku w:val="true"/>
        <w:overflowPunct w:val="true"/>
        <w:bidi w:val="0"/>
        <w:spacing w:lineRule="exact" w:line="420" w:before="0" w:after="0"/>
        <w:ind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建设工程规划方案总平面图。</w:t>
      </w:r>
      <w:r>
        <w:br w:type="page"/>
      </w:r>
    </w:p>
    <w:p>
      <w:pPr>
        <w:pStyle w:val="Style19"/>
        <w:keepNext w:val="false"/>
        <w:keepLines w:val="false"/>
        <w:pageBreakBefore w:val="false"/>
        <w:kinsoku w:val="true"/>
        <w:overflowPunct w:val="true"/>
        <w:bidi w:val="0"/>
        <w:spacing w:lineRule="exact" w:line="420" w:before="0" w:after="0"/>
        <w:ind w:end="0"/>
        <w:rPr>
          <w:rStyle w:val="Strong"/>
          <w:rFonts w:ascii="方正黑体_GBK;微软雅黑" w:hAnsi="方正黑体_GBK;微软雅黑" w:eastAsia="方正黑体_GBK;微软雅黑" w:cs="方正黑体_GBK;微软雅黑"/>
          <w:b w:val="false"/>
          <w:bCs w:val="false"/>
          <w:sz w:val="28"/>
          <w:szCs w:val="28"/>
        </w:rPr>
      </w:pPr>
      <w:r>
        <w:rPr>
          <w:rStyle w:val="Strong"/>
          <w:rFonts w:ascii="方正黑体_GBK;微软雅黑" w:hAnsi="方正黑体_GBK;微软雅黑" w:cs="方正黑体_GBK;微软雅黑" w:eastAsia="方正黑体_GBK;微软雅黑"/>
          <w:b w:val="false"/>
          <w:bCs w:val="false"/>
          <w:sz w:val="28"/>
          <w:szCs w:val="28"/>
        </w:rPr>
        <w:t xml:space="preserve">附件三  </w:t>
      </w:r>
    </w:p>
    <w:p>
      <w:pPr>
        <w:pStyle w:val="Style19"/>
        <w:keepNext w:val="false"/>
        <w:keepLines w:val="false"/>
        <w:pageBreakBefore w:val="false"/>
        <w:kinsoku w:val="true"/>
        <w:overflowPunct w:val="true"/>
        <w:bidi w:val="0"/>
        <w:spacing w:lineRule="exact" w:line="420" w:before="0" w:after="0"/>
        <w:ind w:end="0"/>
        <w:jc w:val="center"/>
        <w:rPr>
          <w:rStyle w:val="Strong"/>
          <w:rFonts w:ascii="方正黑体_GBK;微软雅黑" w:hAnsi="方正黑体_GBK;微软雅黑" w:eastAsia="方正黑体_GBK;微软雅黑" w:cs="方正黑体_GBK;微软雅黑"/>
          <w:b w:val="false"/>
          <w:bCs w:val="false"/>
          <w:sz w:val="28"/>
          <w:szCs w:val="28"/>
        </w:rPr>
      </w:pPr>
      <w:r>
        <w:rPr/>
      </w:r>
    </w:p>
    <w:p>
      <w:pPr>
        <w:pStyle w:val="Style19"/>
        <w:keepNext w:val="false"/>
        <w:keepLines w:val="false"/>
        <w:pageBreakBefore w:val="false"/>
        <w:kinsoku w:val="true"/>
        <w:overflowPunct w:val="true"/>
        <w:bidi w:val="0"/>
        <w:spacing w:lineRule="exact" w:line="420" w:before="0" w:after="0"/>
        <w:ind w:end="0"/>
        <w:jc w:val="center"/>
        <w:rPr>
          <w:rStyle w:val="Strong"/>
          <w:rFonts w:ascii="方正黑体_GBK;微软雅黑" w:hAnsi="方正黑体_GBK;微软雅黑" w:eastAsia="方正黑体_GBK;微软雅黑" w:cs="方正黑体_GBK;微软雅黑"/>
          <w:b w:val="false"/>
          <w:bCs w:val="false"/>
          <w:sz w:val="28"/>
          <w:szCs w:val="28"/>
        </w:rPr>
      </w:pPr>
      <w:r>
        <w:rPr>
          <w:rStyle w:val="Strong"/>
          <w:rFonts w:ascii="方正黑体_GBK;微软雅黑" w:hAnsi="方正黑体_GBK;微软雅黑" w:cs="方正黑体_GBK;微软雅黑" w:eastAsia="方正黑体_GBK;微软雅黑"/>
          <w:b w:val="false"/>
          <w:bCs w:val="false"/>
          <w:sz w:val="28"/>
          <w:szCs w:val="28"/>
        </w:rPr>
        <w:t>与该共有产权住房有关的共用建筑面积分摊情况</w:t>
      </w:r>
    </w:p>
    <w:p>
      <w:pPr>
        <w:pStyle w:val="Style19"/>
        <w:keepNext w:val="false"/>
        <w:keepLines w:val="false"/>
        <w:pageBreakBefore w:val="false"/>
        <w:kinsoku w:val="true"/>
        <w:overflowPunct w:val="true"/>
        <w:bidi w:val="0"/>
        <w:spacing w:lineRule="exact" w:line="420" w:before="0" w:after="0"/>
        <w:ind w:end="0"/>
        <w:jc w:val="center"/>
        <w:rPr>
          <w:rFonts w:ascii="方正黑体_GBK;微软雅黑" w:hAnsi="方正黑体_GBK;微软雅黑" w:eastAsia="方正黑体_GBK;微软雅黑" w:cs="方正黑体_GBK;微软雅黑"/>
          <w:b w:val="false"/>
          <w:bCs w:val="false"/>
          <w:sz w:val="28"/>
          <w:szCs w:val="28"/>
          <w:lang w:val="en-US" w:eastAsia="zh-CN"/>
        </w:rPr>
      </w:pPr>
      <w:r>
        <w:rPr>
          <w:rFonts w:eastAsia="方正黑体_GBK;微软雅黑" w:cs="方正黑体_GBK;微软雅黑" w:ascii="方正黑体_GBK;微软雅黑" w:hAnsi="方正黑体_GBK;微软雅黑"/>
          <w:b w:val="false"/>
          <w:bCs w:val="false"/>
          <w:sz w:val="28"/>
          <w:szCs w:val="28"/>
          <w:lang w:val="en-US" w:eastAsia="zh-CN"/>
        </w:rPr>
        <w:t>[</w:t>
      </w:r>
      <w:r>
        <w:rPr>
          <w:rFonts w:ascii="方正黑体_GBK;微软雅黑" w:hAnsi="方正黑体_GBK;微软雅黑" w:cs="方正黑体_GBK;微软雅黑" w:eastAsia="方正黑体_GBK;微软雅黑"/>
          <w:b w:val="false"/>
          <w:bCs w:val="false"/>
          <w:sz w:val="28"/>
          <w:szCs w:val="28"/>
        </w:rPr>
        <w:t>详见《房屋面积测算技术报告书》</w:t>
      </w:r>
      <w:r>
        <w:rPr>
          <w:rFonts w:eastAsia="方正黑体_GBK;微软雅黑" w:cs="方正黑体_GBK;微软雅黑" w:ascii="方正黑体_GBK;微软雅黑" w:hAnsi="方正黑体_GBK;微软雅黑"/>
          <w:b w:val="false"/>
          <w:bCs w:val="false"/>
          <w:sz w:val="28"/>
          <w:szCs w:val="28"/>
          <w:lang w:val="en-US" w:eastAsia="zh-CN"/>
        </w:rPr>
        <w:t>(</w:t>
      </w:r>
      <w:r>
        <w:rPr>
          <w:rFonts w:ascii="方正黑体_GBK;微软雅黑" w:hAnsi="方正黑体_GBK;微软雅黑" w:cs="方正黑体_GBK;微软雅黑" w:eastAsia="方正黑体_GBK;微软雅黑"/>
          <w:b w:val="false"/>
          <w:bCs w:val="false"/>
          <w:sz w:val="28"/>
          <w:szCs w:val="28"/>
        </w:rPr>
        <w:t>预测绘）</w:t>
      </w:r>
      <w:r>
        <w:rPr>
          <w:rFonts w:eastAsia="方正黑体_GBK;微软雅黑" w:cs="方正黑体_GBK;微软雅黑" w:ascii="方正黑体_GBK;微软雅黑" w:hAnsi="方正黑体_GBK;微软雅黑"/>
          <w:b w:val="false"/>
          <w:bCs w:val="false"/>
          <w:sz w:val="28"/>
          <w:szCs w:val="28"/>
          <w:lang w:val="en-US" w:eastAsia="zh-CN"/>
        </w:rPr>
        <w:t>]</w:t>
      </w:r>
    </w:p>
    <w:p>
      <w:pPr>
        <w:pStyle w:val="Style19"/>
        <w:keepNext w:val="false"/>
        <w:keepLines w:val="false"/>
        <w:pageBreakBefore w:val="false"/>
        <w:kinsoku w:val="true"/>
        <w:overflowPunct w:val="true"/>
        <w:bidi w:val="0"/>
        <w:spacing w:lineRule="exact" w:line="420" w:before="0" w:after="0"/>
        <w:ind w:end="0"/>
        <w:jc w:val="center"/>
        <w:rPr>
          <w:rFonts w:ascii="方正黑体_GBK;微软雅黑" w:hAnsi="方正黑体_GBK;微软雅黑" w:eastAsia="方正黑体_GBK;微软雅黑" w:cs="方正黑体_GBK;微软雅黑"/>
          <w:b w:val="false"/>
          <w:bCs w:val="false"/>
          <w:sz w:val="28"/>
          <w:szCs w:val="28"/>
          <w:lang w:val="en-US" w:eastAsia="zh-CN"/>
        </w:rPr>
      </w:pPr>
      <w:r>
        <w:rPr>
          <w:rFonts w:eastAsia="方正黑体_GBK;微软雅黑" w:cs="方正黑体_GBK;微软雅黑" w:ascii="方正黑体_GBK;微软雅黑" w:hAnsi="方正黑体_GBK;微软雅黑"/>
          <w:b w:val="false"/>
          <w:bCs w:val="false"/>
          <w:sz w:val="28"/>
          <w:szCs w:val="28"/>
          <w:lang w:val="en-US" w:eastAsia="zh-CN"/>
        </w:rPr>
      </w:r>
    </w:p>
    <w:p>
      <w:pPr>
        <w:pStyle w:val="Style19"/>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Style w:val="Strong"/>
          <w:rFonts w:ascii="方正书宋_GBK" w:hAnsi="方正书宋_GBK" w:eastAsia="方正书宋_GBK" w:cs="方正书宋_GBK"/>
          <w:b w:val="false"/>
          <w:sz w:val="22"/>
          <w:szCs w:val="22"/>
        </w:rPr>
      </w:pPr>
      <w:r>
        <w:rPr>
          <w:rStyle w:val="Strong"/>
          <w:rFonts w:eastAsia="方正书宋_GBK" w:cs="方正书宋_GBK" w:ascii="方正书宋_GBK" w:hAnsi="方正书宋_GBK"/>
          <w:b w:val="false"/>
          <w:sz w:val="22"/>
          <w:szCs w:val="22"/>
        </w:rPr>
        <w:t>1.</w:t>
      </w:r>
      <w:r>
        <w:rPr>
          <w:rStyle w:val="Strong"/>
          <w:rFonts w:ascii="方正书宋_GBK" w:hAnsi="方正书宋_GBK" w:cs="方正书宋_GBK" w:eastAsia="方正书宋_GBK"/>
          <w:b w:val="false"/>
          <w:sz w:val="22"/>
          <w:szCs w:val="22"/>
        </w:rPr>
        <w:t xml:space="preserve">被分摊的共用部位的名称、用途、所在位置。 </w:t>
      </w:r>
    </w:p>
    <w:p>
      <w:pPr>
        <w:pStyle w:val="Style19"/>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Style w:val="Strong"/>
          <w:rFonts w:ascii="方正书宋_GBK" w:hAnsi="方正书宋_GBK" w:eastAsia="方正书宋_GBK" w:cs="方正书宋_GBK"/>
          <w:b w:val="false"/>
          <w:sz w:val="22"/>
          <w:szCs w:val="22"/>
        </w:rPr>
      </w:pPr>
      <w:r>
        <w:rPr>
          <w:rStyle w:val="Strong"/>
          <w:rFonts w:eastAsia="方正书宋_GBK" w:cs="方正书宋_GBK" w:ascii="方正书宋_GBK" w:hAnsi="方正书宋_GBK"/>
          <w:b w:val="false"/>
          <w:sz w:val="22"/>
          <w:szCs w:val="22"/>
        </w:rPr>
        <w:t>2.</w:t>
      </w:r>
      <w:r>
        <w:rPr>
          <w:rStyle w:val="Strong"/>
          <w:rFonts w:ascii="方正书宋_GBK" w:hAnsi="方正书宋_GBK" w:cs="方正书宋_GBK" w:eastAsia="方正书宋_GBK"/>
          <w:b w:val="false"/>
          <w:sz w:val="22"/>
          <w:szCs w:val="22"/>
        </w:rPr>
        <w:t>参与分摊共用建筑面积的</w:t>
      </w:r>
      <w:r>
        <w:rPr>
          <w:rFonts w:ascii="方正书宋_GBK" w:hAnsi="方正书宋_GBK" w:cs="方正书宋_GBK" w:eastAsia="方正书宋_GBK"/>
          <w:sz w:val="22"/>
          <w:szCs w:val="22"/>
        </w:rPr>
        <w:t>共有产权住房</w:t>
      </w:r>
      <w:r>
        <w:rPr>
          <w:rStyle w:val="Strong"/>
          <w:rFonts w:ascii="方正书宋_GBK" w:hAnsi="方正书宋_GBK" w:cs="方正书宋_GBK" w:eastAsia="方正书宋_GBK"/>
          <w:b w:val="false"/>
          <w:sz w:val="22"/>
          <w:szCs w:val="22"/>
        </w:rPr>
        <w:t xml:space="preserve">的名称、用途、所在位置等。 </w:t>
      </w:r>
    </w:p>
    <w:p>
      <w:pPr>
        <w:sectPr>
          <w:headerReference w:type="default" r:id="rId34"/>
          <w:headerReference w:type="first" r:id="rId35"/>
          <w:footerReference w:type="default" r:id="rId36"/>
          <w:footerReference w:type="first" r:id="rId37"/>
          <w:type w:val="nextPage"/>
          <w:pgSz w:w="11906" w:h="16838"/>
          <w:pgMar w:left="1559" w:right="1559" w:gutter="0" w:header="851" w:top="1440" w:footer="992" w:bottom="1440"/>
          <w:pgNumType w:fmt="decimal"/>
          <w:formProt w:val="false"/>
          <w:titlePg/>
          <w:textDirection w:val="lrTb"/>
          <w:docGrid w:type="lines" w:linePitch="312" w:charSpace="0"/>
        </w:sect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Style w:val="Strong"/>
          <w:rFonts w:ascii="方正书宋_GBK" w:hAnsi="方正书宋_GBK" w:eastAsia="方正书宋_GBK" w:cs="方正书宋_GBK"/>
          <w:b w:val="false"/>
          <w:sz w:val="22"/>
          <w:szCs w:val="22"/>
        </w:rPr>
      </w:pPr>
      <w:r>
        <w:rPr>
          <w:rStyle w:val="Strong"/>
          <w:rFonts w:eastAsia="方正书宋_GBK" w:cs="方正书宋_GBK" w:ascii="方正书宋_GBK" w:hAnsi="方正书宋_GBK"/>
          <w:b w:val="false"/>
          <w:sz w:val="22"/>
          <w:szCs w:val="22"/>
        </w:rPr>
        <w:t>3.</w:t>
      </w:r>
      <w:r>
        <w:rPr>
          <w:rStyle w:val="Strong"/>
          <w:rFonts w:ascii="方正书宋_GBK" w:hAnsi="方正书宋_GBK" w:cs="方正书宋_GBK" w:eastAsia="方正书宋_GBK"/>
          <w:b w:val="false"/>
          <w:sz w:val="22"/>
          <w:szCs w:val="22"/>
        </w:rPr>
        <w:t>不分摊的共用部位。</w:t>
      </w:r>
      <w:r>
        <w:br w:type="page"/>
      </w:r>
    </w:p>
    <w:p>
      <w:pPr>
        <w:pStyle w:val="largefont"/>
        <w:keepNext w:val="false"/>
        <w:keepLines w:val="false"/>
        <w:pageBreakBefore w:val="false"/>
        <w:kinsoku w:val="true"/>
        <w:overflowPunct w:val="true"/>
        <w:bidi w:val="0"/>
        <w:spacing w:lineRule="exact" w:line="420" w:before="0" w:after="0"/>
        <w:ind w:hanging="0" w:end="0"/>
        <w:rPr>
          <w:rStyle w:val="Strong"/>
          <w:rFonts w:ascii="方正黑体_GBK;微软雅黑" w:hAnsi="方正黑体_GBK;微软雅黑" w:eastAsia="方正黑体_GBK;微软雅黑" w:cs="方正黑体_GBK;微软雅黑"/>
          <w:b w:val="false"/>
          <w:bCs w:val="false"/>
          <w:sz w:val="28"/>
          <w:szCs w:val="28"/>
        </w:rPr>
      </w:pPr>
      <w:r>
        <w:rPr>
          <w:rStyle w:val="Strong"/>
          <w:rFonts w:ascii="方正黑体_GBK;微软雅黑" w:hAnsi="方正黑体_GBK;微软雅黑" w:cs="方正黑体_GBK;微软雅黑" w:eastAsia="方正黑体_GBK;微软雅黑"/>
          <w:b w:val="false"/>
          <w:bCs w:val="false"/>
          <w:sz w:val="28"/>
          <w:szCs w:val="28"/>
        </w:rPr>
        <w:t>附件四</w:t>
      </w:r>
    </w:p>
    <w:p>
      <w:pPr>
        <w:pStyle w:val="largefont"/>
        <w:keepNext w:val="false"/>
        <w:keepLines w:val="false"/>
        <w:pageBreakBefore w:val="false"/>
        <w:kinsoku w:val="true"/>
        <w:overflowPunct w:val="true"/>
        <w:bidi w:val="0"/>
        <w:spacing w:lineRule="exact" w:line="420" w:before="0" w:after="0"/>
        <w:ind w:hanging="0" w:end="0"/>
        <w:rPr>
          <w:rStyle w:val="Strong"/>
          <w:rFonts w:ascii="方正黑体_GBK;微软雅黑" w:hAnsi="方正黑体_GBK;微软雅黑" w:eastAsia="方正黑体_GBK;微软雅黑" w:cs="方正黑体_GBK;微软雅黑"/>
          <w:b w:val="false"/>
          <w:bCs w:val="false"/>
          <w:sz w:val="28"/>
          <w:szCs w:val="28"/>
        </w:rPr>
      </w:pPr>
      <w:r>
        <w:rPr>
          <w:rStyle w:val="Strong"/>
          <w:rFonts w:ascii="方正黑体_GBK;微软雅黑" w:hAnsi="方正黑体_GBK;微软雅黑" w:cs="方正黑体_GBK;微软雅黑" w:eastAsia="方正黑体_GBK;微软雅黑"/>
          <w:b w:val="false"/>
          <w:bCs w:val="false"/>
          <w:sz w:val="28"/>
          <w:szCs w:val="28"/>
        </w:rPr>
        <w:t xml:space="preserve">  </w:t>
      </w:r>
    </w:p>
    <w:p>
      <w:pPr>
        <w:pStyle w:val="largefont"/>
        <w:keepNext w:val="false"/>
        <w:keepLines w:val="false"/>
        <w:pageBreakBefore w:val="false"/>
        <w:kinsoku w:val="true"/>
        <w:overflowPunct w:val="true"/>
        <w:bidi w:val="0"/>
        <w:spacing w:lineRule="exact" w:line="420" w:before="0" w:after="0"/>
        <w:ind w:end="0"/>
        <w:jc w:val="center"/>
        <w:rPr>
          <w:rStyle w:val="Strong"/>
          <w:rFonts w:ascii="方正黑体_GBK;微软雅黑" w:hAnsi="方正黑体_GBK;微软雅黑" w:eastAsia="方正黑体_GBK;微软雅黑" w:cs="方正黑体_GBK;微软雅黑"/>
          <w:b w:val="false"/>
          <w:bCs w:val="false"/>
          <w:sz w:val="28"/>
          <w:szCs w:val="28"/>
        </w:rPr>
      </w:pPr>
      <w:r>
        <w:rPr>
          <w:rStyle w:val="Strong"/>
          <w:rFonts w:ascii="方正黑体_GBK;微软雅黑" w:hAnsi="方正黑体_GBK;微软雅黑" w:cs="方正黑体_GBK;微软雅黑" w:eastAsia="方正黑体_GBK;微软雅黑"/>
          <w:b w:val="false"/>
          <w:bCs w:val="false"/>
          <w:sz w:val="28"/>
          <w:szCs w:val="28"/>
        </w:rPr>
        <w:t>该共有产权住房取得抵押权人同意销售的证明及抵押当事人的约定</w:t>
      </w:r>
    </w:p>
    <w:p>
      <w:pPr>
        <w:pStyle w:val="largefont"/>
        <w:keepNext w:val="false"/>
        <w:keepLines w:val="false"/>
        <w:pageBreakBefore w:val="false"/>
        <w:kinsoku w:val="true"/>
        <w:overflowPunct w:val="true"/>
        <w:bidi w:val="0"/>
        <w:spacing w:lineRule="exact" w:line="420" w:before="0" w:after="0"/>
        <w:ind w:end="0"/>
        <w:jc w:val="center"/>
        <w:rPr>
          <w:rStyle w:val="Strong"/>
          <w:rFonts w:ascii="方正黑体_GBK;微软雅黑" w:hAnsi="方正黑体_GBK;微软雅黑" w:eastAsia="方正黑体_GBK;微软雅黑" w:cs="方正黑体_GBK;微软雅黑"/>
          <w:b w:val="false"/>
          <w:bCs w:val="false"/>
          <w:sz w:val="28"/>
          <w:szCs w:val="28"/>
        </w:rPr>
      </w:pPr>
      <w:r>
        <w:rPr/>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Style w:val="Strong"/>
          <w:rFonts w:ascii="方正书宋_GBK" w:hAnsi="方正书宋_GBK" w:eastAsia="方正书宋_GBK" w:cs="方正书宋_GBK"/>
          <w:b w:val="false"/>
          <w:sz w:val="22"/>
          <w:szCs w:val="22"/>
        </w:rPr>
      </w:pPr>
      <w:r>
        <w:rPr>
          <w:rStyle w:val="Strong"/>
          <w:rFonts w:eastAsia="方正书宋_GBK" w:cs="方正书宋_GBK" w:ascii="方正书宋_GBK" w:hAnsi="方正书宋_GBK"/>
          <w:b w:val="false"/>
          <w:sz w:val="22"/>
          <w:szCs w:val="22"/>
        </w:rPr>
        <w:t>1.</w:t>
      </w:r>
      <w:r>
        <w:rPr>
          <w:rStyle w:val="Strong"/>
          <w:rFonts w:ascii="方正书宋_GBK" w:hAnsi="方正书宋_GBK" w:cs="方正书宋_GBK" w:eastAsia="方正书宋_GBK"/>
          <w:b w:val="false"/>
          <w:sz w:val="22"/>
          <w:szCs w:val="22"/>
        </w:rPr>
        <w:t>抵押权人同意该共有产权住房预售的证明。</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Style w:val="Strong"/>
          <w:rFonts w:ascii="方正书宋_GBK" w:hAnsi="方正书宋_GBK" w:eastAsia="方正书宋_GBK" w:cs="方正书宋_GBK"/>
          <w:b w:val="false"/>
          <w:sz w:val="22"/>
          <w:szCs w:val="22"/>
        </w:rPr>
      </w:pPr>
      <w:r>
        <w:rPr>
          <w:rStyle w:val="Strong"/>
          <w:rFonts w:eastAsia="方正书宋_GBK" w:cs="方正书宋_GBK" w:ascii="方正书宋_GBK" w:hAnsi="方正书宋_GBK"/>
          <w:b w:val="false"/>
          <w:sz w:val="22"/>
          <w:szCs w:val="22"/>
        </w:rPr>
        <w:t>2.</w:t>
      </w:r>
      <w:r>
        <w:rPr>
          <w:rStyle w:val="Strong"/>
          <w:rFonts w:ascii="方正书宋_GBK" w:hAnsi="方正书宋_GBK" w:cs="方正书宋_GBK" w:eastAsia="方正书宋_GBK"/>
          <w:b w:val="false"/>
          <w:sz w:val="22"/>
          <w:szCs w:val="22"/>
        </w:rPr>
        <w:t>解除抵押的条件和时间。</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Style w:val="Strong"/>
          <w:rFonts w:ascii="方正书宋_GBK" w:hAnsi="方正书宋_GBK" w:eastAsia="方正书宋_GBK" w:cs="方正书宋_GBK"/>
          <w:b w:val="false"/>
          <w:sz w:val="22"/>
          <w:szCs w:val="22"/>
        </w:rPr>
      </w:pPr>
      <w:r>
        <w:rPr>
          <w:rStyle w:val="Strong"/>
          <w:rFonts w:eastAsia="方正书宋_GBK" w:cs="方正书宋_GBK" w:ascii="方正书宋_GBK" w:hAnsi="方正书宋_GBK"/>
          <w:b w:val="false"/>
          <w:sz w:val="22"/>
          <w:szCs w:val="22"/>
        </w:rPr>
        <w:t>3.</w:t>
      </w:r>
      <w:r>
        <w:rPr>
          <w:rStyle w:val="Strong"/>
          <w:rFonts w:ascii="方正书宋_GBK" w:hAnsi="方正书宋_GBK" w:cs="方正书宋_GBK" w:eastAsia="方正书宋_GBK"/>
          <w:b w:val="false"/>
          <w:sz w:val="22"/>
          <w:szCs w:val="22"/>
        </w:rPr>
        <w:t>关于抵押的其他约定。</w:t>
      </w:r>
    </w:p>
    <w:p>
      <w:pPr>
        <w:sectPr>
          <w:headerReference w:type="default" r:id="rId38"/>
          <w:headerReference w:type="first" r:id="rId39"/>
          <w:footerReference w:type="default" r:id="rId40"/>
          <w:footerReference w:type="first" r:id="rId41"/>
          <w:type w:val="nextPage"/>
          <w:pgSz w:w="11906" w:h="16838"/>
          <w:pgMar w:left="1559" w:right="1559" w:gutter="0" w:header="851" w:top="1440" w:footer="992" w:bottom="1440"/>
          <w:pgNumType w:fmt="decimal"/>
          <w:formProt w:val="false"/>
          <w:titlePg/>
          <w:textDirection w:val="lrTb"/>
          <w:docGrid w:type="lines" w:linePitch="312" w:charSpace="0"/>
        </w:sect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Style w:val="Strong"/>
          <w:rFonts w:ascii="方正书宋_GBK" w:hAnsi="方正书宋_GBK" w:eastAsia="方正书宋_GBK" w:cs="方正书宋_GBK"/>
          <w:b w:val="false"/>
          <w:sz w:val="22"/>
          <w:szCs w:val="22"/>
        </w:rPr>
      </w:pPr>
      <w:r>
        <w:rPr/>
      </w:r>
      <w:r>
        <w:br w:type="page"/>
      </w:r>
    </w:p>
    <w:p>
      <w:pPr>
        <w:pStyle w:val="largefont"/>
        <w:keepNext w:val="false"/>
        <w:keepLines w:val="false"/>
        <w:pageBreakBefore w:val="false"/>
        <w:kinsoku w:val="true"/>
        <w:overflowPunct w:val="true"/>
        <w:bidi w:val="0"/>
        <w:spacing w:lineRule="exact" w:line="420" w:before="0" w:after="0"/>
        <w:ind w:hanging="0" w:end="0"/>
        <w:rPr>
          <w:rStyle w:val="Strong"/>
          <w:rFonts w:ascii="方正黑体_GBK;微软雅黑" w:hAnsi="方正黑体_GBK;微软雅黑" w:eastAsia="方正黑体_GBK;微软雅黑" w:cs="方正黑体_GBK;微软雅黑"/>
          <w:b w:val="false"/>
          <w:bCs w:val="false"/>
          <w:sz w:val="28"/>
          <w:szCs w:val="28"/>
        </w:rPr>
      </w:pPr>
      <w:r>
        <w:rPr>
          <w:rStyle w:val="Strong"/>
          <w:rFonts w:ascii="方正黑体_GBK;微软雅黑" w:hAnsi="方正黑体_GBK;微软雅黑" w:cs="方正黑体_GBK;微软雅黑" w:eastAsia="方正黑体_GBK;微软雅黑"/>
          <w:b w:val="false"/>
          <w:bCs w:val="false"/>
          <w:sz w:val="28"/>
          <w:szCs w:val="28"/>
        </w:rPr>
        <w:t xml:space="preserve">附件五 </w:t>
      </w:r>
    </w:p>
    <w:p>
      <w:pPr>
        <w:pStyle w:val="largefont"/>
        <w:keepNext w:val="false"/>
        <w:keepLines w:val="false"/>
        <w:pageBreakBefore w:val="false"/>
        <w:kinsoku w:val="true"/>
        <w:overflowPunct w:val="true"/>
        <w:bidi w:val="0"/>
        <w:spacing w:lineRule="exact" w:line="420" w:before="0" w:after="0"/>
        <w:ind w:hanging="0" w:end="0"/>
        <w:rPr>
          <w:rStyle w:val="Strong"/>
          <w:rFonts w:ascii="方正黑体_GBK;微软雅黑" w:hAnsi="方正黑体_GBK;微软雅黑" w:eastAsia="方正黑体_GBK;微软雅黑" w:cs="方正黑体_GBK;微软雅黑"/>
          <w:b w:val="false"/>
          <w:bCs w:val="false"/>
          <w:sz w:val="28"/>
          <w:szCs w:val="28"/>
        </w:rPr>
      </w:pPr>
      <w:r>
        <w:rPr>
          <w:rStyle w:val="Strong"/>
          <w:rFonts w:ascii="方正黑体_GBK;微软雅黑" w:hAnsi="方正黑体_GBK;微软雅黑" w:cs="方正黑体_GBK;微软雅黑" w:eastAsia="方正黑体_GBK;微软雅黑"/>
          <w:b w:val="false"/>
          <w:bCs w:val="false"/>
          <w:sz w:val="28"/>
          <w:szCs w:val="28"/>
        </w:rPr>
        <w:t xml:space="preserve"> </w:t>
      </w:r>
    </w:p>
    <w:p>
      <w:pPr>
        <w:pStyle w:val="largefont"/>
        <w:keepNext w:val="false"/>
        <w:keepLines w:val="false"/>
        <w:pageBreakBefore w:val="false"/>
        <w:kinsoku w:val="true"/>
        <w:overflowPunct w:val="true"/>
        <w:bidi w:val="0"/>
        <w:spacing w:lineRule="exact" w:line="420" w:before="0" w:after="0"/>
        <w:ind w:end="0"/>
        <w:jc w:val="center"/>
        <w:rPr>
          <w:rStyle w:val="Strong"/>
          <w:rFonts w:ascii="方正黑体_GBK;微软雅黑" w:hAnsi="方正黑体_GBK;微软雅黑" w:eastAsia="方正黑体_GBK;微软雅黑" w:cs="方正黑体_GBK;微软雅黑"/>
          <w:b w:val="false"/>
          <w:bCs w:val="false"/>
          <w:sz w:val="28"/>
          <w:szCs w:val="28"/>
        </w:rPr>
      </w:pPr>
      <w:r>
        <w:rPr>
          <w:rStyle w:val="Strong"/>
          <w:rFonts w:ascii="方正黑体_GBK;微软雅黑" w:hAnsi="方正黑体_GBK;微软雅黑" w:cs="方正黑体_GBK;微软雅黑" w:eastAsia="方正黑体_GBK;微软雅黑"/>
          <w:b w:val="false"/>
          <w:bCs w:val="false"/>
          <w:sz w:val="28"/>
          <w:szCs w:val="28"/>
        </w:rPr>
        <w:t>关于本项目内相关设施、设备的具体约定</w:t>
      </w:r>
    </w:p>
    <w:p>
      <w:pPr>
        <w:pStyle w:val="largefont"/>
        <w:keepNext w:val="false"/>
        <w:keepLines w:val="false"/>
        <w:pageBreakBefore w:val="false"/>
        <w:kinsoku w:val="true"/>
        <w:overflowPunct w:val="true"/>
        <w:bidi w:val="0"/>
        <w:spacing w:lineRule="exact" w:line="420" w:before="0" w:after="0"/>
        <w:ind w:end="0"/>
        <w:jc w:val="center"/>
        <w:rPr>
          <w:rStyle w:val="Strong"/>
          <w:rFonts w:ascii="方正黑体_GBK;微软雅黑" w:hAnsi="方正黑体_GBK;微软雅黑" w:eastAsia="方正黑体_GBK;微软雅黑" w:cs="方正黑体_GBK;微软雅黑"/>
          <w:b w:val="false"/>
          <w:bCs w:val="false"/>
          <w:sz w:val="28"/>
          <w:szCs w:val="28"/>
        </w:rPr>
      </w:pPr>
      <w:r>
        <w:rPr/>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Style w:val="Strong"/>
          <w:rFonts w:ascii="方正书宋_GBK" w:hAnsi="方正书宋_GBK" w:eastAsia="方正书宋_GBK" w:cs="方正书宋_GBK"/>
          <w:b w:val="false"/>
          <w:sz w:val="22"/>
          <w:szCs w:val="22"/>
        </w:rPr>
      </w:pPr>
      <w:r>
        <w:rPr>
          <w:rStyle w:val="Strong"/>
          <w:rFonts w:eastAsia="方正书宋_GBK" w:cs="方正书宋_GBK" w:ascii="方正书宋_GBK" w:hAnsi="方正书宋_GBK"/>
          <w:b w:val="false"/>
          <w:sz w:val="22"/>
          <w:szCs w:val="22"/>
        </w:rPr>
        <w:t>1.</w:t>
      </w:r>
      <w:r>
        <w:rPr>
          <w:rStyle w:val="Strong"/>
          <w:rFonts w:ascii="方正书宋_GBK" w:hAnsi="方正书宋_GBK" w:cs="方正书宋_GBK" w:eastAsia="方正书宋_GBK"/>
          <w:b w:val="false"/>
          <w:sz w:val="22"/>
          <w:szCs w:val="22"/>
        </w:rPr>
        <w:t>该共有产权住房所在楼栋本期的项目建设方案。</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Style w:val="Strong"/>
          <w:rFonts w:ascii="方正书宋_GBK" w:hAnsi="方正书宋_GBK" w:eastAsia="方正书宋_GBK" w:cs="方正书宋_GBK"/>
          <w:b w:val="false"/>
          <w:sz w:val="22"/>
          <w:szCs w:val="22"/>
        </w:rPr>
      </w:pPr>
      <w:r>
        <w:rPr>
          <w:rStyle w:val="Strong"/>
          <w:rFonts w:eastAsia="方正书宋_GBK" w:cs="方正书宋_GBK" w:ascii="方正书宋_GBK" w:hAnsi="方正书宋_GBK"/>
          <w:b w:val="false"/>
          <w:sz w:val="22"/>
          <w:szCs w:val="22"/>
        </w:rPr>
        <w:t>2.</w:t>
      </w:r>
      <w:r>
        <w:rPr>
          <w:rStyle w:val="Strong"/>
          <w:rFonts w:ascii="方正书宋_GBK" w:hAnsi="方正书宋_GBK" w:cs="方正书宋_GBK" w:eastAsia="方正书宋_GBK"/>
          <w:b w:val="false"/>
          <w:sz w:val="22"/>
          <w:szCs w:val="22"/>
        </w:rPr>
        <w:t>相关设施的位置及用途。</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Style w:val="Strong"/>
          <w:rFonts w:ascii="方正书宋_GBK" w:hAnsi="方正书宋_GBK" w:eastAsia="方正书宋_GBK" w:cs="方正书宋_GBK"/>
          <w:b w:val="false"/>
          <w:sz w:val="22"/>
          <w:szCs w:val="22"/>
        </w:rPr>
      </w:pPr>
      <w:r>
        <w:rPr>
          <w:rStyle w:val="Strong"/>
          <w:rFonts w:ascii="方正书宋_GBK" w:hAnsi="方正书宋_GBK" w:cs="方正书宋_GBK" w:eastAsia="方正书宋_GBK"/>
          <w:b w:val="false"/>
          <w:sz w:val="22"/>
          <w:szCs w:val="22"/>
        </w:rPr>
        <w:t>（注：根据《北京市绿化条例》，</w:t>
      </w:r>
      <w:r>
        <w:rPr>
          <w:rStyle w:val="Strong"/>
          <w:rFonts w:eastAsia="方正书宋_GBK" w:cs="方正书宋_GBK" w:ascii="方正书宋_GBK" w:hAnsi="方正书宋_GBK"/>
          <w:b w:val="false"/>
          <w:sz w:val="22"/>
          <w:szCs w:val="22"/>
        </w:rPr>
        <w:t>2010</w:t>
      </w:r>
      <w:r>
        <w:rPr>
          <w:rStyle w:val="Strong"/>
          <w:rFonts w:ascii="方正书宋_GBK" w:hAnsi="方正书宋_GBK" w:cs="方正书宋_GBK" w:eastAsia="方正书宋_GBK"/>
          <w:b w:val="false"/>
          <w:sz w:val="22"/>
          <w:szCs w:val="22"/>
        </w:rPr>
        <w:t>年</w:t>
      </w:r>
      <w:r>
        <w:rPr>
          <w:rStyle w:val="Strong"/>
          <w:rFonts w:eastAsia="方正书宋_GBK" w:cs="方正书宋_GBK" w:ascii="方正书宋_GBK" w:hAnsi="方正书宋_GBK"/>
          <w:b w:val="false"/>
          <w:sz w:val="22"/>
          <w:szCs w:val="22"/>
        </w:rPr>
        <w:t>3</w:t>
      </w:r>
      <w:r>
        <w:rPr>
          <w:rStyle w:val="Strong"/>
          <w:rFonts w:ascii="方正书宋_GBK" w:hAnsi="方正书宋_GBK" w:cs="方正书宋_GBK" w:eastAsia="方正书宋_GBK"/>
          <w:b w:val="false"/>
          <w:sz w:val="22"/>
          <w:szCs w:val="22"/>
        </w:rPr>
        <w:t>月</w:t>
      </w:r>
      <w:r>
        <w:rPr>
          <w:rStyle w:val="Strong"/>
          <w:rFonts w:eastAsia="方正书宋_GBK" w:cs="方正书宋_GBK" w:ascii="方正书宋_GBK" w:hAnsi="方正书宋_GBK"/>
          <w:b w:val="false"/>
          <w:sz w:val="22"/>
          <w:szCs w:val="22"/>
        </w:rPr>
        <w:t>1</w:t>
      </w:r>
      <w:r>
        <w:rPr>
          <w:rStyle w:val="Strong"/>
          <w:rFonts w:ascii="方正书宋_GBK" w:hAnsi="方正书宋_GBK" w:cs="方正书宋_GBK" w:eastAsia="方正书宋_GBK"/>
          <w:b w:val="false"/>
          <w:sz w:val="22"/>
          <w:szCs w:val="22"/>
        </w:rPr>
        <w:t>日后办理规划许可并在规划许可中注明规划绿地情况的建设工程，应在合同中明确建设工程附属绿地的面积、位置等内容）</w:t>
      </w:r>
    </w:p>
    <w:p>
      <w:pPr>
        <w:sectPr>
          <w:headerReference w:type="default" r:id="rId42"/>
          <w:headerReference w:type="first" r:id="rId43"/>
          <w:footerReference w:type="default" r:id="rId44"/>
          <w:footerReference w:type="first" r:id="rId45"/>
          <w:type w:val="nextPage"/>
          <w:pgSz w:w="11906" w:h="16838"/>
          <w:pgMar w:left="1559" w:right="1559" w:gutter="0" w:header="851" w:top="1440" w:footer="992" w:bottom="1440"/>
          <w:pgNumType w:fmt="decimal"/>
          <w:formProt w:val="false"/>
          <w:titlePg/>
          <w:textDirection w:val="lrTb"/>
          <w:docGrid w:type="lines" w:linePitch="312" w:charSpace="0"/>
        </w:sect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Style w:val="Strong"/>
          <w:rFonts w:ascii="方正书宋_GBK" w:hAnsi="方正书宋_GBK" w:eastAsia="方正书宋_GBK" w:cs="方正书宋_GBK"/>
          <w:b w:val="false"/>
          <w:sz w:val="22"/>
          <w:szCs w:val="22"/>
        </w:rPr>
      </w:pPr>
      <w:r>
        <w:rPr>
          <w:rStyle w:val="Strong"/>
          <w:rFonts w:eastAsia="方正书宋_GBK" w:cs="方正书宋_GBK" w:ascii="方正书宋_GBK" w:hAnsi="方正书宋_GBK"/>
          <w:b w:val="false"/>
          <w:sz w:val="22"/>
          <w:szCs w:val="22"/>
        </w:rPr>
        <w:t>3.</w:t>
      </w:r>
      <w:r>
        <w:rPr>
          <w:rStyle w:val="Strong"/>
          <w:rFonts w:ascii="方正书宋_GBK" w:hAnsi="方正书宋_GBK" w:cs="方正书宋_GBK" w:eastAsia="方正书宋_GBK"/>
          <w:b w:val="false"/>
          <w:sz w:val="22"/>
          <w:szCs w:val="22"/>
        </w:rPr>
        <w:t>其他约定。</w:t>
      </w:r>
      <w:r>
        <w:br w:type="page"/>
      </w:r>
    </w:p>
    <w:p>
      <w:pPr>
        <w:pStyle w:val="largefont"/>
        <w:keepNext w:val="false"/>
        <w:keepLines w:val="false"/>
        <w:pageBreakBefore w:val="false"/>
        <w:kinsoku w:val="true"/>
        <w:overflowPunct w:val="true"/>
        <w:bidi w:val="0"/>
        <w:spacing w:lineRule="exact" w:line="420" w:before="0" w:after="0"/>
        <w:ind w:hanging="0" w:end="0"/>
        <w:rPr>
          <w:rStyle w:val="Strong"/>
          <w:rFonts w:ascii="方正黑体_GBK;微软雅黑" w:hAnsi="方正黑体_GBK;微软雅黑" w:eastAsia="方正黑体_GBK;微软雅黑" w:cs="方正黑体_GBK;微软雅黑"/>
          <w:b w:val="false"/>
          <w:bCs w:val="false"/>
          <w:sz w:val="28"/>
          <w:szCs w:val="28"/>
        </w:rPr>
      </w:pPr>
      <w:r>
        <w:rPr>
          <w:rStyle w:val="Strong"/>
          <w:rFonts w:ascii="方正黑体_GBK;微软雅黑" w:hAnsi="方正黑体_GBK;微软雅黑" w:cs="方正黑体_GBK;微软雅黑" w:eastAsia="方正黑体_GBK;微软雅黑"/>
          <w:b w:val="false"/>
          <w:bCs w:val="false"/>
          <w:sz w:val="28"/>
          <w:szCs w:val="28"/>
        </w:rPr>
        <w:t xml:space="preserve">附件六  </w:t>
      </w:r>
    </w:p>
    <w:p>
      <w:pPr>
        <w:pStyle w:val="largefont"/>
        <w:keepNext w:val="false"/>
        <w:keepLines w:val="false"/>
        <w:pageBreakBefore w:val="false"/>
        <w:kinsoku w:val="true"/>
        <w:overflowPunct w:val="true"/>
        <w:bidi w:val="0"/>
        <w:spacing w:lineRule="exact" w:line="420" w:before="0" w:after="0"/>
        <w:ind w:hanging="0" w:end="0"/>
        <w:jc w:val="center"/>
        <w:rPr>
          <w:rStyle w:val="Strong"/>
          <w:rFonts w:ascii="方正黑体_GBK;微软雅黑" w:hAnsi="方正黑体_GBK;微软雅黑" w:eastAsia="方正黑体_GBK;微软雅黑" w:cs="方正黑体_GBK;微软雅黑"/>
          <w:b w:val="false"/>
          <w:bCs w:val="false"/>
          <w:sz w:val="28"/>
          <w:szCs w:val="28"/>
        </w:rPr>
      </w:pPr>
      <w:r>
        <w:rPr>
          <w:rStyle w:val="Strong"/>
          <w:rFonts w:ascii="方正黑体_GBK;微软雅黑" w:hAnsi="方正黑体_GBK;微软雅黑" w:cs="方正黑体_GBK;微软雅黑" w:eastAsia="方正黑体_GBK;微软雅黑"/>
          <w:b w:val="false"/>
          <w:bCs w:val="false"/>
          <w:sz w:val="28"/>
          <w:szCs w:val="28"/>
        </w:rPr>
        <w:t>装饰装修及设备标准的约定</w:t>
      </w:r>
    </w:p>
    <w:p>
      <w:pPr>
        <w:pStyle w:val="Normal"/>
        <w:keepNext w:val="false"/>
        <w:keepLines w:val="false"/>
        <w:pageBreakBefore w:val="false"/>
        <w:numPr>
          <w:ilvl w:val="0"/>
          <w:numId w:val="0"/>
        </w:numPr>
        <w:tabs>
          <w:tab w:val="clear" w:pos="420"/>
          <w:tab w:val="left" w:pos="360" w:leader="none"/>
        </w:tabs>
        <w:kinsoku w:val="true"/>
        <w:overflowPunct w:val="true"/>
        <w:autoSpaceDE w:val="true"/>
        <w:bidi w:val="0"/>
        <w:snapToGrid w:val="true"/>
        <w:spacing w:lineRule="exact" w:line="400"/>
        <w:ind w:firstLine="442" w:end="0"/>
        <w:jc w:val="start"/>
        <w:textAlignment w:val="auto"/>
        <w:outlineLvl w:val="0"/>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一、公共部分</w:t>
      </w:r>
    </w:p>
    <w:p>
      <w:pPr>
        <w:pStyle w:val="Normal"/>
        <w:keepNext w:val="false"/>
        <w:keepLines w:val="false"/>
        <w:pageBreakBefore w:val="false"/>
        <w:tabs>
          <w:tab w:val="clear" w:pos="420"/>
          <w:tab w:val="left" w:pos="360" w:leader="none"/>
        </w:tabs>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主体结构：【框架结构】【框剪结构</w:t>
      </w:r>
      <w:r>
        <w:rPr>
          <w:rFonts w:ascii="方正书宋_GBK" w:hAnsi="方正书宋_GBK" w:cs="方正书宋_GBK" w:eastAsia="方正书宋_GBK"/>
          <w:color w:val="000000"/>
          <w:sz w:val="22"/>
          <w:szCs w:val="22"/>
        </w:rPr>
        <w:t>】【剪力墙结构】【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w:t>
      </w:r>
    </w:p>
    <w:p>
      <w:pPr>
        <w:pStyle w:val="Normal"/>
        <w:keepNext w:val="false"/>
        <w:keepLines w:val="false"/>
        <w:pageBreakBefore w:val="false"/>
        <w:tabs>
          <w:tab w:val="clear" w:pos="420"/>
          <w:tab w:val="left" w:pos="360" w:leader="none"/>
        </w:tabs>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外墙：</w:t>
      </w:r>
    </w:p>
    <w:p>
      <w:pPr>
        <w:pStyle w:val="Normal"/>
        <w:keepNext w:val="false"/>
        <w:keepLines w:val="false"/>
        <w:pageBreakBefore w:val="false"/>
        <w:tabs>
          <w:tab w:val="clear" w:pos="420"/>
          <w:tab w:val="left" w:pos="360" w:leader="none"/>
        </w:tabs>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保温方式：【外保温】【内保温】【装配式夹心保温】</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p>
    <w:p>
      <w:pPr>
        <w:pStyle w:val="Normal"/>
        <w:keepNext w:val="false"/>
        <w:keepLines w:val="false"/>
        <w:pageBreakBefore w:val="false"/>
        <w:tabs>
          <w:tab w:val="clear" w:pos="420"/>
          <w:tab w:val="left" w:pos="360" w:leader="none"/>
        </w:tabs>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保温材料：【挤塑聚苯板】【模塑聚苯板】【岩棉】【发泡聚氨酯】【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tabs>
          <w:tab w:val="clear" w:pos="420"/>
          <w:tab w:val="left" w:pos="360" w:leader="none"/>
        </w:tabs>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外窗：</w:t>
      </w:r>
    </w:p>
    <w:p>
      <w:pPr>
        <w:pStyle w:val="Normal"/>
        <w:keepNext w:val="false"/>
        <w:keepLines w:val="false"/>
        <w:pageBreakBefore w:val="false"/>
        <w:tabs>
          <w:tab w:val="clear" w:pos="420"/>
          <w:tab w:val="left" w:pos="360" w:leader="none"/>
        </w:tabs>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开启方式：【内平开窗】【外平开窗】【外开上悬窗】【内开下悬窗】【    】</w:t>
      </w:r>
    </w:p>
    <w:p>
      <w:pPr>
        <w:pStyle w:val="Normal"/>
        <w:keepNext w:val="false"/>
        <w:keepLines w:val="false"/>
        <w:pageBreakBefore w:val="false"/>
        <w:tabs>
          <w:tab w:val="clear" w:pos="420"/>
          <w:tab w:val="left" w:pos="360" w:leader="none"/>
        </w:tabs>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种类：【中空玻璃塑料窗】【中空玻璃铝合金窗】【中空玻璃铝木复合窗】【    】</w:t>
      </w:r>
    </w:p>
    <w:p>
      <w:pPr>
        <w:pStyle w:val="Normal"/>
        <w:keepNext w:val="false"/>
        <w:keepLines w:val="false"/>
        <w:pageBreakBefore w:val="false"/>
        <w:tabs>
          <w:tab w:val="clear" w:pos="420"/>
          <w:tab w:val="left" w:pos="360" w:leader="none"/>
        </w:tabs>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单元入口大堂：</w:t>
      </w:r>
    </w:p>
    <w:p>
      <w:pPr>
        <w:pStyle w:val="Normal"/>
        <w:keepNext w:val="false"/>
        <w:keepLines w:val="false"/>
        <w:pageBreakBefore w:val="false"/>
        <w:tabs>
          <w:tab w:val="clear" w:pos="420"/>
          <w:tab w:val="left" w:pos="360" w:leader="none"/>
        </w:tabs>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地面：【地面砂浆】【瓷砖】【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rPr>
        <w:t xml:space="preserve"> </w:t>
      </w:r>
    </w:p>
    <w:p>
      <w:pPr>
        <w:pStyle w:val="Normal"/>
        <w:keepNext w:val="false"/>
        <w:keepLines w:val="false"/>
        <w:pageBreakBefore w:val="false"/>
        <w:tabs>
          <w:tab w:val="clear" w:pos="420"/>
          <w:tab w:val="left" w:pos="360" w:leader="none"/>
        </w:tabs>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墙面：【抹灰砂浆】【瓷砖】【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rPr>
        <w:t xml:space="preserve"> </w:t>
      </w:r>
    </w:p>
    <w:p>
      <w:pPr>
        <w:pStyle w:val="Normal"/>
        <w:keepNext w:val="false"/>
        <w:keepLines w:val="false"/>
        <w:pageBreakBefore w:val="false"/>
        <w:tabs>
          <w:tab w:val="clear" w:pos="420"/>
          <w:tab w:val="left" w:pos="360" w:leader="none"/>
        </w:tabs>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顶棚：【抹灰砂浆】【涂料】【石膏板】【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p>
    <w:p>
      <w:pPr>
        <w:pStyle w:val="Normal"/>
        <w:keepNext w:val="false"/>
        <w:keepLines w:val="false"/>
        <w:pageBreakBefore w:val="false"/>
        <w:tabs>
          <w:tab w:val="clear" w:pos="420"/>
          <w:tab w:val="left" w:pos="360" w:leader="none"/>
        </w:tabs>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照明：【荧光灯】【</w:t>
      </w:r>
      <w:r>
        <w:rPr>
          <w:rFonts w:eastAsia="方正书宋_GBK" w:cs="方正书宋_GBK" w:ascii="方正书宋_GBK" w:hAnsi="方正书宋_GBK"/>
          <w:color w:val="000000"/>
          <w:sz w:val="22"/>
          <w:szCs w:val="22"/>
        </w:rPr>
        <w:t>LED</w:t>
      </w:r>
      <w:r>
        <w:rPr>
          <w:rFonts w:ascii="方正书宋_GBK" w:hAnsi="方正书宋_GBK" w:cs="方正书宋_GBK" w:eastAsia="方正书宋_GBK"/>
          <w:color w:val="000000"/>
          <w:sz w:val="22"/>
          <w:szCs w:val="22"/>
        </w:rPr>
        <w:t>灯（筒灯、面板灯、吸顶灯、管型</w:t>
      </w:r>
      <w:r>
        <w:rPr>
          <w:rFonts w:eastAsia="方正书宋_GBK" w:cs="方正书宋_GBK" w:ascii="方正书宋_GBK" w:hAnsi="方正书宋_GBK"/>
          <w:color w:val="000000"/>
          <w:sz w:val="22"/>
          <w:szCs w:val="22"/>
        </w:rPr>
        <w:t>LED</w:t>
      </w:r>
      <w:r>
        <w:rPr>
          <w:rFonts w:ascii="方正书宋_GBK" w:hAnsi="方正书宋_GBK" w:cs="方正书宋_GBK" w:eastAsia="方正书宋_GBK"/>
          <w:color w:val="000000"/>
          <w:sz w:val="22"/>
          <w:szCs w:val="22"/>
        </w:rPr>
        <w:t>灯）】【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tabs>
          <w:tab w:val="clear" w:pos="420"/>
          <w:tab w:val="left" w:pos="360" w:leader="none"/>
        </w:tabs>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公共电梯厅：</w:t>
      </w:r>
    </w:p>
    <w:p>
      <w:pPr>
        <w:pStyle w:val="Normal"/>
        <w:keepNext w:val="false"/>
        <w:keepLines w:val="false"/>
        <w:pageBreakBefore w:val="false"/>
        <w:tabs>
          <w:tab w:val="clear" w:pos="420"/>
          <w:tab w:val="left" w:pos="360" w:leader="none"/>
        </w:tabs>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地面：【地面砂浆】【瓷砖】【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p>
    <w:p>
      <w:pPr>
        <w:pStyle w:val="Normal"/>
        <w:keepNext w:val="false"/>
        <w:keepLines w:val="false"/>
        <w:pageBreakBefore w:val="false"/>
        <w:tabs>
          <w:tab w:val="clear" w:pos="420"/>
          <w:tab w:val="left" w:pos="360" w:leader="none"/>
        </w:tabs>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墙面：【抹灰砂浆】【瓷砖】【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rPr>
        <w:t xml:space="preserve"> </w:t>
      </w:r>
    </w:p>
    <w:p>
      <w:pPr>
        <w:pStyle w:val="Normal"/>
        <w:keepNext w:val="false"/>
        <w:keepLines w:val="false"/>
        <w:pageBreakBefore w:val="false"/>
        <w:tabs>
          <w:tab w:val="clear" w:pos="420"/>
          <w:tab w:val="left" w:pos="360" w:leader="none"/>
        </w:tabs>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顶棚：【抹灰砂浆】【涂料】【石膏板】【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rPr>
        <w:t xml:space="preserve"> </w:t>
      </w:r>
    </w:p>
    <w:p>
      <w:pPr>
        <w:pStyle w:val="Normal"/>
        <w:keepNext w:val="false"/>
        <w:keepLines w:val="false"/>
        <w:pageBreakBefore w:val="false"/>
        <w:tabs>
          <w:tab w:val="clear" w:pos="420"/>
          <w:tab w:val="left" w:pos="360" w:leader="none"/>
        </w:tabs>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电梯门套：【木门套】【铝合金门套】【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p>
    <w:p>
      <w:pPr>
        <w:pStyle w:val="Normal"/>
        <w:keepNext w:val="false"/>
        <w:keepLines w:val="false"/>
        <w:pageBreakBefore w:val="false"/>
        <w:tabs>
          <w:tab w:val="clear" w:pos="420"/>
          <w:tab w:val="left" w:pos="360" w:leader="none"/>
        </w:tabs>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照明：【荧光灯】【</w:t>
      </w:r>
      <w:r>
        <w:rPr>
          <w:rFonts w:eastAsia="方正书宋_GBK" w:cs="方正书宋_GBK" w:ascii="方正书宋_GBK" w:hAnsi="方正书宋_GBK"/>
          <w:color w:val="000000"/>
          <w:sz w:val="22"/>
          <w:szCs w:val="22"/>
        </w:rPr>
        <w:t>LED</w:t>
      </w:r>
      <w:r>
        <w:rPr>
          <w:rFonts w:ascii="方正书宋_GBK" w:hAnsi="方正书宋_GBK" w:cs="方正书宋_GBK" w:eastAsia="方正书宋_GBK"/>
          <w:color w:val="000000"/>
          <w:sz w:val="22"/>
          <w:szCs w:val="22"/>
        </w:rPr>
        <w:t>灯（筒灯、面板灯、吸顶灯、管型</w:t>
      </w:r>
      <w:r>
        <w:rPr>
          <w:rFonts w:eastAsia="方正书宋_GBK" w:cs="方正书宋_GBK" w:ascii="方正书宋_GBK" w:hAnsi="方正书宋_GBK"/>
          <w:color w:val="000000"/>
          <w:sz w:val="22"/>
          <w:szCs w:val="22"/>
        </w:rPr>
        <w:t>LED</w:t>
      </w:r>
      <w:r>
        <w:rPr>
          <w:rFonts w:ascii="方正书宋_GBK" w:hAnsi="方正书宋_GBK" w:cs="方正书宋_GBK" w:eastAsia="方正书宋_GBK"/>
          <w:color w:val="000000"/>
          <w:sz w:val="22"/>
          <w:szCs w:val="22"/>
        </w:rPr>
        <w:t>灯）】【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tabs>
          <w:tab w:val="clear" w:pos="420"/>
          <w:tab w:val="left" w:pos="360" w:leader="none"/>
        </w:tabs>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电梯：</w:t>
      </w:r>
    </w:p>
    <w:p>
      <w:pPr>
        <w:pStyle w:val="Normal"/>
        <w:keepNext w:val="false"/>
        <w:keepLines w:val="false"/>
        <w:pageBreakBefore w:val="false"/>
        <w:tabs>
          <w:tab w:val="clear" w:pos="420"/>
          <w:tab w:val="left" w:pos="360" w:leader="none"/>
        </w:tabs>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电梯品牌名称：</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rPr>
        <w:t xml:space="preserve"> </w:t>
      </w:r>
    </w:p>
    <w:p>
      <w:pPr>
        <w:pStyle w:val="Normal"/>
        <w:keepNext w:val="false"/>
        <w:keepLines w:val="false"/>
        <w:pageBreakBefore w:val="false"/>
        <w:tabs>
          <w:tab w:val="clear" w:pos="420"/>
          <w:tab w:val="left" w:pos="360" w:leader="none"/>
        </w:tabs>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型号：</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p>
    <w:p>
      <w:pPr>
        <w:pStyle w:val="Normal"/>
        <w:keepNext w:val="false"/>
        <w:keepLines w:val="false"/>
        <w:pageBreakBefore w:val="false"/>
        <w:tabs>
          <w:tab w:val="clear" w:pos="420"/>
          <w:tab w:val="left" w:pos="360" w:leader="none"/>
        </w:tabs>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电梯载重量：</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rPr>
        <w:t>千克</w:t>
      </w:r>
    </w:p>
    <w:p>
      <w:pPr>
        <w:pStyle w:val="Normal"/>
        <w:keepNext w:val="false"/>
        <w:keepLines w:val="false"/>
        <w:pageBreakBefore w:val="false"/>
        <w:tabs>
          <w:tab w:val="clear" w:pos="420"/>
          <w:tab w:val="left" w:pos="360" w:leader="none"/>
        </w:tabs>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公共楼梯间：</w:t>
      </w:r>
    </w:p>
    <w:p>
      <w:pPr>
        <w:pStyle w:val="Normal"/>
        <w:keepNext w:val="false"/>
        <w:keepLines w:val="false"/>
        <w:pageBreakBefore w:val="false"/>
        <w:tabs>
          <w:tab w:val="clear" w:pos="420"/>
          <w:tab w:val="left" w:pos="360" w:leader="none"/>
        </w:tabs>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地面：【地面砂浆】【瓷砖】【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p>
    <w:p>
      <w:pPr>
        <w:pStyle w:val="Normal"/>
        <w:keepNext w:val="false"/>
        <w:keepLines w:val="false"/>
        <w:pageBreakBefore w:val="false"/>
        <w:tabs>
          <w:tab w:val="clear" w:pos="420"/>
          <w:tab w:val="left" w:pos="360" w:leader="none"/>
        </w:tabs>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墙面：【抹灰砂浆】【瓷砖】【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p>
    <w:p>
      <w:pPr>
        <w:pStyle w:val="Normal"/>
        <w:keepNext w:val="false"/>
        <w:keepLines w:val="false"/>
        <w:pageBreakBefore w:val="false"/>
        <w:tabs>
          <w:tab w:val="clear" w:pos="420"/>
          <w:tab w:val="left" w:pos="360" w:leader="none"/>
        </w:tabs>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顶棚：【抹灰砂浆】【瓷砖】【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p>
    <w:p>
      <w:pPr>
        <w:pStyle w:val="Normal"/>
        <w:keepNext w:val="false"/>
        <w:keepLines w:val="false"/>
        <w:pageBreakBefore w:val="false"/>
        <w:tabs>
          <w:tab w:val="clear" w:pos="420"/>
          <w:tab w:val="left" w:pos="360" w:leader="none"/>
        </w:tabs>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栏杆：【木栏杆】【铝合金栏杆】【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p>
    <w:p>
      <w:pPr>
        <w:pStyle w:val="Normal"/>
        <w:keepNext w:val="false"/>
        <w:keepLines w:val="false"/>
        <w:pageBreakBefore w:val="false"/>
        <w:tabs>
          <w:tab w:val="clear" w:pos="420"/>
          <w:tab w:val="left" w:pos="360" w:leader="none"/>
        </w:tabs>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color w:val="000000"/>
          <w:sz w:val="22"/>
          <w:szCs w:val="22"/>
        </w:rPr>
        <w:t>照明：【荧光灯】【</w:t>
      </w:r>
      <w:r>
        <w:rPr>
          <w:rFonts w:eastAsia="方正书宋_GBK" w:cs="方正书宋_GBK" w:ascii="方正书宋_GBK" w:hAnsi="方正书宋_GBK"/>
          <w:color w:val="000000"/>
          <w:sz w:val="22"/>
          <w:szCs w:val="22"/>
        </w:rPr>
        <w:t>LED</w:t>
      </w:r>
      <w:r>
        <w:rPr>
          <w:rFonts w:ascii="方正书宋_GBK" w:hAnsi="方正书宋_GBK" w:cs="方正书宋_GBK" w:eastAsia="方正书宋_GBK"/>
          <w:color w:val="000000"/>
          <w:sz w:val="22"/>
          <w:szCs w:val="22"/>
        </w:rPr>
        <w:t>灯（筒灯、面板灯、吸顶灯、管型</w:t>
      </w:r>
      <w:r>
        <w:rPr>
          <w:rFonts w:eastAsia="方正书宋_GBK" w:cs="方正书宋_GBK" w:ascii="方正书宋_GBK" w:hAnsi="方正书宋_GBK"/>
          <w:color w:val="000000"/>
          <w:sz w:val="22"/>
          <w:szCs w:val="22"/>
        </w:rPr>
        <w:t>LED</w:t>
      </w:r>
      <w:r>
        <w:rPr>
          <w:rFonts w:ascii="方正书宋_GBK" w:hAnsi="方正书宋_GBK" w:cs="方正书宋_GBK" w:eastAsia="方正书宋_GBK"/>
          <w:color w:val="000000"/>
          <w:sz w:val="22"/>
          <w:szCs w:val="22"/>
        </w:rPr>
        <w:t xml:space="preserve">灯）】【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numPr>
          <w:ilvl w:val="0"/>
          <w:numId w:val="0"/>
        </w:numPr>
        <w:tabs>
          <w:tab w:val="clear" w:pos="420"/>
          <w:tab w:val="left" w:pos="360" w:leader="none"/>
        </w:tabs>
        <w:kinsoku w:val="true"/>
        <w:overflowPunct w:val="true"/>
        <w:autoSpaceDE w:val="true"/>
        <w:bidi w:val="0"/>
        <w:snapToGrid w:val="true"/>
        <w:spacing w:lineRule="exact" w:line="400"/>
        <w:ind w:firstLine="442" w:end="0"/>
        <w:jc w:val="start"/>
        <w:textAlignment w:val="auto"/>
        <w:outlineLvl w:val="0"/>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二、户内部分</w:t>
      </w:r>
    </w:p>
    <w:p>
      <w:pPr>
        <w:pStyle w:val="Normal"/>
        <w:keepNext w:val="false"/>
        <w:keepLines w:val="false"/>
        <w:pageBreakBefore w:val="false"/>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甲方未经双方约定增加的装置、装修、装饰，视为无条件赠送给乙方。双方就装饰装修主要材料和设备的品牌、规格、数量等内容约定如下：</w:t>
      </w:r>
    </w:p>
    <w:p>
      <w:pPr>
        <w:pStyle w:val="largefont"/>
        <w:keepNext w:val="false"/>
        <w:keepLines w:val="false"/>
        <w:pageBreakBefore w:val="false"/>
        <w:kinsoku w:val="true"/>
        <w:overflowPunct w:val="true"/>
        <w:autoSpaceDE w:val="true"/>
        <w:bidi w:val="0"/>
        <w:snapToGrid w:val="true"/>
        <w:spacing w:lineRule="exact" w:line="400" w:before="0" w:after="0"/>
        <w:ind w:firstLine="440" w:end="0"/>
        <w:textAlignment w:val="auto"/>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1.</w:t>
      </w:r>
      <w:r>
        <w:rPr>
          <w:rFonts w:ascii="方正书宋_GBK" w:hAnsi="方正书宋_GBK" w:cs="方正书宋_GBK" w:eastAsia="方正书宋_GBK"/>
          <w:kern w:val="2"/>
          <w:sz w:val="22"/>
          <w:szCs w:val="22"/>
        </w:rPr>
        <w:t xml:space="preserve">采暖系统： </w:t>
      </w:r>
    </w:p>
    <w:p>
      <w:pPr>
        <w:pStyle w:val="Normal"/>
        <w:keepNext w:val="false"/>
        <w:keepLines w:val="false"/>
        <w:pageBreakBefore w:val="false"/>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集中采暖：【散热器】【地面辐射】【顶板辐射】【 】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分户采暖：【燃气炉】【电采暖】【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采暖设备品牌：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 xml:space="preserve"> </w:t>
      </w:r>
    </w:p>
    <w:p>
      <w:pPr>
        <w:pStyle w:val="largefont"/>
        <w:keepNext w:val="false"/>
        <w:keepLines w:val="false"/>
        <w:pageBreakBefore w:val="false"/>
        <w:kinsoku w:val="true"/>
        <w:overflowPunct w:val="true"/>
        <w:autoSpaceDE w:val="true"/>
        <w:bidi w:val="0"/>
        <w:snapToGrid w:val="true"/>
        <w:spacing w:lineRule="exact" w:line="400" w:before="0" w:after="0"/>
        <w:ind w:firstLine="440" w:end="0"/>
        <w:textAlignment w:val="auto"/>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2.</w:t>
      </w:r>
      <w:r>
        <w:rPr>
          <w:rFonts w:ascii="方正书宋_GBK" w:hAnsi="方正书宋_GBK" w:cs="方正书宋_GBK" w:eastAsia="方正书宋_GBK"/>
          <w:kern w:val="2"/>
          <w:sz w:val="22"/>
          <w:szCs w:val="22"/>
        </w:rPr>
        <w:t xml:space="preserve">电气系统： </w:t>
      </w:r>
    </w:p>
    <w:p>
      <w:pPr>
        <w:pStyle w:val="Normal"/>
        <w:keepNext w:val="false"/>
        <w:keepLines w:val="false"/>
        <w:pageBreakBefore w:val="false"/>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供电：</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有线电视：</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电话</w:t>
      </w:r>
      <w:r>
        <w:rPr>
          <w:rFonts w:eastAsia="方正书宋_GBK" w:cs="方正书宋_GBK" w:ascii="方正书宋_GBK" w:hAnsi="方正书宋_GBK"/>
          <w:sz w:val="22"/>
          <w:szCs w:val="22"/>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p>
    <w:p>
      <w:pPr>
        <w:pStyle w:val="Normal"/>
        <w:keepNext w:val="false"/>
        <w:keepLines w:val="false"/>
        <w:pageBreakBefore w:val="false"/>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可视对讲：</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安防系统：</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p>
    <w:p>
      <w:pPr>
        <w:pStyle w:val="largefont"/>
        <w:keepNext w:val="false"/>
        <w:keepLines w:val="false"/>
        <w:pageBreakBefore w:val="false"/>
        <w:kinsoku w:val="true"/>
        <w:overflowPunct w:val="true"/>
        <w:autoSpaceDE w:val="true"/>
        <w:bidi w:val="0"/>
        <w:snapToGrid w:val="true"/>
        <w:spacing w:lineRule="exact" w:line="400" w:before="0" w:after="0"/>
        <w:ind w:firstLine="440" w:end="0"/>
        <w:textAlignment w:val="auto"/>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3.</w:t>
      </w:r>
      <w:r>
        <w:rPr>
          <w:rFonts w:ascii="方正书宋_GBK" w:hAnsi="方正书宋_GBK" w:cs="方正书宋_GBK" w:eastAsia="方正书宋_GBK"/>
          <w:kern w:val="2"/>
          <w:sz w:val="22"/>
          <w:szCs w:val="22"/>
        </w:rPr>
        <w:t>燃气系统：</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 xml:space="preserve"> </w:t>
      </w:r>
    </w:p>
    <w:p>
      <w:pPr>
        <w:pStyle w:val="largefont"/>
        <w:keepNext w:val="false"/>
        <w:keepLines w:val="false"/>
        <w:pageBreakBefore w:val="false"/>
        <w:kinsoku w:val="true"/>
        <w:overflowPunct w:val="true"/>
        <w:autoSpaceDE w:val="true"/>
        <w:bidi w:val="0"/>
        <w:snapToGrid w:val="true"/>
        <w:spacing w:lineRule="exact" w:line="400" w:before="0" w:after="0"/>
        <w:ind w:firstLine="440" w:end="0"/>
        <w:textAlignment w:val="auto"/>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4.</w:t>
      </w:r>
      <w:r>
        <w:rPr>
          <w:rFonts w:ascii="方正书宋_GBK" w:hAnsi="方正书宋_GBK" w:cs="方正书宋_GBK" w:eastAsia="方正书宋_GBK"/>
          <w:kern w:val="2"/>
          <w:sz w:val="22"/>
          <w:szCs w:val="22"/>
        </w:rPr>
        <w:t>给排水系统：</w:t>
      </w:r>
    </w:p>
    <w:p>
      <w:pPr>
        <w:pStyle w:val="Normal"/>
        <w:keepNext w:val="false"/>
        <w:keepLines w:val="false"/>
        <w:pageBreakBefore w:val="false"/>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给水：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排水：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中水：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生活热水：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p>
    <w:p>
      <w:pPr>
        <w:pStyle w:val="largefont"/>
        <w:keepNext w:val="false"/>
        <w:keepLines w:val="false"/>
        <w:pageBreakBefore w:val="false"/>
        <w:kinsoku w:val="true"/>
        <w:overflowPunct w:val="true"/>
        <w:autoSpaceDE w:val="true"/>
        <w:bidi w:val="0"/>
        <w:snapToGrid w:val="true"/>
        <w:spacing w:lineRule="exact" w:line="400" w:before="0" w:after="0"/>
        <w:ind w:firstLine="440" w:end="0"/>
        <w:textAlignment w:val="auto"/>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5.</w:t>
      </w:r>
      <w:r>
        <w:rPr>
          <w:rFonts w:ascii="方正书宋_GBK" w:hAnsi="方正书宋_GBK" w:cs="方正书宋_GBK" w:eastAsia="方正书宋_GBK"/>
          <w:kern w:val="2"/>
          <w:sz w:val="22"/>
          <w:szCs w:val="22"/>
        </w:rPr>
        <w:t xml:space="preserve">门： </w:t>
      </w:r>
    </w:p>
    <w:p>
      <w:pPr>
        <w:pStyle w:val="Normal"/>
        <w:keepNext w:val="false"/>
        <w:keepLines w:val="false"/>
        <w:pageBreakBefore w:val="false"/>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外门开启方式为：【内平开门】【外平开门】【   】</w:t>
      </w:r>
    </w:p>
    <w:p>
      <w:pPr>
        <w:pStyle w:val="Normal"/>
        <w:keepNext w:val="false"/>
        <w:keepLines w:val="false"/>
        <w:pageBreakBefore w:val="false"/>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外门种类：【钢质防护门】【铝合金门】【    】</w:t>
      </w:r>
    </w:p>
    <w:p>
      <w:pPr>
        <w:pStyle w:val="Normal"/>
        <w:keepNext w:val="false"/>
        <w:keepLines w:val="false"/>
        <w:pageBreakBefore w:val="false"/>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内门种类：【实木门】【实木复合门】【木质复合门】【    】</w:t>
      </w:r>
    </w:p>
    <w:p>
      <w:pPr>
        <w:pStyle w:val="Normal"/>
        <w:keepNext w:val="false"/>
        <w:keepLines w:val="false"/>
        <w:pageBreakBefore w:val="false"/>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装修：</w:t>
      </w:r>
    </w:p>
    <w:tbl>
      <w:tblPr>
        <w:tblW w:w="8531" w:type="dxa"/>
        <w:jc w:val="start"/>
        <w:tblInd w:w="-6" w:type="dxa"/>
        <w:tblLayout w:type="fixed"/>
        <w:tblCellMar>
          <w:top w:w="0" w:type="dxa"/>
          <w:start w:w="10" w:type="dxa"/>
          <w:bottom w:w="0" w:type="dxa"/>
          <w:end w:w="10" w:type="dxa"/>
        </w:tblCellMar>
      </w:tblPr>
      <w:tblGrid>
        <w:gridCol w:w="1112"/>
        <w:gridCol w:w="1290"/>
        <w:gridCol w:w="3970"/>
        <w:gridCol w:w="2159"/>
      </w:tblGrid>
      <w:tr>
        <w:trPr>
          <w:trHeight w:val="445" w:hRule="exact"/>
        </w:trPr>
        <w:tc>
          <w:tcPr>
            <w:tcW w:w="1112"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jc w:val="center"/>
              <w:rPr>
                <w:rFonts w:ascii="方正书宋_GBK" w:hAnsi="方正书宋_GBK" w:eastAsia="方正书宋_GBK" w:cs="方正书宋_GBK"/>
                <w:b/>
                <w:bCs/>
                <w:sz w:val="18"/>
                <w:szCs w:val="18"/>
              </w:rPr>
            </w:pPr>
            <w:r>
              <w:rPr>
                <w:rStyle w:val="2"/>
                <w:rFonts w:ascii="方正书宋_GBK" w:hAnsi="方正书宋_GBK" w:cs="方正书宋_GBK" w:eastAsia="方正书宋_GBK"/>
                <w:b/>
                <w:bCs/>
                <w:color w:val="000000"/>
                <w:sz w:val="18"/>
                <w:szCs w:val="18"/>
              </w:rPr>
              <w:t>空间位置</w:t>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jc w:val="center"/>
              <w:rPr>
                <w:rFonts w:ascii="方正书宋_GBK" w:hAnsi="方正书宋_GBK" w:eastAsia="方正书宋_GBK" w:cs="方正书宋_GBK"/>
                <w:b/>
                <w:bCs/>
                <w:sz w:val="18"/>
                <w:szCs w:val="18"/>
              </w:rPr>
            </w:pPr>
            <w:r>
              <w:rPr>
                <w:rStyle w:val="2"/>
                <w:rFonts w:ascii="方正书宋_GBK" w:hAnsi="方正书宋_GBK" w:cs="方正书宋_GBK" w:eastAsia="方正书宋_GBK"/>
                <w:b/>
                <w:bCs/>
                <w:color w:val="000000"/>
                <w:sz w:val="18"/>
                <w:szCs w:val="18"/>
              </w:rPr>
              <w:t>项目内容</w:t>
            </w:r>
          </w:p>
        </w:tc>
        <w:tc>
          <w:tcPr>
            <w:tcW w:w="397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jc w:val="center"/>
              <w:rPr>
                <w:rFonts w:ascii="方正书宋_GBK" w:hAnsi="方正书宋_GBK" w:eastAsia="方正书宋_GBK" w:cs="方正书宋_GBK"/>
                <w:b/>
                <w:bCs/>
                <w:sz w:val="18"/>
                <w:szCs w:val="18"/>
              </w:rPr>
            </w:pPr>
            <w:r>
              <w:rPr>
                <w:rStyle w:val="2"/>
                <w:rFonts w:ascii="方正书宋_GBK" w:hAnsi="方正书宋_GBK" w:cs="方正书宋_GBK" w:eastAsia="方正书宋_GBK"/>
                <w:b/>
                <w:bCs/>
                <w:color w:val="000000"/>
                <w:sz w:val="18"/>
                <w:szCs w:val="18"/>
              </w:rPr>
              <w:t>建材种类</w:t>
            </w:r>
          </w:p>
        </w:tc>
        <w:tc>
          <w:tcPr>
            <w:tcW w:w="2159"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jc w:val="center"/>
              <w:rPr>
                <w:rStyle w:val="2"/>
                <w:rFonts w:ascii="方正书宋_GBK" w:hAnsi="方正书宋_GBK" w:eastAsia="方正书宋_GBK" w:cs="方正书宋_GBK"/>
                <w:b/>
                <w:bCs/>
                <w:color w:val="000000"/>
                <w:sz w:val="18"/>
                <w:szCs w:val="18"/>
              </w:rPr>
            </w:pPr>
            <w:r>
              <w:rPr>
                <w:rStyle w:val="2"/>
                <w:rFonts w:ascii="方正书宋_GBK" w:hAnsi="方正书宋_GBK" w:cs="方正书宋_GBK" w:eastAsia="方正书宋_GBK"/>
                <w:b/>
                <w:bCs/>
                <w:color w:val="000000"/>
                <w:sz w:val="18"/>
                <w:szCs w:val="18"/>
              </w:rPr>
              <w:t>品牌（绿色建材等级）</w:t>
            </w:r>
          </w:p>
        </w:tc>
      </w:tr>
      <w:tr>
        <w:trPr>
          <w:trHeight w:val="499" w:hRule="atLeast"/>
        </w:trPr>
        <w:tc>
          <w:tcPr>
            <w:tcW w:w="1112" w:type="dxa"/>
            <w:vMerge w:val="restart"/>
            <w:tcBorders>
              <w:top w:val="single" w:sz="4" w:space="0" w:color="000000"/>
              <w:start w:val="single" w:sz="4" w:space="0" w:color="000000"/>
              <w:end w:val="single" w:sz="4" w:space="0" w:color="000000"/>
            </w:tcBorders>
            <w:vAlign w:val="center"/>
          </w:tcPr>
          <w:p>
            <w:pPr>
              <w:pStyle w:val="13"/>
              <w:spacing w:lineRule="auto" w:line="240" w:before="120" w:after="0"/>
              <w:ind w:hanging="0" w:end="0"/>
              <w:jc w:val="center"/>
              <w:rPr>
                <w:rFonts w:ascii="方正书宋_GBK" w:hAnsi="方正书宋_GBK" w:eastAsia="方正书宋_GBK" w:cs="方正书宋_GBK"/>
                <w:sz w:val="18"/>
                <w:szCs w:val="18"/>
              </w:rPr>
            </w:pPr>
            <w:r>
              <w:rPr>
                <w:rStyle w:val="4"/>
                <w:rFonts w:ascii="方正书宋_GBK" w:hAnsi="方正书宋_GBK" w:cs="方正书宋_GBK" w:eastAsia="方正书宋_GBK"/>
                <w:sz w:val="18"/>
                <w:szCs w:val="18"/>
              </w:rPr>
              <w:t>起居室</w:t>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顶棚</w:t>
            </w:r>
          </w:p>
        </w:tc>
        <w:tc>
          <w:tcPr>
            <w:tcW w:w="397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【涂料】【石膏板】【   】</w:t>
            </w:r>
          </w:p>
        </w:tc>
        <w:tc>
          <w:tcPr>
            <w:tcW w:w="2159" w:type="dxa"/>
            <w:tcBorders>
              <w:top w:val="single" w:sz="4" w:space="0" w:color="000000"/>
              <w:start w:val="single" w:sz="4" w:space="0" w:color="000000"/>
              <w:bottom w:val="single" w:sz="4" w:space="0" w:color="000000"/>
              <w:end w:val="single" w:sz="4" w:space="0" w:color="000000"/>
            </w:tcBorders>
          </w:tcPr>
          <w:p>
            <w:pPr>
              <w:pStyle w:val="13"/>
              <w:snapToGrid w:val="false"/>
              <w:spacing w:lineRule="auto" w:line="240" w:before="0" w:after="0"/>
              <w:ind w:hanging="0" w:end="0"/>
              <w:rPr>
                <w:rStyle w:val="2"/>
                <w:rFonts w:ascii="方正书宋_GBK" w:hAnsi="方正书宋_GBK" w:eastAsia="方正书宋_GBK" w:cs="方正书宋_GBK"/>
                <w:color w:val="000000"/>
                <w:sz w:val="18"/>
                <w:szCs w:val="18"/>
              </w:rPr>
            </w:pPr>
            <w:r>
              <w:rPr/>
            </w:r>
          </w:p>
        </w:tc>
      </w:tr>
      <w:tr>
        <w:trPr>
          <w:trHeight w:val="499" w:hRule="atLeast"/>
        </w:trPr>
        <w:tc>
          <w:tcPr>
            <w:tcW w:w="1112" w:type="dxa"/>
            <w:vMerge w:val="continue"/>
            <w:tcBorders>
              <w:top w:val="single" w:sz="4" w:space="0" w:color="000000"/>
              <w:start w:val="single" w:sz="4" w:space="0" w:color="000000"/>
              <w:end w:val="single" w:sz="4" w:space="0" w:color="000000"/>
            </w:tcBorders>
            <w:vAlign w:val="center"/>
          </w:tcPr>
          <w:p>
            <w:pPr>
              <w:pStyle w:val="13"/>
              <w:snapToGrid w:val="false"/>
              <w:spacing w:lineRule="auto" w:line="240" w:before="120" w:after="0"/>
              <w:ind w:firstLine="394" w:start="141" w:end="0"/>
              <w:jc w:val="center"/>
              <w:rPr>
                <w:rStyle w:val="2"/>
                <w:rFonts w:ascii="方正书宋_GBK" w:hAnsi="方正书宋_GBK" w:eastAsia="方正书宋_GBK" w:cs="方正书宋_GBK"/>
                <w:color w:val="000000"/>
                <w:sz w:val="18"/>
                <w:szCs w:val="18"/>
              </w:rPr>
            </w:pPr>
            <w:r>
              <w:rPr/>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墙面</w:t>
            </w:r>
          </w:p>
        </w:tc>
        <w:tc>
          <w:tcPr>
            <w:tcW w:w="397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【涂料】【壁纸】【   】</w:t>
            </w:r>
          </w:p>
        </w:tc>
        <w:tc>
          <w:tcPr>
            <w:tcW w:w="2159" w:type="dxa"/>
            <w:tcBorders>
              <w:top w:val="single" w:sz="4" w:space="0" w:color="000000"/>
              <w:start w:val="single" w:sz="4" w:space="0" w:color="000000"/>
              <w:bottom w:val="single" w:sz="4" w:space="0" w:color="000000"/>
              <w:end w:val="single" w:sz="4" w:space="0" w:color="000000"/>
            </w:tcBorders>
          </w:tcPr>
          <w:p>
            <w:pPr>
              <w:pStyle w:val="13"/>
              <w:snapToGrid w:val="false"/>
              <w:spacing w:lineRule="auto" w:line="240" w:before="0" w:after="0"/>
              <w:ind w:hanging="0" w:end="0"/>
              <w:rPr>
                <w:rStyle w:val="2"/>
                <w:rFonts w:ascii="方正书宋_GBK" w:hAnsi="方正书宋_GBK" w:eastAsia="方正书宋_GBK" w:cs="方正书宋_GBK"/>
                <w:color w:val="000000"/>
                <w:sz w:val="18"/>
                <w:szCs w:val="18"/>
              </w:rPr>
            </w:pPr>
            <w:r>
              <w:rPr/>
            </w:r>
          </w:p>
        </w:tc>
      </w:tr>
      <w:tr>
        <w:trPr>
          <w:trHeight w:val="499" w:hRule="atLeast"/>
        </w:trPr>
        <w:tc>
          <w:tcPr>
            <w:tcW w:w="1112" w:type="dxa"/>
            <w:vMerge w:val="continue"/>
            <w:tcBorders>
              <w:top w:val="single" w:sz="4" w:space="0" w:color="000000"/>
              <w:start w:val="single" w:sz="4" w:space="0" w:color="000000"/>
              <w:end w:val="single" w:sz="4" w:space="0" w:color="000000"/>
            </w:tcBorders>
            <w:vAlign w:val="center"/>
          </w:tcPr>
          <w:p>
            <w:pPr>
              <w:pStyle w:val="13"/>
              <w:snapToGrid w:val="false"/>
              <w:spacing w:lineRule="auto" w:line="240" w:before="0" w:after="0"/>
              <w:ind w:firstLine="394" w:start="141" w:end="0"/>
              <w:jc w:val="center"/>
              <w:rPr>
                <w:rStyle w:val="2"/>
                <w:rFonts w:ascii="方正书宋_GBK" w:hAnsi="方正书宋_GBK" w:eastAsia="方正书宋_GBK" w:cs="方正书宋_GBK"/>
                <w:color w:val="000000"/>
                <w:sz w:val="18"/>
                <w:szCs w:val="18"/>
              </w:rPr>
            </w:pPr>
            <w:r>
              <w:rPr/>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地面</w:t>
            </w:r>
          </w:p>
        </w:tc>
        <w:tc>
          <w:tcPr>
            <w:tcW w:w="397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【实木地板】【实木复合地板】【瓷砖】【   】</w:t>
            </w:r>
          </w:p>
        </w:tc>
        <w:tc>
          <w:tcPr>
            <w:tcW w:w="2159" w:type="dxa"/>
            <w:tcBorders>
              <w:top w:val="single" w:sz="4" w:space="0" w:color="000000"/>
              <w:start w:val="single" w:sz="4" w:space="0" w:color="000000"/>
              <w:bottom w:val="single" w:sz="4" w:space="0" w:color="000000"/>
              <w:end w:val="single" w:sz="4" w:space="0" w:color="000000"/>
            </w:tcBorders>
          </w:tcPr>
          <w:p>
            <w:pPr>
              <w:pStyle w:val="13"/>
              <w:snapToGrid w:val="false"/>
              <w:spacing w:lineRule="auto" w:line="240" w:before="0" w:after="0"/>
              <w:ind w:hanging="0" w:end="0"/>
              <w:rPr>
                <w:rStyle w:val="2"/>
                <w:rFonts w:ascii="方正书宋_GBK" w:hAnsi="方正书宋_GBK" w:eastAsia="方正书宋_GBK" w:cs="方正书宋_GBK"/>
                <w:color w:val="000000"/>
                <w:sz w:val="18"/>
                <w:szCs w:val="18"/>
              </w:rPr>
            </w:pPr>
            <w:r>
              <w:rPr/>
            </w:r>
          </w:p>
        </w:tc>
      </w:tr>
      <w:tr>
        <w:trPr>
          <w:trHeight w:val="499" w:hRule="atLeast"/>
        </w:trPr>
        <w:tc>
          <w:tcPr>
            <w:tcW w:w="1112" w:type="dxa"/>
            <w:vMerge w:val="continue"/>
            <w:tcBorders>
              <w:top w:val="single" w:sz="4" w:space="0" w:color="000000"/>
              <w:start w:val="single" w:sz="4" w:space="0" w:color="000000"/>
              <w:end w:val="single" w:sz="4" w:space="0" w:color="000000"/>
            </w:tcBorders>
            <w:vAlign w:val="center"/>
          </w:tcPr>
          <w:p>
            <w:pPr>
              <w:pStyle w:val="Normal"/>
              <w:snapToGrid w:val="false"/>
              <w:ind w:hanging="600" w:start="741" w:end="0"/>
              <w:jc w:val="center"/>
              <w:rPr>
                <w:rStyle w:val="2"/>
                <w:rFonts w:ascii="方正书宋_GBK" w:hAnsi="方正书宋_GBK" w:eastAsia="方正书宋_GBK" w:cs="方正书宋_GBK"/>
                <w:color w:val="000000"/>
                <w:sz w:val="18"/>
                <w:szCs w:val="18"/>
              </w:rPr>
            </w:pPr>
            <w:r>
              <w:rPr/>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踢脚</w:t>
            </w:r>
          </w:p>
        </w:tc>
        <w:tc>
          <w:tcPr>
            <w:tcW w:w="397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【木质踢脚线】【</w:t>
            </w:r>
            <w:r>
              <w:rPr>
                <w:rStyle w:val="2"/>
                <w:rFonts w:eastAsia="方正书宋_GBK" w:cs="方正书宋_GBK" w:ascii="方正书宋_GBK" w:hAnsi="方正书宋_GBK"/>
                <w:color w:val="000000"/>
                <w:sz w:val="18"/>
                <w:szCs w:val="18"/>
              </w:rPr>
              <w:t>PVC</w:t>
            </w:r>
            <w:r>
              <w:rPr>
                <w:rStyle w:val="2"/>
                <w:rFonts w:ascii="方正书宋_GBK" w:hAnsi="方正书宋_GBK" w:cs="方正书宋_GBK" w:eastAsia="方正书宋_GBK"/>
                <w:color w:val="000000"/>
                <w:sz w:val="18"/>
                <w:szCs w:val="18"/>
              </w:rPr>
              <w:t>踢脚线】【瓷砖】【   】</w:t>
            </w:r>
          </w:p>
        </w:tc>
        <w:tc>
          <w:tcPr>
            <w:tcW w:w="2159" w:type="dxa"/>
            <w:tcBorders>
              <w:top w:val="single" w:sz="4" w:space="0" w:color="000000"/>
              <w:start w:val="single" w:sz="4" w:space="0" w:color="000000"/>
              <w:bottom w:val="single" w:sz="4" w:space="0" w:color="000000"/>
              <w:end w:val="single" w:sz="4" w:space="0" w:color="000000"/>
            </w:tcBorders>
          </w:tcPr>
          <w:p>
            <w:pPr>
              <w:pStyle w:val="13"/>
              <w:snapToGrid w:val="false"/>
              <w:spacing w:lineRule="auto" w:line="240" w:before="0" w:after="0"/>
              <w:ind w:hanging="0" w:end="0"/>
              <w:rPr>
                <w:rStyle w:val="2"/>
                <w:rFonts w:ascii="方正书宋_GBK" w:hAnsi="方正书宋_GBK" w:eastAsia="方正书宋_GBK" w:cs="方正书宋_GBK"/>
                <w:color w:val="000000"/>
                <w:sz w:val="18"/>
                <w:szCs w:val="18"/>
              </w:rPr>
            </w:pPr>
            <w:r>
              <w:rPr/>
            </w:r>
          </w:p>
        </w:tc>
      </w:tr>
      <w:tr>
        <w:trPr>
          <w:trHeight w:val="499" w:hRule="atLeast"/>
        </w:trPr>
        <w:tc>
          <w:tcPr>
            <w:tcW w:w="1112" w:type="dxa"/>
            <w:vMerge w:val="continue"/>
            <w:tcBorders>
              <w:top w:val="single" w:sz="4" w:space="0" w:color="000000"/>
              <w:start w:val="single" w:sz="4" w:space="0" w:color="000000"/>
              <w:end w:val="single" w:sz="4" w:space="0" w:color="000000"/>
            </w:tcBorders>
            <w:vAlign w:val="center"/>
          </w:tcPr>
          <w:p>
            <w:pPr>
              <w:pStyle w:val="Normal"/>
              <w:snapToGrid w:val="false"/>
              <w:ind w:hanging="600" w:start="741" w:end="0"/>
              <w:jc w:val="center"/>
              <w:rPr>
                <w:rStyle w:val="2"/>
                <w:rFonts w:ascii="方正书宋_GBK" w:hAnsi="方正书宋_GBK" w:eastAsia="方正书宋_GBK" w:cs="方正书宋_GBK"/>
                <w:color w:val="000000"/>
                <w:sz w:val="18"/>
                <w:szCs w:val="18"/>
              </w:rPr>
            </w:pPr>
            <w:r>
              <w:rPr/>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窗台板</w:t>
            </w:r>
          </w:p>
        </w:tc>
        <w:tc>
          <w:tcPr>
            <w:tcW w:w="397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【大理石】【抹灰砂浆】【   】</w:t>
            </w:r>
          </w:p>
        </w:tc>
        <w:tc>
          <w:tcPr>
            <w:tcW w:w="2159" w:type="dxa"/>
            <w:tcBorders>
              <w:top w:val="single" w:sz="4" w:space="0" w:color="000000"/>
              <w:start w:val="single" w:sz="4" w:space="0" w:color="000000"/>
              <w:bottom w:val="single" w:sz="4" w:space="0" w:color="000000"/>
              <w:end w:val="single" w:sz="4" w:space="0" w:color="000000"/>
            </w:tcBorders>
          </w:tcPr>
          <w:p>
            <w:pPr>
              <w:pStyle w:val="13"/>
              <w:snapToGrid w:val="false"/>
              <w:spacing w:lineRule="auto" w:line="240" w:before="0" w:after="0"/>
              <w:ind w:hanging="0" w:end="0"/>
              <w:rPr>
                <w:rStyle w:val="2"/>
                <w:rFonts w:ascii="方正书宋_GBK" w:hAnsi="方正书宋_GBK" w:eastAsia="方正书宋_GBK" w:cs="方正书宋_GBK"/>
                <w:color w:val="000000"/>
                <w:sz w:val="18"/>
                <w:szCs w:val="18"/>
              </w:rPr>
            </w:pPr>
            <w:r>
              <w:rPr/>
            </w:r>
          </w:p>
        </w:tc>
      </w:tr>
      <w:tr>
        <w:trPr>
          <w:trHeight w:val="499" w:hRule="atLeast"/>
        </w:trPr>
        <w:tc>
          <w:tcPr>
            <w:tcW w:w="1112" w:type="dxa"/>
            <w:vMerge w:val="restart"/>
            <w:tcBorders>
              <w:top w:val="single" w:sz="4" w:space="0" w:color="000000"/>
              <w:start w:val="single" w:sz="4" w:space="0" w:color="000000"/>
              <w:end w:val="single" w:sz="4" w:space="0" w:color="000000"/>
            </w:tcBorders>
            <w:vAlign w:val="center"/>
          </w:tcPr>
          <w:p>
            <w:pPr>
              <w:pStyle w:val="13"/>
              <w:spacing w:lineRule="auto" w:line="240" w:before="120" w:after="0"/>
              <w:ind w:hanging="0" w:end="0"/>
              <w:jc w:val="center"/>
              <w:rPr>
                <w:rFonts w:ascii="方正书宋_GBK" w:hAnsi="方正书宋_GBK" w:eastAsia="方正书宋_GBK" w:cs="方正书宋_GBK"/>
                <w:sz w:val="18"/>
                <w:szCs w:val="18"/>
              </w:rPr>
            </w:pPr>
            <w:r>
              <w:rPr>
                <w:rStyle w:val="4"/>
                <w:rFonts w:ascii="方正书宋_GBK" w:hAnsi="方正书宋_GBK" w:cs="方正书宋_GBK" w:eastAsia="方正书宋_GBK"/>
                <w:sz w:val="18"/>
                <w:szCs w:val="18"/>
              </w:rPr>
              <w:t>卧室</w:t>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顶棚</w:t>
            </w:r>
          </w:p>
        </w:tc>
        <w:tc>
          <w:tcPr>
            <w:tcW w:w="397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【涂料】【石膏板】【   】</w:t>
            </w:r>
          </w:p>
        </w:tc>
        <w:tc>
          <w:tcPr>
            <w:tcW w:w="2159" w:type="dxa"/>
            <w:tcBorders>
              <w:top w:val="single" w:sz="4" w:space="0" w:color="000000"/>
              <w:start w:val="single" w:sz="4" w:space="0" w:color="000000"/>
              <w:bottom w:val="single" w:sz="4" w:space="0" w:color="000000"/>
              <w:end w:val="single" w:sz="4" w:space="0" w:color="000000"/>
            </w:tcBorders>
          </w:tcPr>
          <w:p>
            <w:pPr>
              <w:pStyle w:val="13"/>
              <w:snapToGrid w:val="false"/>
              <w:spacing w:lineRule="auto" w:line="240" w:before="0" w:after="0"/>
              <w:ind w:hanging="0" w:end="0"/>
              <w:rPr>
                <w:rStyle w:val="ArialUnicodeMS27"/>
                <w:rFonts w:ascii="方正书宋_GBK" w:hAnsi="方正书宋_GBK" w:eastAsia="方正书宋_GBK" w:cs="方正书宋_GBK"/>
                <w:color w:val="000000"/>
                <w:sz w:val="18"/>
                <w:szCs w:val="18"/>
              </w:rPr>
            </w:pPr>
            <w:r>
              <w:rPr/>
            </w:r>
          </w:p>
        </w:tc>
      </w:tr>
      <w:tr>
        <w:trPr>
          <w:trHeight w:val="499" w:hRule="atLeast"/>
        </w:trPr>
        <w:tc>
          <w:tcPr>
            <w:tcW w:w="1112" w:type="dxa"/>
            <w:vMerge w:val="continue"/>
            <w:tcBorders>
              <w:top w:val="single" w:sz="4" w:space="0" w:color="000000"/>
              <w:start w:val="single" w:sz="4" w:space="0" w:color="000000"/>
              <w:end w:val="single" w:sz="4" w:space="0" w:color="000000"/>
            </w:tcBorders>
            <w:vAlign w:val="center"/>
          </w:tcPr>
          <w:p>
            <w:pPr>
              <w:pStyle w:val="13"/>
              <w:snapToGrid w:val="false"/>
              <w:spacing w:lineRule="auto" w:line="240" w:before="120" w:after="0"/>
              <w:ind w:firstLine="394" w:start="141" w:end="0"/>
              <w:jc w:val="center"/>
              <w:rPr>
                <w:rStyle w:val="ArialUnicodeMS27"/>
                <w:rFonts w:ascii="方正书宋_GBK" w:hAnsi="方正书宋_GBK" w:eastAsia="方正书宋_GBK" w:cs="方正书宋_GBK"/>
                <w:color w:val="000000"/>
                <w:sz w:val="18"/>
                <w:szCs w:val="18"/>
              </w:rPr>
            </w:pPr>
            <w:r>
              <w:rPr/>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墙面</w:t>
            </w:r>
          </w:p>
        </w:tc>
        <w:tc>
          <w:tcPr>
            <w:tcW w:w="397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【涂料】【壁纸】【   】</w:t>
            </w:r>
          </w:p>
        </w:tc>
        <w:tc>
          <w:tcPr>
            <w:tcW w:w="2159" w:type="dxa"/>
            <w:tcBorders>
              <w:top w:val="single" w:sz="4" w:space="0" w:color="000000"/>
              <w:start w:val="single" w:sz="4" w:space="0" w:color="000000"/>
              <w:bottom w:val="single" w:sz="4" w:space="0" w:color="000000"/>
              <w:end w:val="single" w:sz="4" w:space="0" w:color="000000"/>
            </w:tcBorders>
          </w:tcPr>
          <w:p>
            <w:pPr>
              <w:pStyle w:val="13"/>
              <w:snapToGrid w:val="false"/>
              <w:spacing w:lineRule="auto" w:line="240" w:before="0" w:after="0"/>
              <w:ind w:hanging="0" w:end="0"/>
              <w:rPr>
                <w:rStyle w:val="2"/>
                <w:rFonts w:ascii="方正书宋_GBK" w:hAnsi="方正书宋_GBK" w:eastAsia="方正书宋_GBK" w:cs="方正书宋_GBK"/>
                <w:color w:val="000000"/>
                <w:sz w:val="18"/>
                <w:szCs w:val="18"/>
              </w:rPr>
            </w:pPr>
            <w:r>
              <w:rPr/>
            </w:r>
          </w:p>
        </w:tc>
      </w:tr>
      <w:tr>
        <w:trPr>
          <w:trHeight w:val="499" w:hRule="atLeast"/>
        </w:trPr>
        <w:tc>
          <w:tcPr>
            <w:tcW w:w="1112" w:type="dxa"/>
            <w:vMerge w:val="continue"/>
            <w:tcBorders>
              <w:top w:val="single" w:sz="4" w:space="0" w:color="000000"/>
              <w:start w:val="single" w:sz="4" w:space="0" w:color="000000"/>
              <w:end w:val="single" w:sz="4" w:space="0" w:color="000000"/>
            </w:tcBorders>
            <w:vAlign w:val="center"/>
          </w:tcPr>
          <w:p>
            <w:pPr>
              <w:pStyle w:val="13"/>
              <w:snapToGrid w:val="false"/>
              <w:spacing w:lineRule="auto" w:line="240" w:before="0" w:after="0"/>
              <w:ind w:firstLine="394" w:start="141" w:end="0"/>
              <w:jc w:val="center"/>
              <w:rPr>
                <w:rStyle w:val="2"/>
                <w:rFonts w:ascii="方正书宋_GBK" w:hAnsi="方正书宋_GBK" w:eastAsia="方正书宋_GBK" w:cs="方正书宋_GBK"/>
                <w:color w:val="000000"/>
                <w:sz w:val="18"/>
                <w:szCs w:val="18"/>
              </w:rPr>
            </w:pPr>
            <w:r>
              <w:rPr/>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地面</w:t>
            </w:r>
          </w:p>
        </w:tc>
        <w:tc>
          <w:tcPr>
            <w:tcW w:w="397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【实木地板】【实木复合地板】【瓷砖】【   】</w:t>
            </w:r>
          </w:p>
        </w:tc>
        <w:tc>
          <w:tcPr>
            <w:tcW w:w="2159" w:type="dxa"/>
            <w:tcBorders>
              <w:top w:val="single" w:sz="4" w:space="0" w:color="000000"/>
              <w:start w:val="single" w:sz="4" w:space="0" w:color="000000"/>
              <w:bottom w:val="single" w:sz="4" w:space="0" w:color="000000"/>
              <w:end w:val="single" w:sz="4" w:space="0" w:color="000000"/>
            </w:tcBorders>
          </w:tcPr>
          <w:p>
            <w:pPr>
              <w:pStyle w:val="13"/>
              <w:snapToGrid w:val="false"/>
              <w:spacing w:lineRule="auto" w:line="240" w:before="0" w:after="0"/>
              <w:ind w:hanging="0" w:end="0"/>
              <w:rPr>
                <w:rStyle w:val="2"/>
                <w:rFonts w:ascii="方正书宋_GBK" w:hAnsi="方正书宋_GBK" w:eastAsia="方正书宋_GBK" w:cs="方正书宋_GBK"/>
                <w:color w:val="000000"/>
                <w:sz w:val="18"/>
                <w:szCs w:val="18"/>
              </w:rPr>
            </w:pPr>
            <w:r>
              <w:rPr/>
            </w:r>
          </w:p>
        </w:tc>
      </w:tr>
      <w:tr>
        <w:trPr>
          <w:trHeight w:val="499" w:hRule="atLeast"/>
        </w:trPr>
        <w:tc>
          <w:tcPr>
            <w:tcW w:w="1112" w:type="dxa"/>
            <w:vMerge w:val="continue"/>
            <w:tcBorders>
              <w:top w:val="single" w:sz="4" w:space="0" w:color="000000"/>
              <w:start w:val="single" w:sz="4" w:space="0" w:color="000000"/>
              <w:end w:val="single" w:sz="4" w:space="0" w:color="000000"/>
            </w:tcBorders>
            <w:vAlign w:val="center"/>
          </w:tcPr>
          <w:p>
            <w:pPr>
              <w:pStyle w:val="Normal"/>
              <w:snapToGrid w:val="false"/>
              <w:ind w:hanging="600" w:start="741" w:end="0"/>
              <w:jc w:val="center"/>
              <w:rPr>
                <w:rStyle w:val="2"/>
                <w:rFonts w:ascii="方正书宋_GBK" w:hAnsi="方正书宋_GBK" w:eastAsia="方正书宋_GBK" w:cs="方正书宋_GBK"/>
                <w:color w:val="000000"/>
                <w:sz w:val="18"/>
                <w:szCs w:val="18"/>
              </w:rPr>
            </w:pPr>
            <w:r>
              <w:rPr/>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踢脚</w:t>
            </w:r>
          </w:p>
        </w:tc>
        <w:tc>
          <w:tcPr>
            <w:tcW w:w="397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【木质踢脚线】【</w:t>
            </w:r>
            <w:r>
              <w:rPr>
                <w:rStyle w:val="2"/>
                <w:rFonts w:eastAsia="方正书宋_GBK" w:cs="方正书宋_GBK" w:ascii="方正书宋_GBK" w:hAnsi="方正书宋_GBK"/>
                <w:color w:val="000000"/>
                <w:sz w:val="18"/>
                <w:szCs w:val="18"/>
              </w:rPr>
              <w:t>PVC</w:t>
            </w:r>
            <w:r>
              <w:rPr>
                <w:rStyle w:val="2"/>
                <w:rFonts w:ascii="方正书宋_GBK" w:hAnsi="方正书宋_GBK" w:cs="方正书宋_GBK" w:eastAsia="方正书宋_GBK"/>
                <w:color w:val="000000"/>
                <w:sz w:val="18"/>
                <w:szCs w:val="18"/>
              </w:rPr>
              <w:t>踢脚线】【瓷砖】【   】</w:t>
            </w:r>
          </w:p>
        </w:tc>
        <w:tc>
          <w:tcPr>
            <w:tcW w:w="2159" w:type="dxa"/>
            <w:tcBorders>
              <w:top w:val="single" w:sz="4" w:space="0" w:color="000000"/>
              <w:start w:val="single" w:sz="4" w:space="0" w:color="000000"/>
              <w:bottom w:val="single" w:sz="4" w:space="0" w:color="000000"/>
              <w:end w:val="single" w:sz="4" w:space="0" w:color="000000"/>
            </w:tcBorders>
          </w:tcPr>
          <w:p>
            <w:pPr>
              <w:pStyle w:val="13"/>
              <w:snapToGrid w:val="false"/>
              <w:spacing w:lineRule="auto" w:line="240" w:before="0" w:after="0"/>
              <w:ind w:hanging="0" w:end="0"/>
              <w:rPr>
                <w:rStyle w:val="ArialUnicodeMS27"/>
                <w:rFonts w:ascii="方正书宋_GBK" w:hAnsi="方正书宋_GBK" w:eastAsia="方正书宋_GBK" w:cs="方正书宋_GBK"/>
                <w:color w:val="000000"/>
                <w:sz w:val="18"/>
                <w:szCs w:val="18"/>
                <w:lang w:val="en-US"/>
              </w:rPr>
            </w:pPr>
            <w:r>
              <w:rPr/>
            </w:r>
          </w:p>
        </w:tc>
      </w:tr>
      <w:tr>
        <w:trPr>
          <w:trHeight w:val="499" w:hRule="atLeast"/>
        </w:trPr>
        <w:tc>
          <w:tcPr>
            <w:tcW w:w="1112" w:type="dxa"/>
            <w:vMerge w:val="continue"/>
            <w:tcBorders>
              <w:top w:val="single" w:sz="4" w:space="0" w:color="000000"/>
              <w:start w:val="single" w:sz="4" w:space="0" w:color="000000"/>
              <w:end w:val="single" w:sz="4" w:space="0" w:color="000000"/>
            </w:tcBorders>
            <w:vAlign w:val="center"/>
          </w:tcPr>
          <w:p>
            <w:pPr>
              <w:pStyle w:val="Normal"/>
              <w:snapToGrid w:val="false"/>
              <w:ind w:hanging="600" w:start="741" w:end="0"/>
              <w:jc w:val="center"/>
              <w:rPr>
                <w:rStyle w:val="ArialUnicodeMS27"/>
                <w:rFonts w:ascii="方正书宋_GBK" w:hAnsi="方正书宋_GBK" w:eastAsia="方正书宋_GBK" w:cs="方正书宋_GBK"/>
                <w:color w:val="000000"/>
                <w:sz w:val="18"/>
                <w:szCs w:val="18"/>
                <w:lang w:val="en-US"/>
              </w:rPr>
            </w:pPr>
            <w:r>
              <w:rPr/>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窗台板</w:t>
            </w:r>
          </w:p>
        </w:tc>
        <w:tc>
          <w:tcPr>
            <w:tcW w:w="397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【大理石】【抹灰砂浆】【   】</w:t>
            </w:r>
          </w:p>
        </w:tc>
        <w:tc>
          <w:tcPr>
            <w:tcW w:w="2159" w:type="dxa"/>
            <w:tcBorders>
              <w:top w:val="single" w:sz="4" w:space="0" w:color="000000"/>
              <w:start w:val="single" w:sz="4" w:space="0" w:color="000000"/>
              <w:bottom w:val="single" w:sz="4" w:space="0" w:color="000000"/>
              <w:end w:val="single" w:sz="4" w:space="0" w:color="000000"/>
            </w:tcBorders>
          </w:tcPr>
          <w:p>
            <w:pPr>
              <w:pStyle w:val="13"/>
              <w:snapToGrid w:val="false"/>
              <w:spacing w:lineRule="auto" w:line="240" w:before="0" w:after="0"/>
              <w:ind w:hanging="0" w:end="0"/>
              <w:rPr>
                <w:rStyle w:val="2"/>
                <w:rFonts w:ascii="方正书宋_GBK" w:hAnsi="方正书宋_GBK" w:eastAsia="方正书宋_GBK" w:cs="方正书宋_GBK"/>
                <w:color w:val="000000"/>
                <w:sz w:val="18"/>
                <w:szCs w:val="18"/>
              </w:rPr>
            </w:pPr>
            <w:r>
              <w:rPr/>
            </w:r>
          </w:p>
        </w:tc>
      </w:tr>
      <w:tr>
        <w:trPr>
          <w:trHeight w:val="499" w:hRule="atLeast"/>
        </w:trPr>
        <w:tc>
          <w:tcPr>
            <w:tcW w:w="1112" w:type="dxa"/>
            <w:vMerge w:val="restart"/>
            <w:tcBorders>
              <w:top w:val="single" w:sz="4" w:space="0" w:color="000000"/>
              <w:start w:val="single" w:sz="4" w:space="0" w:color="000000"/>
              <w:end w:val="single" w:sz="4" w:space="0" w:color="000000"/>
            </w:tcBorders>
            <w:vAlign w:val="center"/>
          </w:tcPr>
          <w:p>
            <w:pPr>
              <w:pStyle w:val="13"/>
              <w:spacing w:lineRule="auto" w:line="240" w:before="120" w:after="0"/>
              <w:ind w:hanging="0" w:end="0"/>
              <w:jc w:val="center"/>
              <w:rPr>
                <w:rFonts w:ascii="方正书宋_GBK" w:hAnsi="方正书宋_GBK" w:eastAsia="方正书宋_GBK" w:cs="方正书宋_GBK"/>
                <w:sz w:val="18"/>
                <w:szCs w:val="18"/>
              </w:rPr>
            </w:pPr>
            <w:r>
              <w:rPr>
                <w:rStyle w:val="4"/>
                <w:rFonts w:ascii="方正书宋_GBK" w:hAnsi="方正书宋_GBK" w:cs="方正书宋_GBK" w:eastAsia="方正书宋_GBK"/>
                <w:sz w:val="18"/>
                <w:szCs w:val="18"/>
              </w:rPr>
              <w:t>储藏室</w:t>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顶棚</w:t>
            </w:r>
          </w:p>
        </w:tc>
        <w:tc>
          <w:tcPr>
            <w:tcW w:w="397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【涂料】【石膏板】【   】</w:t>
            </w:r>
          </w:p>
        </w:tc>
        <w:tc>
          <w:tcPr>
            <w:tcW w:w="2159" w:type="dxa"/>
            <w:tcBorders>
              <w:top w:val="single" w:sz="4" w:space="0" w:color="000000"/>
              <w:start w:val="single" w:sz="4" w:space="0" w:color="000000"/>
              <w:bottom w:val="single" w:sz="4" w:space="0" w:color="000000"/>
              <w:end w:val="single" w:sz="4" w:space="0" w:color="000000"/>
            </w:tcBorders>
          </w:tcPr>
          <w:p>
            <w:pPr>
              <w:pStyle w:val="13"/>
              <w:snapToGrid w:val="false"/>
              <w:spacing w:lineRule="auto" w:line="240" w:before="0" w:after="0"/>
              <w:ind w:hanging="0" w:end="0"/>
              <w:rPr>
                <w:rStyle w:val="2"/>
                <w:rFonts w:ascii="方正书宋_GBK" w:hAnsi="方正书宋_GBK" w:eastAsia="方正书宋_GBK" w:cs="方正书宋_GBK"/>
                <w:color w:val="000000"/>
                <w:sz w:val="18"/>
                <w:szCs w:val="18"/>
              </w:rPr>
            </w:pPr>
            <w:r>
              <w:rPr/>
            </w:r>
          </w:p>
        </w:tc>
      </w:tr>
      <w:tr>
        <w:trPr>
          <w:trHeight w:val="499" w:hRule="atLeast"/>
        </w:trPr>
        <w:tc>
          <w:tcPr>
            <w:tcW w:w="1112" w:type="dxa"/>
            <w:vMerge w:val="continue"/>
            <w:tcBorders>
              <w:top w:val="single" w:sz="4" w:space="0" w:color="000000"/>
              <w:start w:val="single" w:sz="4" w:space="0" w:color="000000"/>
              <w:end w:val="single" w:sz="4" w:space="0" w:color="000000"/>
            </w:tcBorders>
            <w:vAlign w:val="center"/>
          </w:tcPr>
          <w:p>
            <w:pPr>
              <w:pStyle w:val="13"/>
              <w:snapToGrid w:val="false"/>
              <w:spacing w:lineRule="auto" w:line="240" w:before="0" w:after="0"/>
              <w:ind w:firstLine="394" w:start="141" w:end="0"/>
              <w:jc w:val="center"/>
              <w:rPr>
                <w:rStyle w:val="2"/>
                <w:rFonts w:ascii="方正书宋_GBK" w:hAnsi="方正书宋_GBK" w:eastAsia="方正书宋_GBK" w:cs="方正书宋_GBK"/>
                <w:color w:val="000000"/>
                <w:sz w:val="18"/>
                <w:szCs w:val="18"/>
              </w:rPr>
            </w:pPr>
            <w:r>
              <w:rPr/>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墙面</w:t>
            </w:r>
          </w:p>
        </w:tc>
        <w:tc>
          <w:tcPr>
            <w:tcW w:w="397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【涂料】【壁纸】【   】</w:t>
            </w:r>
          </w:p>
        </w:tc>
        <w:tc>
          <w:tcPr>
            <w:tcW w:w="2159" w:type="dxa"/>
            <w:tcBorders>
              <w:top w:val="single" w:sz="4" w:space="0" w:color="000000"/>
              <w:start w:val="single" w:sz="4" w:space="0" w:color="000000"/>
              <w:bottom w:val="single" w:sz="4" w:space="0" w:color="000000"/>
              <w:end w:val="single" w:sz="4" w:space="0" w:color="000000"/>
            </w:tcBorders>
          </w:tcPr>
          <w:p>
            <w:pPr>
              <w:pStyle w:val="13"/>
              <w:snapToGrid w:val="false"/>
              <w:spacing w:lineRule="auto" w:line="240" w:before="0" w:after="0"/>
              <w:ind w:hanging="0" w:end="0"/>
              <w:rPr>
                <w:rStyle w:val="2"/>
                <w:rFonts w:ascii="方正书宋_GBK" w:hAnsi="方正书宋_GBK" w:eastAsia="方正书宋_GBK" w:cs="方正书宋_GBK"/>
                <w:color w:val="000000"/>
                <w:sz w:val="18"/>
                <w:szCs w:val="18"/>
              </w:rPr>
            </w:pPr>
            <w:r>
              <w:rPr/>
            </w:r>
          </w:p>
        </w:tc>
      </w:tr>
      <w:tr>
        <w:trPr>
          <w:trHeight w:val="499" w:hRule="atLeast"/>
        </w:trPr>
        <w:tc>
          <w:tcPr>
            <w:tcW w:w="1112" w:type="dxa"/>
            <w:vMerge w:val="continue"/>
            <w:tcBorders>
              <w:top w:val="single" w:sz="4" w:space="0" w:color="000000"/>
              <w:start w:val="single" w:sz="4" w:space="0" w:color="000000"/>
              <w:end w:val="single" w:sz="4" w:space="0" w:color="000000"/>
            </w:tcBorders>
            <w:vAlign w:val="center"/>
          </w:tcPr>
          <w:p>
            <w:pPr>
              <w:pStyle w:val="Normal"/>
              <w:snapToGrid w:val="false"/>
              <w:ind w:hanging="600" w:start="741" w:end="0"/>
              <w:jc w:val="center"/>
              <w:rPr>
                <w:rStyle w:val="2"/>
                <w:rFonts w:ascii="方正书宋_GBK" w:hAnsi="方正书宋_GBK" w:eastAsia="方正书宋_GBK" w:cs="方正书宋_GBK"/>
                <w:color w:val="000000"/>
                <w:sz w:val="18"/>
                <w:szCs w:val="18"/>
              </w:rPr>
            </w:pPr>
            <w:r>
              <w:rPr/>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地面</w:t>
            </w:r>
          </w:p>
        </w:tc>
        <w:tc>
          <w:tcPr>
            <w:tcW w:w="397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【实木地板】【实木复合地板】【瓷砖】【   】</w:t>
            </w:r>
          </w:p>
        </w:tc>
        <w:tc>
          <w:tcPr>
            <w:tcW w:w="2159" w:type="dxa"/>
            <w:tcBorders>
              <w:top w:val="single" w:sz="4" w:space="0" w:color="000000"/>
              <w:start w:val="single" w:sz="4" w:space="0" w:color="000000"/>
              <w:bottom w:val="single" w:sz="4" w:space="0" w:color="000000"/>
              <w:end w:val="single" w:sz="4" w:space="0" w:color="000000"/>
            </w:tcBorders>
          </w:tcPr>
          <w:p>
            <w:pPr>
              <w:pStyle w:val="13"/>
              <w:snapToGrid w:val="false"/>
              <w:spacing w:lineRule="auto" w:line="240" w:before="0" w:after="0"/>
              <w:ind w:hanging="0" w:end="0"/>
              <w:rPr>
                <w:rStyle w:val="2"/>
                <w:rFonts w:ascii="方正书宋_GBK" w:hAnsi="方正书宋_GBK" w:eastAsia="方正书宋_GBK" w:cs="方正书宋_GBK"/>
                <w:color w:val="000000"/>
                <w:sz w:val="18"/>
                <w:szCs w:val="18"/>
              </w:rPr>
            </w:pPr>
            <w:r>
              <w:rPr/>
            </w:r>
          </w:p>
        </w:tc>
      </w:tr>
      <w:tr>
        <w:trPr>
          <w:trHeight w:val="499" w:hRule="atLeast"/>
        </w:trPr>
        <w:tc>
          <w:tcPr>
            <w:tcW w:w="1112" w:type="dxa"/>
            <w:vMerge w:val="continue"/>
            <w:tcBorders>
              <w:top w:val="single" w:sz="4" w:space="0" w:color="000000"/>
              <w:start w:val="single" w:sz="4" w:space="0" w:color="000000"/>
              <w:end w:val="single" w:sz="4" w:space="0" w:color="000000"/>
            </w:tcBorders>
            <w:vAlign w:val="center"/>
          </w:tcPr>
          <w:p>
            <w:pPr>
              <w:pStyle w:val="Normal"/>
              <w:snapToGrid w:val="false"/>
              <w:ind w:hanging="600" w:start="741" w:end="0"/>
              <w:jc w:val="center"/>
              <w:rPr>
                <w:rStyle w:val="2"/>
                <w:rFonts w:ascii="方正书宋_GBK" w:hAnsi="方正书宋_GBK" w:eastAsia="方正书宋_GBK" w:cs="方正书宋_GBK"/>
                <w:color w:val="000000"/>
                <w:sz w:val="18"/>
                <w:szCs w:val="18"/>
              </w:rPr>
            </w:pPr>
            <w:r>
              <w:rPr/>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踢脚</w:t>
            </w:r>
          </w:p>
        </w:tc>
        <w:tc>
          <w:tcPr>
            <w:tcW w:w="397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【木质踢脚线】【</w:t>
            </w:r>
            <w:r>
              <w:rPr>
                <w:rStyle w:val="2"/>
                <w:rFonts w:eastAsia="方正书宋_GBK" w:cs="方正书宋_GBK" w:ascii="方正书宋_GBK" w:hAnsi="方正书宋_GBK"/>
                <w:color w:val="000000"/>
                <w:sz w:val="18"/>
                <w:szCs w:val="18"/>
              </w:rPr>
              <w:t>PVC</w:t>
            </w:r>
            <w:r>
              <w:rPr>
                <w:rStyle w:val="2"/>
                <w:rFonts w:ascii="方正书宋_GBK" w:hAnsi="方正书宋_GBK" w:cs="方正书宋_GBK" w:eastAsia="方正书宋_GBK"/>
                <w:color w:val="000000"/>
                <w:sz w:val="18"/>
                <w:szCs w:val="18"/>
              </w:rPr>
              <w:t>踢脚线】【瓷砖】【   】</w:t>
            </w:r>
          </w:p>
        </w:tc>
        <w:tc>
          <w:tcPr>
            <w:tcW w:w="2159" w:type="dxa"/>
            <w:tcBorders>
              <w:top w:val="single" w:sz="4" w:space="0" w:color="000000"/>
              <w:start w:val="single" w:sz="4" w:space="0" w:color="000000"/>
              <w:bottom w:val="single" w:sz="4" w:space="0" w:color="000000"/>
              <w:end w:val="single" w:sz="4" w:space="0" w:color="000000"/>
            </w:tcBorders>
          </w:tcPr>
          <w:p>
            <w:pPr>
              <w:pStyle w:val="13"/>
              <w:snapToGrid w:val="false"/>
              <w:spacing w:lineRule="auto" w:line="240" w:before="0" w:after="0"/>
              <w:ind w:hanging="0" w:end="0"/>
              <w:rPr>
                <w:rStyle w:val="ArialUnicodeMS27"/>
                <w:rFonts w:ascii="方正书宋_GBK" w:hAnsi="方正书宋_GBK" w:eastAsia="方正书宋_GBK" w:cs="方正书宋_GBK"/>
                <w:color w:val="000000"/>
                <w:sz w:val="18"/>
                <w:szCs w:val="18"/>
              </w:rPr>
            </w:pPr>
            <w:r>
              <w:rPr/>
            </w:r>
          </w:p>
        </w:tc>
      </w:tr>
      <w:tr>
        <w:trPr>
          <w:trHeight w:val="499" w:hRule="atLeast"/>
        </w:trPr>
        <w:tc>
          <w:tcPr>
            <w:tcW w:w="1112" w:type="dxa"/>
            <w:vMerge w:val="restart"/>
            <w:tcBorders>
              <w:top w:val="single" w:sz="4" w:space="0" w:color="000000"/>
              <w:start w:val="single" w:sz="4" w:space="0" w:color="000000"/>
              <w:end w:val="single" w:sz="4" w:space="0" w:color="000000"/>
            </w:tcBorders>
            <w:vAlign w:val="center"/>
          </w:tcPr>
          <w:p>
            <w:pPr>
              <w:pStyle w:val="13"/>
              <w:spacing w:lineRule="auto" w:line="240" w:before="0" w:after="0"/>
              <w:ind w:hanging="0" w:end="0"/>
              <w:jc w:val="center"/>
              <w:rPr>
                <w:rFonts w:ascii="方正书宋_GBK" w:hAnsi="方正书宋_GBK" w:eastAsia="方正书宋_GBK" w:cs="方正书宋_GBK"/>
                <w:sz w:val="18"/>
                <w:szCs w:val="18"/>
              </w:rPr>
            </w:pPr>
            <w:r>
              <w:rPr>
                <w:rStyle w:val="4"/>
                <w:rFonts w:ascii="方正书宋_GBK" w:hAnsi="方正书宋_GBK" w:cs="方正书宋_GBK" w:eastAsia="方正书宋_GBK"/>
                <w:sz w:val="18"/>
                <w:szCs w:val="18"/>
              </w:rPr>
              <w:t>厨房</w:t>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顶棚</w:t>
            </w:r>
          </w:p>
        </w:tc>
        <w:tc>
          <w:tcPr>
            <w:tcW w:w="397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【抹灰砂浆】【石膏板】【   】</w:t>
            </w:r>
          </w:p>
        </w:tc>
        <w:tc>
          <w:tcPr>
            <w:tcW w:w="2159" w:type="dxa"/>
            <w:tcBorders>
              <w:top w:val="single" w:sz="4" w:space="0" w:color="000000"/>
              <w:start w:val="single" w:sz="4" w:space="0" w:color="000000"/>
              <w:bottom w:val="single" w:sz="4" w:space="0" w:color="000000"/>
              <w:end w:val="single" w:sz="4" w:space="0" w:color="000000"/>
            </w:tcBorders>
          </w:tcPr>
          <w:p>
            <w:pPr>
              <w:pStyle w:val="13"/>
              <w:snapToGrid w:val="false"/>
              <w:spacing w:lineRule="auto" w:line="240" w:before="0" w:after="0"/>
              <w:ind w:hanging="0" w:end="0"/>
              <w:rPr>
                <w:rStyle w:val="2"/>
                <w:rFonts w:ascii="方正书宋_GBK" w:hAnsi="方正书宋_GBK" w:eastAsia="方正书宋_GBK" w:cs="方正书宋_GBK"/>
                <w:color w:val="000000"/>
                <w:sz w:val="18"/>
                <w:szCs w:val="18"/>
              </w:rPr>
            </w:pPr>
            <w:r>
              <w:rPr/>
            </w:r>
          </w:p>
        </w:tc>
      </w:tr>
      <w:tr>
        <w:trPr>
          <w:trHeight w:val="499" w:hRule="atLeast"/>
        </w:trPr>
        <w:tc>
          <w:tcPr>
            <w:tcW w:w="1112" w:type="dxa"/>
            <w:vMerge w:val="continue"/>
            <w:tcBorders>
              <w:top w:val="single" w:sz="4" w:space="0" w:color="000000"/>
              <w:start w:val="single" w:sz="4" w:space="0" w:color="000000"/>
              <w:end w:val="single" w:sz="4" w:space="0" w:color="000000"/>
            </w:tcBorders>
            <w:vAlign w:val="center"/>
          </w:tcPr>
          <w:p>
            <w:pPr>
              <w:pStyle w:val="Normal"/>
              <w:snapToGrid w:val="false"/>
              <w:ind w:hanging="600" w:start="741" w:end="0"/>
              <w:jc w:val="start"/>
              <w:rPr>
                <w:rStyle w:val="2"/>
                <w:rFonts w:ascii="方正书宋_GBK" w:hAnsi="方正书宋_GBK" w:eastAsia="方正书宋_GBK" w:cs="方正书宋_GBK"/>
                <w:color w:val="000000"/>
                <w:sz w:val="18"/>
                <w:szCs w:val="18"/>
              </w:rPr>
            </w:pPr>
            <w:r>
              <w:rPr/>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墙面</w:t>
            </w:r>
          </w:p>
        </w:tc>
        <w:tc>
          <w:tcPr>
            <w:tcW w:w="397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【瓷砖】【耐水腻子】【   】</w:t>
            </w:r>
          </w:p>
        </w:tc>
        <w:tc>
          <w:tcPr>
            <w:tcW w:w="2159" w:type="dxa"/>
            <w:tcBorders>
              <w:top w:val="single" w:sz="4" w:space="0" w:color="000000"/>
              <w:start w:val="single" w:sz="4" w:space="0" w:color="000000"/>
              <w:bottom w:val="single" w:sz="4" w:space="0" w:color="000000"/>
              <w:end w:val="single" w:sz="4" w:space="0" w:color="000000"/>
            </w:tcBorders>
          </w:tcPr>
          <w:p>
            <w:pPr>
              <w:pStyle w:val="13"/>
              <w:snapToGrid w:val="false"/>
              <w:spacing w:lineRule="auto" w:line="240" w:before="0" w:after="0"/>
              <w:ind w:hanging="0" w:end="0"/>
              <w:rPr>
                <w:rStyle w:val="2pt5"/>
                <w:rFonts w:ascii="方正书宋_GBK" w:hAnsi="方正书宋_GBK" w:eastAsia="方正书宋_GBK" w:cs="方正书宋_GBK"/>
                <w:color w:val="000000"/>
                <w:sz w:val="18"/>
                <w:szCs w:val="18"/>
              </w:rPr>
            </w:pPr>
            <w:r>
              <w:rPr/>
            </w:r>
          </w:p>
        </w:tc>
      </w:tr>
      <w:tr>
        <w:trPr>
          <w:trHeight w:val="499" w:hRule="atLeast"/>
        </w:trPr>
        <w:tc>
          <w:tcPr>
            <w:tcW w:w="1112" w:type="dxa"/>
            <w:vMerge w:val="continue"/>
            <w:tcBorders>
              <w:top w:val="single" w:sz="4" w:space="0" w:color="000000"/>
              <w:start w:val="single" w:sz="4" w:space="0" w:color="000000"/>
              <w:end w:val="single" w:sz="4" w:space="0" w:color="000000"/>
            </w:tcBorders>
            <w:vAlign w:val="center"/>
          </w:tcPr>
          <w:p>
            <w:pPr>
              <w:pStyle w:val="Normal"/>
              <w:snapToGrid w:val="false"/>
              <w:ind w:hanging="600" w:start="741" w:end="0"/>
              <w:jc w:val="start"/>
              <w:rPr>
                <w:rStyle w:val="2pt5"/>
                <w:rFonts w:ascii="方正书宋_GBK" w:hAnsi="方正书宋_GBK" w:eastAsia="方正书宋_GBK" w:cs="方正书宋_GBK"/>
                <w:color w:val="000000"/>
                <w:sz w:val="18"/>
                <w:szCs w:val="18"/>
              </w:rPr>
            </w:pPr>
            <w:r>
              <w:rPr/>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地面</w:t>
            </w:r>
          </w:p>
        </w:tc>
        <w:tc>
          <w:tcPr>
            <w:tcW w:w="397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【实木地板】【瓷砖】</w:t>
            </w:r>
          </w:p>
        </w:tc>
        <w:tc>
          <w:tcPr>
            <w:tcW w:w="2159" w:type="dxa"/>
            <w:tcBorders>
              <w:top w:val="single" w:sz="4" w:space="0" w:color="000000"/>
              <w:start w:val="single" w:sz="4" w:space="0" w:color="000000"/>
              <w:bottom w:val="single" w:sz="4" w:space="0" w:color="000000"/>
              <w:end w:val="single" w:sz="4" w:space="0" w:color="000000"/>
            </w:tcBorders>
          </w:tcPr>
          <w:p>
            <w:pPr>
              <w:pStyle w:val="13"/>
              <w:snapToGrid w:val="false"/>
              <w:spacing w:lineRule="auto" w:line="240" w:before="0" w:after="0"/>
              <w:ind w:hanging="0" w:end="0"/>
              <w:rPr>
                <w:rStyle w:val="2pt5"/>
                <w:rFonts w:ascii="方正书宋_GBK" w:hAnsi="方正书宋_GBK" w:eastAsia="方正书宋_GBK" w:cs="方正书宋_GBK"/>
                <w:color w:val="000000"/>
                <w:sz w:val="18"/>
                <w:szCs w:val="18"/>
              </w:rPr>
            </w:pPr>
            <w:r>
              <w:rPr/>
            </w:r>
          </w:p>
        </w:tc>
      </w:tr>
      <w:tr>
        <w:trPr>
          <w:trHeight w:val="499" w:hRule="atLeast"/>
        </w:trPr>
        <w:tc>
          <w:tcPr>
            <w:tcW w:w="1112" w:type="dxa"/>
            <w:vMerge w:val="continue"/>
            <w:tcBorders>
              <w:top w:val="single" w:sz="4" w:space="0" w:color="000000"/>
              <w:start w:val="single" w:sz="4" w:space="0" w:color="000000"/>
              <w:end w:val="single" w:sz="4" w:space="0" w:color="000000"/>
            </w:tcBorders>
            <w:vAlign w:val="center"/>
          </w:tcPr>
          <w:p>
            <w:pPr>
              <w:pStyle w:val="Normal"/>
              <w:snapToGrid w:val="false"/>
              <w:ind w:hanging="600" w:start="741" w:end="0"/>
              <w:jc w:val="start"/>
              <w:rPr>
                <w:rStyle w:val="2pt5"/>
                <w:rFonts w:ascii="方正书宋_GBK" w:hAnsi="方正书宋_GBK" w:eastAsia="方正书宋_GBK" w:cs="方正书宋_GBK"/>
                <w:color w:val="000000"/>
                <w:sz w:val="18"/>
                <w:szCs w:val="18"/>
              </w:rPr>
            </w:pPr>
            <w:r>
              <w:rPr/>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踢脚</w:t>
            </w:r>
          </w:p>
        </w:tc>
        <w:tc>
          <w:tcPr>
            <w:tcW w:w="397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【不锈钢】【瓷砖】【   】</w:t>
            </w:r>
          </w:p>
        </w:tc>
        <w:tc>
          <w:tcPr>
            <w:tcW w:w="2159" w:type="dxa"/>
            <w:tcBorders>
              <w:top w:val="single" w:sz="4" w:space="0" w:color="000000"/>
              <w:start w:val="single" w:sz="4" w:space="0" w:color="000000"/>
              <w:bottom w:val="single" w:sz="4" w:space="0" w:color="000000"/>
              <w:end w:val="single" w:sz="4" w:space="0" w:color="000000"/>
            </w:tcBorders>
          </w:tcPr>
          <w:p>
            <w:pPr>
              <w:pStyle w:val="13"/>
              <w:snapToGrid w:val="false"/>
              <w:spacing w:lineRule="auto" w:line="240" w:before="0" w:after="0"/>
              <w:ind w:hanging="0" w:end="0"/>
              <w:rPr>
                <w:rStyle w:val="2pt5"/>
                <w:rFonts w:ascii="方正书宋_GBK" w:hAnsi="方正书宋_GBK" w:eastAsia="方正书宋_GBK" w:cs="方正书宋_GBK"/>
                <w:color w:val="000000"/>
                <w:sz w:val="18"/>
                <w:szCs w:val="18"/>
              </w:rPr>
            </w:pPr>
            <w:r>
              <w:rPr/>
            </w:r>
          </w:p>
        </w:tc>
      </w:tr>
      <w:tr>
        <w:trPr>
          <w:trHeight w:val="499" w:hRule="atLeast"/>
        </w:trPr>
        <w:tc>
          <w:tcPr>
            <w:tcW w:w="1112" w:type="dxa"/>
            <w:vMerge w:val="continue"/>
            <w:tcBorders>
              <w:top w:val="single" w:sz="4" w:space="0" w:color="000000"/>
              <w:start w:val="single" w:sz="4" w:space="0" w:color="000000"/>
              <w:end w:val="single" w:sz="4" w:space="0" w:color="000000"/>
            </w:tcBorders>
            <w:vAlign w:val="center"/>
          </w:tcPr>
          <w:p>
            <w:pPr>
              <w:pStyle w:val="Normal"/>
              <w:snapToGrid w:val="false"/>
              <w:ind w:hanging="600" w:start="741" w:end="0"/>
              <w:jc w:val="start"/>
              <w:rPr>
                <w:rStyle w:val="2pt5"/>
                <w:rFonts w:ascii="方正书宋_GBK" w:hAnsi="方正书宋_GBK" w:eastAsia="方正书宋_GBK" w:cs="方正书宋_GBK"/>
                <w:color w:val="000000"/>
                <w:sz w:val="18"/>
                <w:szCs w:val="18"/>
              </w:rPr>
            </w:pPr>
            <w:r>
              <w:rPr/>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窗台板</w:t>
            </w:r>
          </w:p>
        </w:tc>
        <w:tc>
          <w:tcPr>
            <w:tcW w:w="397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【大理石】【抹灰砂浆】【   】</w:t>
            </w:r>
          </w:p>
        </w:tc>
        <w:tc>
          <w:tcPr>
            <w:tcW w:w="2159" w:type="dxa"/>
            <w:tcBorders>
              <w:top w:val="single" w:sz="4" w:space="0" w:color="000000"/>
              <w:start w:val="single" w:sz="4" w:space="0" w:color="000000"/>
              <w:bottom w:val="single" w:sz="4" w:space="0" w:color="000000"/>
              <w:end w:val="single" w:sz="4" w:space="0" w:color="000000"/>
            </w:tcBorders>
          </w:tcPr>
          <w:p>
            <w:pPr>
              <w:pStyle w:val="13"/>
              <w:snapToGrid w:val="false"/>
              <w:spacing w:lineRule="auto" w:line="240" w:before="0" w:after="0"/>
              <w:ind w:hanging="0" w:end="0"/>
              <w:rPr>
                <w:rStyle w:val="2pt5"/>
                <w:rFonts w:ascii="方正书宋_GBK" w:hAnsi="方正书宋_GBK" w:eastAsia="方正书宋_GBK" w:cs="方正书宋_GBK"/>
                <w:color w:val="000000"/>
                <w:sz w:val="18"/>
                <w:szCs w:val="18"/>
              </w:rPr>
            </w:pPr>
            <w:r>
              <w:rPr/>
            </w:r>
          </w:p>
        </w:tc>
      </w:tr>
      <w:tr>
        <w:trPr>
          <w:trHeight w:val="499" w:hRule="atLeast"/>
        </w:trPr>
        <w:tc>
          <w:tcPr>
            <w:tcW w:w="1112" w:type="dxa"/>
            <w:vMerge w:val="restart"/>
            <w:tcBorders>
              <w:start w:val="single" w:sz="4" w:space="0" w:color="000000"/>
              <w:end w:val="single" w:sz="4" w:space="0" w:color="000000"/>
            </w:tcBorders>
            <w:vAlign w:val="center"/>
          </w:tcPr>
          <w:p>
            <w:pPr>
              <w:pStyle w:val="Normal"/>
              <w:ind w:hanging="333" w:start="652" w:end="0"/>
              <w:jc w:val="start"/>
              <w:rPr>
                <w:rFonts w:ascii="方正书宋_GBK" w:hAnsi="方正书宋_GBK" w:eastAsia="方正书宋_GBK" w:cs="方正书宋_GBK"/>
                <w:sz w:val="18"/>
                <w:szCs w:val="18"/>
              </w:rPr>
            </w:pPr>
            <w:r>
              <w:rPr>
                <w:rStyle w:val="4"/>
                <w:rFonts w:ascii="方正书宋_GBK" w:hAnsi="方正书宋_GBK" w:cs="方正书宋_GBK" w:eastAsia="方正书宋_GBK"/>
                <w:sz w:val="18"/>
                <w:szCs w:val="18"/>
                <w:lang w:eastAsia="zh-CN" w:bidi="ar-SA"/>
              </w:rPr>
              <w:t>卫生间</w:t>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顶棚</w:t>
            </w:r>
          </w:p>
        </w:tc>
        <w:tc>
          <w:tcPr>
            <w:tcW w:w="397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lang w:val="zh-CN"/>
              </w:rPr>
            </w:pPr>
            <w:r>
              <w:rPr>
                <w:rStyle w:val="2"/>
                <w:rFonts w:ascii="方正书宋_GBK" w:hAnsi="方正书宋_GBK" w:cs="方正书宋_GBK" w:eastAsia="方正书宋_GBK"/>
                <w:color w:val="000000"/>
                <w:sz w:val="18"/>
                <w:szCs w:val="18"/>
              </w:rPr>
              <w:t>【抹灰砂浆】【石膏板】【   】</w:t>
            </w:r>
          </w:p>
        </w:tc>
        <w:tc>
          <w:tcPr>
            <w:tcW w:w="2159" w:type="dxa"/>
            <w:tcBorders>
              <w:top w:val="single" w:sz="4" w:space="0" w:color="000000"/>
              <w:start w:val="single" w:sz="4" w:space="0" w:color="000000"/>
              <w:bottom w:val="single" w:sz="4" w:space="0" w:color="000000"/>
              <w:end w:val="single" w:sz="4" w:space="0" w:color="000000"/>
            </w:tcBorders>
          </w:tcPr>
          <w:p>
            <w:pPr>
              <w:pStyle w:val="13"/>
              <w:snapToGrid w:val="false"/>
              <w:spacing w:lineRule="auto" w:line="240" w:before="0" w:after="0"/>
              <w:ind w:hanging="0" w:end="0"/>
              <w:rPr>
                <w:rStyle w:val="2pt5"/>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lang w:val="zh-CN"/>
              </w:rPr>
            </w:r>
          </w:p>
        </w:tc>
      </w:tr>
      <w:tr>
        <w:trPr>
          <w:trHeight w:val="499" w:hRule="atLeast"/>
        </w:trPr>
        <w:tc>
          <w:tcPr>
            <w:tcW w:w="1112" w:type="dxa"/>
            <w:vMerge w:val="continue"/>
            <w:tcBorders>
              <w:start w:val="single" w:sz="4" w:space="0" w:color="000000"/>
              <w:end w:val="single" w:sz="4" w:space="0" w:color="000000"/>
            </w:tcBorders>
            <w:vAlign w:val="center"/>
          </w:tcPr>
          <w:p>
            <w:pPr>
              <w:pStyle w:val="Normal"/>
              <w:snapToGrid w:val="false"/>
              <w:ind w:hanging="600" w:start="741" w:end="0"/>
              <w:jc w:val="start"/>
              <w:rPr>
                <w:rStyle w:val="2pt5"/>
                <w:rFonts w:ascii="方正书宋_GBK" w:hAnsi="方正书宋_GBK" w:eastAsia="方正书宋_GBK" w:cs="方正书宋_GBK"/>
                <w:color w:val="000000"/>
                <w:sz w:val="18"/>
                <w:szCs w:val="18"/>
              </w:rPr>
            </w:pPr>
            <w:r>
              <w:rPr/>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墙面</w:t>
            </w:r>
          </w:p>
        </w:tc>
        <w:tc>
          <w:tcPr>
            <w:tcW w:w="397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lang w:val="zh-CN"/>
              </w:rPr>
            </w:pPr>
            <w:r>
              <w:rPr>
                <w:rStyle w:val="2"/>
                <w:rFonts w:ascii="方正书宋_GBK" w:hAnsi="方正书宋_GBK" w:cs="方正书宋_GBK" w:eastAsia="方正书宋_GBK"/>
                <w:color w:val="000000"/>
                <w:sz w:val="18"/>
                <w:szCs w:val="18"/>
              </w:rPr>
              <w:t>【瓷砖】【耐水腻子】【   】</w:t>
            </w:r>
          </w:p>
        </w:tc>
        <w:tc>
          <w:tcPr>
            <w:tcW w:w="2159" w:type="dxa"/>
            <w:tcBorders>
              <w:top w:val="single" w:sz="4" w:space="0" w:color="000000"/>
              <w:start w:val="single" w:sz="4" w:space="0" w:color="000000"/>
              <w:bottom w:val="single" w:sz="4" w:space="0" w:color="000000"/>
              <w:end w:val="single" w:sz="4" w:space="0" w:color="000000"/>
            </w:tcBorders>
          </w:tcPr>
          <w:p>
            <w:pPr>
              <w:pStyle w:val="13"/>
              <w:snapToGrid w:val="false"/>
              <w:spacing w:lineRule="auto" w:line="240" w:before="0" w:after="0"/>
              <w:ind w:hanging="0" w:end="0"/>
              <w:rPr>
                <w:rStyle w:val="2pt5"/>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lang w:val="zh-CN"/>
              </w:rPr>
            </w:r>
          </w:p>
        </w:tc>
      </w:tr>
      <w:tr>
        <w:trPr>
          <w:trHeight w:val="499" w:hRule="atLeast"/>
        </w:trPr>
        <w:tc>
          <w:tcPr>
            <w:tcW w:w="1112" w:type="dxa"/>
            <w:vMerge w:val="continue"/>
            <w:tcBorders>
              <w:start w:val="single" w:sz="4" w:space="0" w:color="000000"/>
              <w:end w:val="single" w:sz="4" w:space="0" w:color="000000"/>
            </w:tcBorders>
            <w:vAlign w:val="center"/>
          </w:tcPr>
          <w:p>
            <w:pPr>
              <w:pStyle w:val="Normal"/>
              <w:snapToGrid w:val="false"/>
              <w:ind w:hanging="600" w:start="741" w:end="0"/>
              <w:jc w:val="start"/>
              <w:rPr>
                <w:rStyle w:val="2pt5"/>
                <w:rFonts w:ascii="方正书宋_GBK" w:hAnsi="方正书宋_GBK" w:eastAsia="方正书宋_GBK" w:cs="方正书宋_GBK"/>
                <w:color w:val="000000"/>
                <w:sz w:val="18"/>
                <w:szCs w:val="18"/>
              </w:rPr>
            </w:pPr>
            <w:r>
              <w:rPr/>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地面</w:t>
            </w:r>
          </w:p>
        </w:tc>
        <w:tc>
          <w:tcPr>
            <w:tcW w:w="397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lang w:val="zh-CN"/>
              </w:rPr>
            </w:pPr>
            <w:r>
              <w:rPr>
                <w:rStyle w:val="2"/>
                <w:rFonts w:ascii="方正书宋_GBK" w:hAnsi="方正书宋_GBK" w:cs="方正书宋_GBK" w:eastAsia="方正书宋_GBK"/>
                <w:color w:val="000000"/>
                <w:sz w:val="18"/>
                <w:szCs w:val="18"/>
              </w:rPr>
              <w:t>【实木地板】【瓷砖】</w:t>
            </w:r>
          </w:p>
        </w:tc>
        <w:tc>
          <w:tcPr>
            <w:tcW w:w="2159" w:type="dxa"/>
            <w:tcBorders>
              <w:top w:val="single" w:sz="4" w:space="0" w:color="000000"/>
              <w:start w:val="single" w:sz="4" w:space="0" w:color="000000"/>
              <w:bottom w:val="single" w:sz="4" w:space="0" w:color="000000"/>
              <w:end w:val="single" w:sz="4" w:space="0" w:color="000000"/>
            </w:tcBorders>
          </w:tcPr>
          <w:p>
            <w:pPr>
              <w:pStyle w:val="13"/>
              <w:snapToGrid w:val="false"/>
              <w:spacing w:lineRule="auto" w:line="240" w:before="0" w:after="0"/>
              <w:ind w:hanging="0" w:end="0"/>
              <w:rPr>
                <w:rStyle w:val="2pt5"/>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lang w:val="zh-CN"/>
              </w:rPr>
            </w:r>
          </w:p>
        </w:tc>
      </w:tr>
      <w:tr>
        <w:trPr>
          <w:trHeight w:val="499" w:hRule="atLeast"/>
        </w:trPr>
        <w:tc>
          <w:tcPr>
            <w:tcW w:w="1112" w:type="dxa"/>
            <w:vMerge w:val="continue"/>
            <w:tcBorders>
              <w:start w:val="single" w:sz="4" w:space="0" w:color="000000"/>
              <w:end w:val="single" w:sz="4" w:space="0" w:color="000000"/>
            </w:tcBorders>
            <w:vAlign w:val="center"/>
          </w:tcPr>
          <w:p>
            <w:pPr>
              <w:pStyle w:val="Normal"/>
              <w:snapToGrid w:val="false"/>
              <w:ind w:hanging="600" w:start="741" w:end="0"/>
              <w:jc w:val="start"/>
              <w:rPr>
                <w:rStyle w:val="2pt5"/>
                <w:rFonts w:ascii="方正书宋_GBK" w:hAnsi="方正书宋_GBK" w:eastAsia="方正书宋_GBK" w:cs="方正书宋_GBK"/>
                <w:color w:val="000000"/>
                <w:sz w:val="18"/>
                <w:szCs w:val="18"/>
              </w:rPr>
            </w:pPr>
            <w:r>
              <w:rPr/>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踢脚</w:t>
            </w:r>
          </w:p>
        </w:tc>
        <w:tc>
          <w:tcPr>
            <w:tcW w:w="397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lang w:val="zh-CN"/>
              </w:rPr>
            </w:pPr>
            <w:r>
              <w:rPr>
                <w:rStyle w:val="2"/>
                <w:rFonts w:ascii="方正书宋_GBK" w:hAnsi="方正书宋_GBK" w:cs="方正书宋_GBK" w:eastAsia="方正书宋_GBK"/>
                <w:color w:val="000000"/>
                <w:sz w:val="18"/>
                <w:szCs w:val="18"/>
              </w:rPr>
              <w:t>【不锈钢】【瓷砖】【   】</w:t>
            </w:r>
          </w:p>
        </w:tc>
        <w:tc>
          <w:tcPr>
            <w:tcW w:w="2159" w:type="dxa"/>
            <w:tcBorders>
              <w:top w:val="single" w:sz="4" w:space="0" w:color="000000"/>
              <w:start w:val="single" w:sz="4" w:space="0" w:color="000000"/>
              <w:bottom w:val="single" w:sz="4" w:space="0" w:color="000000"/>
              <w:end w:val="single" w:sz="4" w:space="0" w:color="000000"/>
            </w:tcBorders>
          </w:tcPr>
          <w:p>
            <w:pPr>
              <w:pStyle w:val="13"/>
              <w:snapToGrid w:val="false"/>
              <w:spacing w:lineRule="auto" w:line="240" w:before="0" w:after="0"/>
              <w:ind w:hanging="0" w:end="0"/>
              <w:rPr>
                <w:rStyle w:val="2pt5"/>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lang w:val="zh-CN"/>
              </w:rPr>
            </w:r>
          </w:p>
        </w:tc>
      </w:tr>
      <w:tr>
        <w:trPr>
          <w:trHeight w:val="499" w:hRule="atLeast"/>
        </w:trPr>
        <w:tc>
          <w:tcPr>
            <w:tcW w:w="1112" w:type="dxa"/>
            <w:vMerge w:val="continue"/>
            <w:tcBorders>
              <w:start w:val="single" w:sz="4" w:space="0" w:color="000000"/>
              <w:end w:val="single" w:sz="4" w:space="0" w:color="000000"/>
            </w:tcBorders>
            <w:vAlign w:val="center"/>
          </w:tcPr>
          <w:p>
            <w:pPr>
              <w:pStyle w:val="Normal"/>
              <w:snapToGrid w:val="false"/>
              <w:ind w:hanging="600" w:start="741" w:end="0"/>
              <w:jc w:val="start"/>
              <w:rPr>
                <w:rStyle w:val="2pt5"/>
                <w:rFonts w:ascii="方正书宋_GBK" w:hAnsi="方正书宋_GBK" w:eastAsia="方正书宋_GBK" w:cs="方正书宋_GBK"/>
                <w:color w:val="000000"/>
                <w:sz w:val="18"/>
                <w:szCs w:val="18"/>
              </w:rPr>
            </w:pPr>
            <w:r>
              <w:rPr/>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窗台板</w:t>
            </w:r>
          </w:p>
        </w:tc>
        <w:tc>
          <w:tcPr>
            <w:tcW w:w="397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lang w:val="zh-CN"/>
              </w:rPr>
            </w:pPr>
            <w:r>
              <w:rPr>
                <w:rStyle w:val="2"/>
                <w:rFonts w:ascii="方正书宋_GBK" w:hAnsi="方正书宋_GBK" w:cs="方正书宋_GBK" w:eastAsia="方正书宋_GBK"/>
                <w:color w:val="000000"/>
                <w:sz w:val="18"/>
                <w:szCs w:val="18"/>
              </w:rPr>
              <w:t>【大理石】【抹灰砂浆】【   】</w:t>
            </w:r>
          </w:p>
        </w:tc>
        <w:tc>
          <w:tcPr>
            <w:tcW w:w="2159" w:type="dxa"/>
            <w:tcBorders>
              <w:top w:val="single" w:sz="4" w:space="0" w:color="000000"/>
              <w:start w:val="single" w:sz="4" w:space="0" w:color="000000"/>
              <w:bottom w:val="single" w:sz="4" w:space="0" w:color="000000"/>
              <w:end w:val="single" w:sz="4" w:space="0" w:color="000000"/>
            </w:tcBorders>
          </w:tcPr>
          <w:p>
            <w:pPr>
              <w:pStyle w:val="13"/>
              <w:snapToGrid w:val="false"/>
              <w:spacing w:lineRule="auto" w:line="240" w:before="0" w:after="0"/>
              <w:ind w:hanging="0" w:end="0"/>
              <w:rPr>
                <w:rStyle w:val="2pt5"/>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lang w:val="zh-CN"/>
              </w:rPr>
            </w:r>
          </w:p>
        </w:tc>
      </w:tr>
      <w:tr>
        <w:trPr>
          <w:trHeight w:val="499" w:hRule="atLeast"/>
        </w:trPr>
        <w:tc>
          <w:tcPr>
            <w:tcW w:w="1112" w:type="dxa"/>
            <w:vMerge w:val="restart"/>
            <w:tcBorders>
              <w:top w:val="single" w:sz="4" w:space="0" w:color="000000"/>
              <w:start w:val="single" w:sz="4" w:space="0" w:color="000000"/>
              <w:end w:val="single" w:sz="4" w:space="0" w:color="000000"/>
            </w:tcBorders>
            <w:vAlign w:val="center"/>
          </w:tcPr>
          <w:p>
            <w:pPr>
              <w:pStyle w:val="13"/>
              <w:spacing w:lineRule="auto" w:line="240" w:before="120" w:after="0"/>
              <w:ind w:hanging="0" w:end="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阳台</w:t>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b/>
                <w:sz w:val="18"/>
                <w:szCs w:val="18"/>
              </w:rPr>
            </w:pPr>
            <w:r>
              <w:rPr>
                <w:rStyle w:val="2"/>
                <w:rFonts w:ascii="方正书宋_GBK" w:hAnsi="方正书宋_GBK" w:cs="方正书宋_GBK" w:eastAsia="方正书宋_GBK"/>
                <w:color w:val="000000"/>
                <w:sz w:val="18"/>
                <w:szCs w:val="18"/>
              </w:rPr>
              <w:t>顶棚</w:t>
            </w:r>
          </w:p>
        </w:tc>
        <w:tc>
          <w:tcPr>
            <w:tcW w:w="397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【涂料】【石膏板】【   】</w:t>
            </w:r>
          </w:p>
        </w:tc>
        <w:tc>
          <w:tcPr>
            <w:tcW w:w="2159" w:type="dxa"/>
            <w:tcBorders>
              <w:top w:val="single" w:sz="4" w:space="0" w:color="000000"/>
              <w:start w:val="single" w:sz="4" w:space="0" w:color="000000"/>
              <w:bottom w:val="single" w:sz="4" w:space="0" w:color="000000"/>
              <w:end w:val="single" w:sz="4" w:space="0" w:color="000000"/>
            </w:tcBorders>
          </w:tcPr>
          <w:p>
            <w:pPr>
              <w:pStyle w:val="13"/>
              <w:snapToGrid w:val="false"/>
              <w:spacing w:lineRule="auto" w:line="240" w:before="0" w:after="0"/>
              <w:ind w:hanging="0" w:end="0"/>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r>
      <w:tr>
        <w:trPr>
          <w:trHeight w:val="499" w:hRule="atLeast"/>
        </w:trPr>
        <w:tc>
          <w:tcPr>
            <w:tcW w:w="1112" w:type="dxa"/>
            <w:vMerge w:val="continue"/>
            <w:tcBorders>
              <w:top w:val="single" w:sz="4" w:space="0" w:color="000000"/>
              <w:start w:val="single" w:sz="4" w:space="0" w:color="000000"/>
              <w:end w:val="single" w:sz="4" w:space="0" w:color="000000"/>
            </w:tcBorders>
            <w:vAlign w:val="center"/>
          </w:tcPr>
          <w:p>
            <w:pPr>
              <w:pStyle w:val="13"/>
              <w:snapToGrid w:val="false"/>
              <w:spacing w:lineRule="auto" w:line="240" w:before="120" w:after="0"/>
              <w:ind w:hanging="0" w:end="0"/>
              <w:jc w:val="center"/>
              <w:rPr>
                <w:rStyle w:val="2"/>
                <w:rFonts w:ascii="方正书宋_GBK" w:hAnsi="方正书宋_GBK" w:eastAsia="方正书宋_GBK" w:cs="方正书宋_GBK"/>
                <w:color w:val="000000"/>
                <w:sz w:val="18"/>
                <w:szCs w:val="18"/>
              </w:rPr>
            </w:pPr>
            <w:r>
              <w:rPr/>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晾衣杆</w:t>
            </w:r>
          </w:p>
        </w:tc>
        <w:tc>
          <w:tcPr>
            <w:tcW w:w="397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【不锈钢】【铝合金】【   】</w:t>
            </w:r>
          </w:p>
        </w:tc>
        <w:tc>
          <w:tcPr>
            <w:tcW w:w="2159" w:type="dxa"/>
            <w:tcBorders>
              <w:top w:val="single" w:sz="4" w:space="0" w:color="000000"/>
              <w:start w:val="single" w:sz="4" w:space="0" w:color="000000"/>
              <w:bottom w:val="single" w:sz="4" w:space="0" w:color="000000"/>
              <w:end w:val="single" w:sz="4" w:space="0" w:color="000000"/>
            </w:tcBorders>
          </w:tcPr>
          <w:p>
            <w:pPr>
              <w:pStyle w:val="13"/>
              <w:snapToGrid w:val="false"/>
              <w:spacing w:lineRule="auto" w:line="240" w:before="0" w:after="0"/>
              <w:ind w:hanging="0" w:end="0"/>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r>
      <w:tr>
        <w:trPr>
          <w:trHeight w:val="499" w:hRule="atLeast"/>
        </w:trPr>
        <w:tc>
          <w:tcPr>
            <w:tcW w:w="1112" w:type="dxa"/>
            <w:vMerge w:val="continue"/>
            <w:tcBorders>
              <w:top w:val="single" w:sz="4" w:space="0" w:color="000000"/>
              <w:start w:val="single" w:sz="4" w:space="0" w:color="000000"/>
              <w:end w:val="single" w:sz="4" w:space="0" w:color="000000"/>
            </w:tcBorders>
            <w:vAlign w:val="center"/>
          </w:tcPr>
          <w:p>
            <w:pPr>
              <w:pStyle w:val="13"/>
              <w:snapToGrid w:val="false"/>
              <w:spacing w:lineRule="auto" w:line="240" w:before="0" w:after="0"/>
              <w:ind w:hanging="0" w:end="0"/>
              <w:rPr>
                <w:rStyle w:val="2"/>
                <w:rFonts w:ascii="方正书宋_GBK" w:hAnsi="方正书宋_GBK" w:eastAsia="方正书宋_GBK" w:cs="方正书宋_GBK"/>
                <w:color w:val="000000"/>
                <w:sz w:val="18"/>
                <w:szCs w:val="18"/>
              </w:rPr>
            </w:pPr>
            <w:r>
              <w:rPr/>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墙面</w:t>
            </w:r>
          </w:p>
        </w:tc>
        <w:tc>
          <w:tcPr>
            <w:tcW w:w="397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【涂料】【瓷砖】【   】</w:t>
            </w:r>
          </w:p>
        </w:tc>
        <w:tc>
          <w:tcPr>
            <w:tcW w:w="2159" w:type="dxa"/>
            <w:tcBorders>
              <w:top w:val="single" w:sz="4" w:space="0" w:color="000000"/>
              <w:start w:val="single" w:sz="4" w:space="0" w:color="000000"/>
              <w:bottom w:val="single" w:sz="4" w:space="0" w:color="000000"/>
              <w:end w:val="single" w:sz="4" w:space="0" w:color="000000"/>
            </w:tcBorders>
          </w:tcPr>
          <w:p>
            <w:pPr>
              <w:pStyle w:val="13"/>
              <w:snapToGrid w:val="false"/>
              <w:spacing w:lineRule="auto" w:line="240" w:before="0" w:after="0"/>
              <w:ind w:hanging="0" w:end="0"/>
              <w:rPr>
                <w:rStyle w:val="2"/>
                <w:rFonts w:ascii="方正书宋_GBK" w:hAnsi="方正书宋_GBK" w:eastAsia="方正书宋_GBK" w:cs="方正书宋_GBK"/>
                <w:color w:val="000000"/>
                <w:sz w:val="18"/>
                <w:szCs w:val="18"/>
              </w:rPr>
            </w:pPr>
            <w:r>
              <w:rPr/>
            </w:r>
          </w:p>
        </w:tc>
      </w:tr>
      <w:tr>
        <w:trPr>
          <w:trHeight w:val="499" w:hRule="atLeast"/>
        </w:trPr>
        <w:tc>
          <w:tcPr>
            <w:tcW w:w="1112" w:type="dxa"/>
            <w:vMerge w:val="continue"/>
            <w:tcBorders>
              <w:top w:val="single" w:sz="4" w:space="0" w:color="000000"/>
              <w:start w:val="single" w:sz="4" w:space="0" w:color="000000"/>
              <w:end w:val="single" w:sz="4" w:space="0" w:color="000000"/>
            </w:tcBorders>
            <w:vAlign w:val="center"/>
          </w:tcPr>
          <w:p>
            <w:pPr>
              <w:pStyle w:val="13"/>
              <w:snapToGrid w:val="false"/>
              <w:spacing w:lineRule="auto" w:line="240" w:before="0" w:after="0"/>
              <w:ind w:hanging="0" w:end="0"/>
              <w:rPr>
                <w:rStyle w:val="2"/>
                <w:rFonts w:ascii="方正书宋_GBK" w:hAnsi="方正书宋_GBK" w:eastAsia="方正书宋_GBK" w:cs="方正书宋_GBK"/>
                <w:color w:val="000000"/>
                <w:sz w:val="18"/>
                <w:szCs w:val="18"/>
              </w:rPr>
            </w:pPr>
            <w:r>
              <w:rPr/>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地面</w:t>
            </w:r>
          </w:p>
        </w:tc>
        <w:tc>
          <w:tcPr>
            <w:tcW w:w="397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【实木地板】【实木复合地板】【瓷砖】【   】</w:t>
            </w:r>
          </w:p>
        </w:tc>
        <w:tc>
          <w:tcPr>
            <w:tcW w:w="2159" w:type="dxa"/>
            <w:tcBorders>
              <w:top w:val="single" w:sz="4" w:space="0" w:color="000000"/>
              <w:start w:val="single" w:sz="4" w:space="0" w:color="000000"/>
              <w:bottom w:val="single" w:sz="4" w:space="0" w:color="000000"/>
              <w:end w:val="single" w:sz="4" w:space="0" w:color="000000"/>
            </w:tcBorders>
          </w:tcPr>
          <w:p>
            <w:pPr>
              <w:pStyle w:val="13"/>
              <w:snapToGrid w:val="false"/>
              <w:spacing w:lineRule="auto" w:line="240" w:before="0" w:after="0"/>
              <w:ind w:hanging="0" w:end="0"/>
              <w:rPr>
                <w:rStyle w:val="2"/>
                <w:rFonts w:ascii="方正书宋_GBK" w:hAnsi="方正书宋_GBK" w:eastAsia="方正书宋_GBK" w:cs="方正书宋_GBK"/>
                <w:color w:val="000000"/>
                <w:sz w:val="18"/>
                <w:szCs w:val="18"/>
              </w:rPr>
            </w:pPr>
            <w:r>
              <w:rPr/>
            </w:r>
          </w:p>
        </w:tc>
      </w:tr>
      <w:tr>
        <w:trPr>
          <w:trHeight w:val="499" w:hRule="atLeast"/>
        </w:trPr>
        <w:tc>
          <w:tcPr>
            <w:tcW w:w="1112" w:type="dxa"/>
            <w:vMerge w:val="continue"/>
            <w:tcBorders>
              <w:top w:val="single" w:sz="4" w:space="0" w:color="000000"/>
              <w:start w:val="single" w:sz="4" w:space="0" w:color="000000"/>
              <w:end w:val="single" w:sz="4" w:space="0" w:color="000000"/>
            </w:tcBorders>
            <w:vAlign w:val="center"/>
          </w:tcPr>
          <w:p>
            <w:pPr>
              <w:pStyle w:val="13"/>
              <w:snapToGrid w:val="false"/>
              <w:spacing w:lineRule="auto" w:line="240" w:before="0" w:after="0"/>
              <w:ind w:hanging="0" w:end="0"/>
              <w:rPr>
                <w:rStyle w:val="2"/>
                <w:rFonts w:ascii="方正书宋_GBK" w:hAnsi="方正书宋_GBK" w:eastAsia="方正书宋_GBK" w:cs="方正书宋_GBK"/>
                <w:color w:val="000000"/>
                <w:sz w:val="18"/>
                <w:szCs w:val="18"/>
              </w:rPr>
            </w:pPr>
            <w:r>
              <w:rPr/>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踢脚</w:t>
            </w:r>
          </w:p>
        </w:tc>
        <w:tc>
          <w:tcPr>
            <w:tcW w:w="397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【木质踢脚线】【</w:t>
            </w:r>
            <w:r>
              <w:rPr>
                <w:rStyle w:val="2"/>
                <w:rFonts w:eastAsia="方正书宋_GBK" w:cs="方正书宋_GBK" w:ascii="方正书宋_GBK" w:hAnsi="方正书宋_GBK"/>
                <w:color w:val="000000"/>
                <w:sz w:val="18"/>
                <w:szCs w:val="18"/>
              </w:rPr>
              <w:t>PVC</w:t>
            </w:r>
            <w:r>
              <w:rPr>
                <w:rStyle w:val="2"/>
                <w:rFonts w:ascii="方正书宋_GBK" w:hAnsi="方正书宋_GBK" w:cs="方正书宋_GBK" w:eastAsia="方正书宋_GBK"/>
                <w:color w:val="000000"/>
                <w:sz w:val="18"/>
                <w:szCs w:val="18"/>
              </w:rPr>
              <w:t>踢脚线】【瓷砖】【   】</w:t>
            </w:r>
          </w:p>
        </w:tc>
        <w:tc>
          <w:tcPr>
            <w:tcW w:w="2159" w:type="dxa"/>
            <w:tcBorders>
              <w:top w:val="single" w:sz="4" w:space="0" w:color="000000"/>
              <w:start w:val="single" w:sz="4" w:space="0" w:color="000000"/>
              <w:bottom w:val="single" w:sz="4" w:space="0" w:color="000000"/>
              <w:end w:val="single" w:sz="4" w:space="0" w:color="000000"/>
            </w:tcBorders>
          </w:tcPr>
          <w:p>
            <w:pPr>
              <w:pStyle w:val="13"/>
              <w:snapToGrid w:val="false"/>
              <w:spacing w:lineRule="auto" w:line="240" w:before="0" w:after="0"/>
              <w:ind w:hanging="0" w:end="0"/>
              <w:rPr>
                <w:rStyle w:val="2"/>
                <w:rFonts w:ascii="方正书宋_GBK" w:hAnsi="方正书宋_GBK" w:eastAsia="方正书宋_GBK" w:cs="方正书宋_GBK"/>
                <w:color w:val="000000"/>
                <w:sz w:val="18"/>
                <w:szCs w:val="18"/>
              </w:rPr>
            </w:pPr>
            <w:r>
              <w:rPr/>
            </w:r>
          </w:p>
        </w:tc>
      </w:tr>
      <w:tr>
        <w:trPr>
          <w:trHeight w:val="499" w:hRule="atLeast"/>
        </w:trPr>
        <w:tc>
          <w:tcPr>
            <w:tcW w:w="1112" w:type="dxa"/>
            <w:vMerge w:val="continue"/>
            <w:tcBorders>
              <w:top w:val="single" w:sz="4" w:space="0" w:color="000000"/>
              <w:start w:val="single" w:sz="4" w:space="0" w:color="000000"/>
              <w:end w:val="single" w:sz="4" w:space="0" w:color="000000"/>
            </w:tcBorders>
            <w:vAlign w:val="center"/>
          </w:tcPr>
          <w:p>
            <w:pPr>
              <w:pStyle w:val="13"/>
              <w:snapToGrid w:val="false"/>
              <w:spacing w:lineRule="auto" w:line="240" w:before="0" w:after="0"/>
              <w:ind w:hanging="0" w:end="0"/>
              <w:rPr>
                <w:rStyle w:val="2"/>
                <w:rFonts w:ascii="方正书宋_GBK" w:hAnsi="方正书宋_GBK" w:eastAsia="方正书宋_GBK" w:cs="方正书宋_GBK"/>
                <w:color w:val="000000"/>
                <w:sz w:val="18"/>
                <w:szCs w:val="18"/>
              </w:rPr>
            </w:pPr>
            <w:r>
              <w:rPr/>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jc w:val="both"/>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窗台板</w:t>
            </w:r>
          </w:p>
        </w:tc>
        <w:tc>
          <w:tcPr>
            <w:tcW w:w="397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【大理石】【抹灰砂浆】【   】</w:t>
            </w:r>
          </w:p>
        </w:tc>
        <w:tc>
          <w:tcPr>
            <w:tcW w:w="2159" w:type="dxa"/>
            <w:tcBorders>
              <w:top w:val="single" w:sz="4" w:space="0" w:color="000000"/>
              <w:start w:val="single" w:sz="4" w:space="0" w:color="000000"/>
              <w:bottom w:val="single" w:sz="4" w:space="0" w:color="000000"/>
              <w:end w:val="single" w:sz="4" w:space="0" w:color="000000"/>
            </w:tcBorders>
          </w:tcPr>
          <w:p>
            <w:pPr>
              <w:pStyle w:val="13"/>
              <w:snapToGrid w:val="false"/>
              <w:spacing w:lineRule="auto" w:line="240" w:before="0" w:after="0"/>
              <w:ind w:hanging="0" w:end="0"/>
              <w:rPr>
                <w:rStyle w:val="2"/>
                <w:rFonts w:ascii="方正书宋_GBK" w:hAnsi="方正书宋_GBK" w:eastAsia="方正书宋_GBK" w:cs="方正书宋_GBK"/>
                <w:color w:val="000000"/>
                <w:sz w:val="18"/>
                <w:szCs w:val="18"/>
              </w:rPr>
            </w:pPr>
            <w:r>
              <w:rPr/>
            </w:r>
          </w:p>
        </w:tc>
      </w:tr>
    </w:tbl>
    <w:p>
      <w:pPr>
        <w:pStyle w:val="13"/>
        <w:keepNext w:val="false"/>
        <w:keepLines w:val="false"/>
        <w:pageBreakBefore w:val="false"/>
        <w:widowControl w:val="false"/>
        <w:kinsoku w:val="true"/>
        <w:overflowPunct w:val="true"/>
        <w:autoSpaceDE w:val="true"/>
        <w:bidi w:val="0"/>
        <w:snapToGrid w:val="true"/>
        <w:spacing w:lineRule="exact" w:line="420" w:before="0" w:after="0"/>
        <w:ind w:firstLine="440" w:end="0"/>
        <w:textAlignment w:val="auto"/>
        <w:rPr/>
      </w:pPr>
      <w:r>
        <w:rPr>
          <w:rStyle w:val="2"/>
          <w:rFonts w:eastAsia="方正书宋_GBK" w:cs="方正书宋_GBK" w:ascii="方正书宋_GBK" w:hAnsi="方正书宋_GBK"/>
          <w:color w:val="000000"/>
          <w:sz w:val="22"/>
          <w:szCs w:val="22"/>
        </w:rPr>
        <w:t>7.</w:t>
      </w:r>
      <w:r>
        <w:rPr>
          <w:rStyle w:val="2"/>
          <w:rFonts w:ascii="方正书宋_GBK" w:hAnsi="方正书宋_GBK" w:cs="方正书宋_GBK" w:eastAsia="方正书宋_GBK"/>
          <w:color w:val="000000"/>
          <w:sz w:val="22"/>
          <w:szCs w:val="22"/>
        </w:rPr>
        <w:t>设备设施：</w:t>
      </w:r>
    </w:p>
    <w:tbl>
      <w:tblPr>
        <w:tblW w:w="8515" w:type="dxa"/>
        <w:jc w:val="start"/>
        <w:tblInd w:w="-6" w:type="dxa"/>
        <w:tblLayout w:type="fixed"/>
        <w:tblCellMar>
          <w:top w:w="0" w:type="dxa"/>
          <w:start w:w="10" w:type="dxa"/>
          <w:bottom w:w="0" w:type="dxa"/>
          <w:end w:w="10" w:type="dxa"/>
        </w:tblCellMar>
      </w:tblPr>
      <w:tblGrid>
        <w:gridCol w:w="861"/>
        <w:gridCol w:w="1276"/>
        <w:gridCol w:w="2551"/>
        <w:gridCol w:w="2552"/>
        <w:gridCol w:w="1275"/>
      </w:tblGrid>
      <w:tr>
        <w:trPr>
          <w:trHeight w:val="567" w:hRule="atLeast"/>
        </w:trPr>
        <w:tc>
          <w:tcPr>
            <w:tcW w:w="2137" w:type="dxa"/>
            <w:gridSpan w:val="2"/>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jc w:val="center"/>
              <w:rPr>
                <w:rStyle w:val="2"/>
                <w:rFonts w:ascii="方正书宋_GBK" w:hAnsi="方正书宋_GBK" w:eastAsia="方正书宋_GBK" w:cs="方正书宋_GBK"/>
                <w:b/>
                <w:bCs/>
                <w:color w:val="000000"/>
                <w:sz w:val="18"/>
                <w:szCs w:val="18"/>
              </w:rPr>
            </w:pPr>
            <w:r>
              <w:rPr>
                <w:rStyle w:val="2"/>
                <w:rFonts w:ascii="方正书宋_GBK" w:hAnsi="方正书宋_GBK" w:cs="方正书宋_GBK" w:eastAsia="方正书宋_GBK"/>
                <w:b/>
                <w:bCs/>
                <w:color w:val="000000"/>
                <w:sz w:val="18"/>
                <w:szCs w:val="18"/>
              </w:rPr>
              <w:t>设备设施内容</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jc w:val="center"/>
              <w:rPr>
                <w:rStyle w:val="2"/>
                <w:rFonts w:ascii="方正书宋_GBK" w:hAnsi="方正书宋_GBK" w:eastAsia="方正书宋_GBK" w:cs="方正书宋_GBK"/>
                <w:b/>
                <w:bCs/>
                <w:color w:val="000000"/>
                <w:sz w:val="18"/>
                <w:szCs w:val="18"/>
              </w:rPr>
            </w:pPr>
            <w:r>
              <w:rPr>
                <w:rStyle w:val="2"/>
                <w:rFonts w:ascii="方正书宋_GBK" w:hAnsi="方正书宋_GBK" w:cs="方正书宋_GBK" w:eastAsia="方正书宋_GBK"/>
                <w:b/>
                <w:bCs/>
                <w:color w:val="000000"/>
                <w:sz w:val="18"/>
                <w:szCs w:val="18"/>
              </w:rPr>
              <w:t>品牌（绿色建材等级）</w:t>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pacing w:before="120" w:after="0"/>
              <w:ind w:firstLine="110" w:end="0"/>
              <w:jc w:val="center"/>
              <w:rPr>
                <w:rStyle w:val="2"/>
                <w:rFonts w:ascii="方正书宋_GBK" w:hAnsi="方正书宋_GBK" w:eastAsia="方正书宋_GBK" w:cs="方正书宋_GBK"/>
                <w:b/>
                <w:bCs/>
                <w:color w:val="000000"/>
                <w:sz w:val="18"/>
                <w:szCs w:val="18"/>
              </w:rPr>
            </w:pPr>
            <w:r>
              <w:rPr>
                <w:rStyle w:val="2"/>
                <w:rFonts w:ascii="方正书宋_GBK" w:hAnsi="方正书宋_GBK" w:cs="方正书宋_GBK" w:eastAsia="方正书宋_GBK"/>
                <w:b/>
                <w:bCs/>
                <w:color w:val="000000"/>
                <w:sz w:val="18"/>
                <w:szCs w:val="18"/>
              </w:rPr>
              <w:t>型号（做法）</w:t>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pacing w:before="120" w:after="0"/>
              <w:ind w:firstLine="110" w:end="0"/>
              <w:jc w:val="center"/>
              <w:rPr>
                <w:rStyle w:val="2"/>
                <w:rFonts w:ascii="方正书宋_GBK" w:hAnsi="方正书宋_GBK" w:eastAsia="方正书宋_GBK" w:cs="方正书宋_GBK"/>
                <w:b/>
                <w:bCs/>
                <w:color w:val="000000"/>
                <w:sz w:val="18"/>
                <w:szCs w:val="18"/>
              </w:rPr>
            </w:pPr>
            <w:r>
              <w:rPr>
                <w:rStyle w:val="2"/>
                <w:rFonts w:ascii="方正书宋_GBK" w:hAnsi="方正书宋_GBK" w:cs="方正书宋_GBK" w:eastAsia="方正书宋_GBK"/>
                <w:b/>
                <w:bCs/>
                <w:color w:val="000000"/>
                <w:sz w:val="18"/>
                <w:szCs w:val="18"/>
              </w:rPr>
              <w:t>数量</w:t>
            </w:r>
          </w:p>
        </w:tc>
      </w:tr>
      <w:tr>
        <w:trPr>
          <w:trHeight w:val="544" w:hRule="atLeast"/>
        </w:trPr>
        <w:tc>
          <w:tcPr>
            <w:tcW w:w="861" w:type="dxa"/>
            <w:vMerge w:val="restart"/>
            <w:tcBorders>
              <w:top w:val="single" w:sz="4" w:space="0" w:color="000000"/>
              <w:start w:val="single" w:sz="4" w:space="0" w:color="000000"/>
              <w:end w:val="single" w:sz="4" w:space="0" w:color="000000"/>
            </w:tcBorders>
            <w:vAlign w:val="center"/>
          </w:tcPr>
          <w:p>
            <w:pPr>
              <w:pStyle w:val="13"/>
              <w:spacing w:lineRule="auto" w:line="240" w:before="120" w:after="0"/>
              <w:ind w:hanging="0" w:end="0"/>
              <w:jc w:val="center"/>
              <w:rPr>
                <w:rFonts w:ascii="方正书宋_GBK" w:hAnsi="方正书宋_GBK" w:eastAsia="方正书宋_GBK" w:cs="方正书宋_GBK"/>
                <w:sz w:val="18"/>
                <w:szCs w:val="18"/>
              </w:rPr>
            </w:pPr>
            <w:r>
              <w:rPr>
                <w:rStyle w:val="4"/>
                <w:rFonts w:ascii="方正书宋_GBK" w:hAnsi="方正书宋_GBK" w:cs="方正书宋_GBK" w:eastAsia="方正书宋_GBK"/>
                <w:sz w:val="18"/>
                <w:szCs w:val="18"/>
              </w:rPr>
              <w:t>厨房</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橱柜</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r>
      <w:tr>
        <w:trPr>
          <w:trHeight w:val="544" w:hRule="atLeast"/>
        </w:trPr>
        <w:tc>
          <w:tcPr>
            <w:tcW w:w="861" w:type="dxa"/>
            <w:vMerge w:val="continue"/>
            <w:tcBorders>
              <w:top w:val="single" w:sz="4" w:space="0" w:color="000000"/>
              <w:start w:val="single" w:sz="4" w:space="0" w:color="000000"/>
              <w:end w:val="single" w:sz="4" w:space="0" w:color="000000"/>
            </w:tcBorders>
            <w:vAlign w:val="center"/>
          </w:tcPr>
          <w:p>
            <w:pPr>
              <w:pStyle w:val="13"/>
              <w:snapToGrid w:val="false"/>
              <w:spacing w:lineRule="auto" w:line="240" w:before="0" w:after="0"/>
              <w:ind w:hanging="0" w:end="0"/>
              <w:jc w:val="center"/>
              <w:rPr>
                <w:rStyle w:val="2"/>
                <w:rFonts w:ascii="方正书宋_GBK" w:hAnsi="方正书宋_GBK" w:eastAsia="方正书宋_GBK" w:cs="方正书宋_GBK"/>
                <w:color w:val="000000"/>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燃气灶</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r>
      <w:tr>
        <w:trPr>
          <w:trHeight w:val="544" w:hRule="atLeast"/>
        </w:trPr>
        <w:tc>
          <w:tcPr>
            <w:tcW w:w="861" w:type="dxa"/>
            <w:vMerge w:val="continue"/>
            <w:tcBorders>
              <w:top w:val="single" w:sz="4" w:space="0" w:color="000000"/>
              <w:start w:val="single" w:sz="4" w:space="0" w:color="000000"/>
              <w:end w:val="single" w:sz="4" w:space="0" w:color="000000"/>
            </w:tcBorders>
            <w:vAlign w:val="center"/>
          </w:tcPr>
          <w:p>
            <w:pPr>
              <w:pStyle w:val="Normal"/>
              <w:snapToGrid w:val="false"/>
              <w:ind w:hanging="600" w:start="600" w:end="0"/>
              <w:jc w:val="center"/>
              <w:rPr>
                <w:rStyle w:val="2"/>
                <w:rFonts w:ascii="方正书宋_GBK" w:hAnsi="方正书宋_GBK" w:eastAsia="方正书宋_GBK" w:cs="方正书宋_GBK"/>
                <w:color w:val="000000"/>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吸油烟机</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rPr>
                <w:rStyle w:val="2"/>
                <w:rFonts w:ascii="方正书宋_GBK" w:hAnsi="方正书宋_GBK" w:eastAsia="方正书宋_GBK" w:cs="方正书宋_GBK"/>
                <w:color w:val="000000"/>
                <w:sz w:val="18"/>
                <w:szCs w:val="18"/>
              </w:rPr>
            </w:pPr>
            <w:r>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r>
      <w:tr>
        <w:trPr>
          <w:trHeight w:val="544" w:hRule="atLeast"/>
        </w:trPr>
        <w:tc>
          <w:tcPr>
            <w:tcW w:w="861" w:type="dxa"/>
            <w:vMerge w:val="continue"/>
            <w:tcBorders>
              <w:top w:val="single" w:sz="4" w:space="0" w:color="000000"/>
              <w:start w:val="single" w:sz="4" w:space="0" w:color="000000"/>
              <w:end w:val="single" w:sz="4" w:space="0" w:color="000000"/>
            </w:tcBorders>
            <w:vAlign w:val="center"/>
          </w:tcPr>
          <w:p>
            <w:pPr>
              <w:pStyle w:val="Normal"/>
              <w:snapToGrid w:val="false"/>
              <w:ind w:hanging="600" w:start="600" w:end="0"/>
              <w:jc w:val="center"/>
              <w:rPr>
                <w:rStyle w:val="2"/>
                <w:rFonts w:ascii="方正书宋_GBK" w:hAnsi="方正书宋_GBK" w:eastAsia="方正书宋_GBK" w:cs="方正书宋_GBK"/>
                <w:color w:val="000000"/>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龙头及水槽</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rPr>
                <w:rStyle w:val="2"/>
                <w:rFonts w:ascii="方正书宋_GBK" w:hAnsi="方正书宋_GBK" w:eastAsia="方正书宋_GBK" w:cs="方正书宋_GBK"/>
                <w:color w:val="000000"/>
                <w:sz w:val="18"/>
                <w:szCs w:val="18"/>
              </w:rPr>
            </w:pPr>
            <w:r>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r>
      <w:tr>
        <w:trPr>
          <w:trHeight w:val="544" w:hRule="atLeast"/>
        </w:trPr>
        <w:tc>
          <w:tcPr>
            <w:tcW w:w="861" w:type="dxa"/>
            <w:vMerge w:val="restart"/>
            <w:tcBorders>
              <w:top w:val="single" w:sz="4" w:space="0" w:color="000000"/>
              <w:start w:val="single" w:sz="4" w:space="0" w:color="000000"/>
              <w:end w:val="single" w:sz="4" w:space="0" w:color="000000"/>
            </w:tcBorders>
            <w:vAlign w:val="center"/>
          </w:tcPr>
          <w:p>
            <w:pPr>
              <w:pStyle w:val="13"/>
              <w:spacing w:lineRule="auto" w:line="240" w:before="0" w:after="0"/>
              <w:ind w:hanging="0" w:end="0"/>
              <w:jc w:val="center"/>
              <w:rPr>
                <w:rFonts w:ascii="方正书宋_GBK" w:hAnsi="方正书宋_GBK" w:eastAsia="方正书宋_GBK" w:cs="方正书宋_GBK"/>
                <w:sz w:val="18"/>
                <w:szCs w:val="18"/>
              </w:rPr>
            </w:pPr>
            <w:r>
              <w:rPr>
                <w:rStyle w:val="4"/>
                <w:rFonts w:ascii="方正书宋_GBK" w:hAnsi="方正书宋_GBK" w:cs="方正书宋_GBK" w:eastAsia="方正书宋_GBK"/>
                <w:sz w:val="18"/>
                <w:szCs w:val="18"/>
              </w:rPr>
              <w:t>卫生间</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洗手盆</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r>
      <w:tr>
        <w:trPr>
          <w:trHeight w:val="544" w:hRule="atLeast"/>
        </w:trPr>
        <w:tc>
          <w:tcPr>
            <w:tcW w:w="861" w:type="dxa"/>
            <w:vMerge w:val="continue"/>
            <w:tcBorders>
              <w:top w:val="single" w:sz="4" w:space="0" w:color="000000"/>
              <w:start w:val="single" w:sz="4" w:space="0" w:color="000000"/>
              <w:end w:val="single" w:sz="4" w:space="0" w:color="000000"/>
            </w:tcBorders>
            <w:vAlign w:val="center"/>
          </w:tcPr>
          <w:p>
            <w:pPr>
              <w:pStyle w:val="Normal"/>
              <w:snapToGrid w:val="false"/>
              <w:ind w:hanging="600" w:start="600" w:end="0"/>
              <w:jc w:val="center"/>
              <w:rPr>
                <w:rStyle w:val="2"/>
                <w:rFonts w:ascii="方正书宋_GBK" w:hAnsi="方正书宋_GBK" w:eastAsia="方正书宋_GBK" w:cs="方正书宋_GBK"/>
                <w:color w:val="000000"/>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座便器</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rPr>
                <w:rStyle w:val="2"/>
                <w:rFonts w:ascii="方正书宋_GBK" w:hAnsi="方正书宋_GBK" w:eastAsia="方正书宋_GBK" w:cs="方正书宋_GBK"/>
                <w:color w:val="000000"/>
                <w:sz w:val="18"/>
                <w:szCs w:val="18"/>
              </w:rPr>
            </w:pPr>
            <w:r>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r>
      <w:tr>
        <w:trPr>
          <w:trHeight w:val="544" w:hRule="atLeast"/>
        </w:trPr>
        <w:tc>
          <w:tcPr>
            <w:tcW w:w="861" w:type="dxa"/>
            <w:vMerge w:val="continue"/>
            <w:tcBorders>
              <w:top w:val="single" w:sz="4" w:space="0" w:color="000000"/>
              <w:start w:val="single" w:sz="4" w:space="0" w:color="000000"/>
              <w:end w:val="single" w:sz="4" w:space="0" w:color="000000"/>
            </w:tcBorders>
            <w:vAlign w:val="center"/>
          </w:tcPr>
          <w:p>
            <w:pPr>
              <w:pStyle w:val="Normal"/>
              <w:snapToGrid w:val="false"/>
              <w:ind w:hanging="600" w:start="600" w:end="0"/>
              <w:jc w:val="center"/>
              <w:rPr>
                <w:rStyle w:val="2"/>
                <w:rFonts w:ascii="方正书宋_GBK" w:hAnsi="方正书宋_GBK" w:eastAsia="方正书宋_GBK" w:cs="方正书宋_GBK"/>
                <w:color w:val="000000"/>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淋浴间</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rPr>
                <w:rStyle w:val="2"/>
                <w:rFonts w:ascii="方正书宋_GBK" w:hAnsi="方正书宋_GBK" w:eastAsia="方正书宋_GBK" w:cs="方正书宋_GBK"/>
                <w:color w:val="000000"/>
                <w:sz w:val="18"/>
                <w:szCs w:val="18"/>
              </w:rPr>
            </w:pPr>
            <w:r>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r>
      <w:tr>
        <w:trPr>
          <w:trHeight w:val="544" w:hRule="atLeast"/>
        </w:trPr>
        <w:tc>
          <w:tcPr>
            <w:tcW w:w="861" w:type="dxa"/>
            <w:vMerge w:val="continue"/>
            <w:tcBorders>
              <w:top w:val="single" w:sz="4" w:space="0" w:color="000000"/>
              <w:start w:val="single" w:sz="4" w:space="0" w:color="000000"/>
              <w:end w:val="single" w:sz="4" w:space="0" w:color="000000"/>
            </w:tcBorders>
            <w:vAlign w:val="center"/>
          </w:tcPr>
          <w:p>
            <w:pPr>
              <w:pStyle w:val="Normal"/>
              <w:snapToGrid w:val="false"/>
              <w:ind w:hanging="600" w:start="600" w:end="0"/>
              <w:jc w:val="center"/>
              <w:rPr>
                <w:rStyle w:val="2"/>
                <w:rFonts w:ascii="方正书宋_GBK" w:hAnsi="方正书宋_GBK" w:eastAsia="方正书宋_GBK" w:cs="方正书宋_GBK"/>
                <w:color w:val="000000"/>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龙头</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rPr>
                <w:rStyle w:val="2"/>
                <w:rFonts w:ascii="方正书宋_GBK" w:hAnsi="方正书宋_GBK" w:eastAsia="方正书宋_GBK" w:cs="方正书宋_GBK"/>
                <w:color w:val="000000"/>
                <w:sz w:val="18"/>
                <w:szCs w:val="18"/>
              </w:rPr>
            </w:pPr>
            <w:r>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r>
      <w:tr>
        <w:trPr>
          <w:trHeight w:val="544" w:hRule="atLeast"/>
        </w:trPr>
        <w:tc>
          <w:tcPr>
            <w:tcW w:w="861" w:type="dxa"/>
            <w:vMerge w:val="continue"/>
            <w:tcBorders>
              <w:top w:val="single" w:sz="4" w:space="0" w:color="000000"/>
              <w:start w:val="single" w:sz="4" w:space="0" w:color="000000"/>
              <w:end w:val="single" w:sz="4" w:space="0" w:color="000000"/>
            </w:tcBorders>
            <w:vAlign w:val="center"/>
          </w:tcPr>
          <w:p>
            <w:pPr>
              <w:pStyle w:val="Normal"/>
              <w:snapToGrid w:val="false"/>
              <w:ind w:hanging="600" w:start="600" w:end="0"/>
              <w:jc w:val="center"/>
              <w:rPr>
                <w:rStyle w:val="2"/>
                <w:rFonts w:ascii="方正书宋_GBK" w:hAnsi="方正书宋_GBK" w:eastAsia="方正书宋_GBK" w:cs="方正书宋_GBK"/>
                <w:color w:val="000000"/>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花洒</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rPr>
                <w:rStyle w:val="2"/>
                <w:rFonts w:ascii="方正书宋_GBK" w:hAnsi="方正书宋_GBK" w:eastAsia="方正书宋_GBK" w:cs="方正书宋_GBK"/>
                <w:color w:val="000000"/>
                <w:sz w:val="18"/>
                <w:szCs w:val="18"/>
              </w:rPr>
            </w:pPr>
            <w:r>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r>
      <w:tr>
        <w:trPr>
          <w:trHeight w:val="544" w:hRule="atLeast"/>
        </w:trPr>
        <w:tc>
          <w:tcPr>
            <w:tcW w:w="861" w:type="dxa"/>
            <w:vMerge w:val="continue"/>
            <w:tcBorders>
              <w:top w:val="single" w:sz="4" w:space="0" w:color="000000"/>
              <w:start w:val="single" w:sz="4" w:space="0" w:color="000000"/>
              <w:end w:val="single" w:sz="4" w:space="0" w:color="000000"/>
            </w:tcBorders>
            <w:vAlign w:val="center"/>
          </w:tcPr>
          <w:p>
            <w:pPr>
              <w:pStyle w:val="Normal"/>
              <w:snapToGrid w:val="false"/>
              <w:ind w:hanging="600" w:start="600" w:end="0"/>
              <w:jc w:val="center"/>
              <w:rPr>
                <w:rStyle w:val="2"/>
                <w:rFonts w:ascii="方正书宋_GBK" w:hAnsi="方正书宋_GBK" w:eastAsia="方正书宋_GBK" w:cs="方正书宋_GBK"/>
                <w:color w:val="000000"/>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浴霸</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rPr>
                <w:rStyle w:val="2"/>
                <w:rFonts w:ascii="方正书宋_GBK" w:hAnsi="方正书宋_GBK" w:eastAsia="方正书宋_GBK" w:cs="方正书宋_GBK"/>
                <w:color w:val="000000"/>
                <w:sz w:val="18"/>
                <w:szCs w:val="18"/>
              </w:rPr>
            </w:pPr>
            <w:r>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r>
      <w:tr>
        <w:trPr>
          <w:trHeight w:val="544" w:hRule="atLeast"/>
        </w:trPr>
        <w:tc>
          <w:tcPr>
            <w:tcW w:w="861" w:type="dxa"/>
            <w:vMerge w:val="continue"/>
            <w:tcBorders>
              <w:top w:val="single" w:sz="4" w:space="0" w:color="000000"/>
              <w:start w:val="single" w:sz="4" w:space="0" w:color="000000"/>
              <w:end w:val="single" w:sz="4" w:space="0" w:color="000000"/>
            </w:tcBorders>
            <w:vAlign w:val="center"/>
          </w:tcPr>
          <w:p>
            <w:pPr>
              <w:pStyle w:val="Normal"/>
              <w:snapToGrid w:val="false"/>
              <w:ind w:hanging="600" w:start="600" w:end="0"/>
              <w:jc w:val="center"/>
              <w:rPr>
                <w:rStyle w:val="2"/>
                <w:rFonts w:ascii="方正书宋_GBK" w:hAnsi="方正书宋_GBK" w:eastAsia="方正书宋_GBK" w:cs="方正书宋_GBK"/>
                <w:color w:val="000000"/>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浴缸</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rPr>
                <w:rStyle w:val="2"/>
                <w:rFonts w:ascii="方正书宋_GBK" w:hAnsi="方正书宋_GBK" w:eastAsia="方正书宋_GBK" w:cs="方正书宋_GBK"/>
                <w:color w:val="000000"/>
                <w:sz w:val="18"/>
                <w:szCs w:val="18"/>
              </w:rPr>
            </w:pPr>
            <w:r>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r>
      <w:tr>
        <w:trPr>
          <w:trHeight w:val="544" w:hRule="atLeast"/>
        </w:trPr>
        <w:tc>
          <w:tcPr>
            <w:tcW w:w="861" w:type="dxa"/>
            <w:vMerge w:val="continue"/>
            <w:tcBorders>
              <w:top w:val="single" w:sz="4" w:space="0" w:color="000000"/>
              <w:start w:val="single" w:sz="4" w:space="0" w:color="000000"/>
              <w:end w:val="single" w:sz="4" w:space="0" w:color="000000"/>
            </w:tcBorders>
            <w:vAlign w:val="center"/>
          </w:tcPr>
          <w:p>
            <w:pPr>
              <w:pStyle w:val="Normal"/>
              <w:snapToGrid w:val="false"/>
              <w:ind w:hanging="600" w:start="600" w:end="0"/>
              <w:jc w:val="center"/>
              <w:rPr>
                <w:rStyle w:val="2"/>
                <w:rFonts w:ascii="方正书宋_GBK" w:hAnsi="方正书宋_GBK" w:eastAsia="方正书宋_GBK" w:cs="方正书宋_GBK"/>
                <w:color w:val="000000"/>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水盆柜</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r>
      <w:tr>
        <w:trPr>
          <w:trHeight w:val="544" w:hRule="atLeast"/>
        </w:trPr>
        <w:tc>
          <w:tcPr>
            <w:tcW w:w="861" w:type="dxa"/>
            <w:vMerge w:val="continue"/>
            <w:tcBorders>
              <w:top w:val="single" w:sz="4" w:space="0" w:color="000000"/>
              <w:start w:val="single" w:sz="4" w:space="0" w:color="000000"/>
              <w:end w:val="single" w:sz="4" w:space="0" w:color="000000"/>
            </w:tcBorders>
            <w:vAlign w:val="center"/>
          </w:tcPr>
          <w:p>
            <w:pPr>
              <w:pStyle w:val="Normal"/>
              <w:snapToGrid w:val="false"/>
              <w:ind w:hanging="600" w:start="600" w:end="0"/>
              <w:jc w:val="center"/>
              <w:rPr>
                <w:rStyle w:val="2"/>
                <w:rFonts w:ascii="方正书宋_GBK" w:hAnsi="方正书宋_GBK" w:eastAsia="方正书宋_GBK" w:cs="方正书宋_GBK"/>
                <w:color w:val="000000"/>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主卫镜柜</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r>
      <w:tr>
        <w:trPr>
          <w:trHeight w:val="544" w:hRule="atLeast"/>
        </w:trPr>
        <w:tc>
          <w:tcPr>
            <w:tcW w:w="861" w:type="dxa"/>
            <w:vMerge w:val="continue"/>
            <w:tcBorders>
              <w:top w:val="single" w:sz="4" w:space="0" w:color="000000"/>
              <w:start w:val="single" w:sz="4" w:space="0" w:color="000000"/>
              <w:end w:val="single" w:sz="4" w:space="0" w:color="000000"/>
            </w:tcBorders>
            <w:vAlign w:val="center"/>
          </w:tcPr>
          <w:p>
            <w:pPr>
              <w:pStyle w:val="Normal"/>
              <w:snapToGrid w:val="false"/>
              <w:ind w:hanging="600" w:start="600" w:end="0"/>
              <w:jc w:val="center"/>
              <w:rPr>
                <w:rStyle w:val="2"/>
                <w:rFonts w:ascii="方正书宋_GBK" w:hAnsi="方正书宋_GBK" w:eastAsia="方正书宋_GBK" w:cs="方正书宋_GBK"/>
                <w:color w:val="000000"/>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置物架</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rPr>
                <w:rStyle w:val="2"/>
                <w:rFonts w:ascii="方正书宋_GBK" w:hAnsi="方正书宋_GBK" w:eastAsia="方正书宋_GBK" w:cs="方正书宋_GBK"/>
                <w:color w:val="000000"/>
                <w:sz w:val="18"/>
                <w:szCs w:val="18"/>
              </w:rPr>
            </w:pPr>
            <w:r>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r>
      <w:tr>
        <w:trPr>
          <w:trHeight w:val="544" w:hRule="atLeast"/>
        </w:trPr>
        <w:tc>
          <w:tcPr>
            <w:tcW w:w="861" w:type="dxa"/>
            <w:vMerge w:val="continue"/>
            <w:tcBorders>
              <w:top w:val="single" w:sz="4" w:space="0" w:color="000000"/>
              <w:start w:val="single" w:sz="4" w:space="0" w:color="000000"/>
              <w:end w:val="single" w:sz="4" w:space="0" w:color="000000"/>
            </w:tcBorders>
            <w:vAlign w:val="center"/>
          </w:tcPr>
          <w:p>
            <w:pPr>
              <w:pStyle w:val="Normal"/>
              <w:snapToGrid w:val="false"/>
              <w:ind w:hanging="600" w:start="600" w:end="0"/>
              <w:jc w:val="center"/>
              <w:rPr>
                <w:rStyle w:val="2"/>
                <w:rFonts w:ascii="方正书宋_GBK" w:hAnsi="方正书宋_GBK" w:eastAsia="方正书宋_GBK" w:cs="方正书宋_GBK"/>
                <w:color w:val="000000"/>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毛巾杆</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rPr>
                <w:rStyle w:val="2"/>
                <w:rFonts w:ascii="方正书宋_GBK" w:hAnsi="方正书宋_GBK" w:eastAsia="方正书宋_GBK" w:cs="方正书宋_GBK"/>
                <w:color w:val="000000"/>
                <w:sz w:val="18"/>
                <w:szCs w:val="18"/>
              </w:rPr>
            </w:pPr>
            <w:r>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r>
      <w:tr>
        <w:trPr>
          <w:trHeight w:val="544" w:hRule="atLeast"/>
        </w:trPr>
        <w:tc>
          <w:tcPr>
            <w:tcW w:w="861" w:type="dxa"/>
            <w:vMerge w:val="restart"/>
            <w:tcBorders>
              <w:top w:val="single" w:sz="4" w:space="0" w:color="000000"/>
              <w:start w:val="single" w:sz="4" w:space="0" w:color="000000"/>
              <w:end w:val="single" w:sz="4" w:space="0" w:color="000000"/>
            </w:tcBorders>
            <w:vAlign w:val="center"/>
          </w:tcPr>
          <w:p>
            <w:pPr>
              <w:pStyle w:val="13"/>
              <w:spacing w:lineRule="auto" w:line="240" w:before="0" w:after="0"/>
              <w:ind w:hanging="0" w:end="0"/>
              <w:jc w:val="center"/>
              <w:rPr>
                <w:rFonts w:ascii="方正书宋_GBK" w:hAnsi="方正书宋_GBK" w:eastAsia="方正书宋_GBK" w:cs="方正书宋_GBK"/>
                <w:sz w:val="18"/>
                <w:szCs w:val="18"/>
              </w:rPr>
            </w:pPr>
            <w:r>
              <w:rPr>
                <w:rStyle w:val="4"/>
                <w:rFonts w:ascii="方正书宋_GBK" w:hAnsi="方正书宋_GBK" w:cs="方正书宋_GBK" w:eastAsia="方正书宋_GBK"/>
                <w:sz w:val="18"/>
                <w:szCs w:val="18"/>
              </w:rPr>
              <w:t>门</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外门</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r>
      <w:tr>
        <w:trPr>
          <w:trHeight w:val="544" w:hRule="atLeast"/>
        </w:trPr>
        <w:tc>
          <w:tcPr>
            <w:tcW w:w="861" w:type="dxa"/>
            <w:vMerge w:val="continue"/>
            <w:tcBorders>
              <w:top w:val="single" w:sz="4" w:space="0" w:color="000000"/>
              <w:start w:val="single" w:sz="4" w:space="0" w:color="000000"/>
              <w:end w:val="single" w:sz="4" w:space="0" w:color="000000"/>
            </w:tcBorders>
            <w:vAlign w:val="center"/>
          </w:tcPr>
          <w:p>
            <w:pPr>
              <w:pStyle w:val="13"/>
              <w:snapToGrid w:val="false"/>
              <w:spacing w:lineRule="auto" w:line="240" w:before="0" w:after="0"/>
              <w:ind w:hanging="0" w:end="0"/>
              <w:jc w:val="center"/>
              <w:rPr>
                <w:rStyle w:val="4"/>
                <w:rFonts w:ascii="方正书宋_GBK" w:hAnsi="方正书宋_GBK" w:eastAsia="方正书宋_GBK" w:cs="方正书宋_GBK"/>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内门</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r>
      <w:tr>
        <w:trPr>
          <w:trHeight w:val="544" w:hRule="atLeast"/>
        </w:trPr>
        <w:tc>
          <w:tcPr>
            <w:tcW w:w="861" w:type="dxa"/>
            <w:vMerge w:val="restart"/>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120" w:after="0"/>
              <w:ind w:hanging="0" w:end="0"/>
              <w:jc w:val="center"/>
              <w:rPr>
                <w:rFonts w:ascii="方正书宋_GBK" w:hAnsi="方正书宋_GBK" w:eastAsia="方正书宋_GBK" w:cs="方正书宋_GBK"/>
                <w:sz w:val="18"/>
                <w:szCs w:val="18"/>
              </w:rPr>
            </w:pPr>
            <w:r>
              <w:rPr>
                <w:rStyle w:val="4"/>
                <w:rFonts w:ascii="方正书宋_GBK" w:hAnsi="方正书宋_GBK" w:cs="方正书宋_GBK" w:eastAsia="方正书宋_GBK"/>
                <w:sz w:val="18"/>
                <w:szCs w:val="18"/>
              </w:rPr>
              <w:t>固定家具</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玄关柜</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r>
      <w:tr>
        <w:trPr>
          <w:trHeight w:val="544" w:hRule="atLeast"/>
        </w:trPr>
        <w:tc>
          <w:tcPr>
            <w:tcW w:w="861" w:type="dxa"/>
            <w:vMerge w:val="continue"/>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auto" w:line="240" w:before="0" w:after="0"/>
              <w:ind w:hanging="0" w:end="0"/>
              <w:rPr>
                <w:rStyle w:val="2"/>
                <w:rFonts w:ascii="方正书宋_GBK" w:hAnsi="方正书宋_GBK" w:eastAsia="方正书宋_GBK" w:cs="方正书宋_GBK"/>
                <w:color w:val="000000"/>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吊柜</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r>
      <w:tr>
        <w:trPr>
          <w:trHeight w:val="544" w:hRule="atLeast"/>
        </w:trPr>
        <w:tc>
          <w:tcPr>
            <w:tcW w:w="861" w:type="dxa"/>
            <w:vMerge w:val="continue"/>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auto" w:line="240" w:before="0" w:after="0"/>
              <w:ind w:firstLine="394" w:end="0"/>
              <w:rPr>
                <w:rStyle w:val="2pt4"/>
                <w:rFonts w:ascii="方正书宋_GBK" w:hAnsi="方正书宋_GBK" w:eastAsia="方正书宋_GBK" w:cs="方正书宋_GBK"/>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储藏柜</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r>
      <w:tr>
        <w:trPr>
          <w:trHeight w:val="544" w:hRule="atLeast"/>
        </w:trPr>
        <w:tc>
          <w:tcPr>
            <w:tcW w:w="861" w:type="dxa"/>
            <w:vMerge w:val="restart"/>
            <w:tcBorders>
              <w:top w:val="single" w:sz="4" w:space="0" w:color="000000"/>
              <w:start w:val="single" w:sz="4" w:space="0" w:color="000000"/>
              <w:end w:val="single" w:sz="4" w:space="0" w:color="000000"/>
            </w:tcBorders>
            <w:vAlign w:val="center"/>
          </w:tcPr>
          <w:p>
            <w:pPr>
              <w:pStyle w:val="13"/>
              <w:spacing w:lineRule="auto" w:line="240" w:before="0" w:after="0"/>
              <w:ind w:hanging="0" w:end="0"/>
              <w:jc w:val="center"/>
              <w:rPr>
                <w:rStyle w:val="2pt4"/>
                <w:rFonts w:ascii="方正书宋_GBK" w:hAnsi="方正书宋_GBK" w:eastAsia="方正书宋_GBK" w:cs="方正书宋_GBK"/>
                <w:sz w:val="18"/>
                <w:szCs w:val="18"/>
              </w:rPr>
            </w:pPr>
            <w:r>
              <w:rPr>
                <w:rStyle w:val="2pt4"/>
                <w:rFonts w:ascii="方正书宋_GBK" w:hAnsi="方正书宋_GBK" w:cs="方正书宋_GBK" w:eastAsia="方正书宋_GBK"/>
                <w:sz w:val="18"/>
                <w:szCs w:val="18"/>
              </w:rPr>
              <w:t>灯具</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玄关</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r>
      <w:tr>
        <w:trPr>
          <w:trHeight w:val="544" w:hRule="atLeast"/>
        </w:trPr>
        <w:tc>
          <w:tcPr>
            <w:tcW w:w="861" w:type="dxa"/>
            <w:vMerge w:val="continue"/>
            <w:tcBorders>
              <w:top w:val="single" w:sz="4" w:space="0" w:color="000000"/>
              <w:start w:val="single" w:sz="4" w:space="0" w:color="000000"/>
              <w:end w:val="single" w:sz="4" w:space="0" w:color="000000"/>
            </w:tcBorders>
            <w:vAlign w:val="center"/>
          </w:tcPr>
          <w:p>
            <w:pPr>
              <w:pStyle w:val="13"/>
              <w:snapToGrid w:val="false"/>
              <w:spacing w:lineRule="auto" w:line="240" w:before="0" w:after="0"/>
              <w:ind w:firstLine="394" w:end="0"/>
              <w:rPr>
                <w:rStyle w:val="2pt4"/>
                <w:rFonts w:ascii="方正书宋_GBK" w:hAnsi="方正书宋_GBK" w:eastAsia="方正书宋_GBK" w:cs="方正书宋_GBK"/>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卧室</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r>
      <w:tr>
        <w:trPr>
          <w:trHeight w:val="544" w:hRule="atLeast"/>
        </w:trPr>
        <w:tc>
          <w:tcPr>
            <w:tcW w:w="861" w:type="dxa"/>
            <w:vMerge w:val="continue"/>
            <w:tcBorders>
              <w:top w:val="single" w:sz="4" w:space="0" w:color="000000"/>
              <w:start w:val="single" w:sz="4" w:space="0" w:color="000000"/>
              <w:end w:val="single" w:sz="4" w:space="0" w:color="000000"/>
            </w:tcBorders>
            <w:vAlign w:val="center"/>
          </w:tcPr>
          <w:p>
            <w:pPr>
              <w:pStyle w:val="13"/>
              <w:snapToGrid w:val="false"/>
              <w:spacing w:lineRule="auto" w:line="240" w:before="0" w:after="0"/>
              <w:ind w:firstLine="394" w:end="0"/>
              <w:rPr>
                <w:rStyle w:val="2pt4"/>
                <w:rFonts w:ascii="方正书宋_GBK" w:hAnsi="方正书宋_GBK" w:eastAsia="方正书宋_GBK" w:cs="方正书宋_GBK"/>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b/>
                <w:sz w:val="18"/>
                <w:szCs w:val="18"/>
              </w:rPr>
            </w:pPr>
            <w:r>
              <w:rPr>
                <w:rFonts w:ascii="方正书宋_GBK" w:hAnsi="方正书宋_GBK" w:cs="方正书宋_GBK" w:eastAsia="方正书宋_GBK"/>
                <w:sz w:val="18"/>
                <w:szCs w:val="18"/>
              </w:rPr>
              <w:t>起居室</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b/>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r>
      <w:tr>
        <w:trPr>
          <w:trHeight w:val="544" w:hRule="atLeast"/>
        </w:trPr>
        <w:tc>
          <w:tcPr>
            <w:tcW w:w="861" w:type="dxa"/>
            <w:vMerge w:val="continue"/>
            <w:tcBorders>
              <w:top w:val="single" w:sz="4" w:space="0" w:color="000000"/>
              <w:start w:val="single" w:sz="4" w:space="0" w:color="000000"/>
              <w:end w:val="single" w:sz="4" w:space="0" w:color="000000"/>
            </w:tcBorders>
            <w:vAlign w:val="center"/>
          </w:tcPr>
          <w:p>
            <w:pPr>
              <w:pStyle w:val="13"/>
              <w:snapToGrid w:val="false"/>
              <w:spacing w:lineRule="auto" w:line="240" w:before="0" w:after="0"/>
              <w:ind w:firstLine="394" w:end="0"/>
              <w:rPr>
                <w:rStyle w:val="2pt4"/>
                <w:rFonts w:ascii="方正书宋_GBK" w:hAnsi="方正书宋_GBK" w:eastAsia="方正书宋_GBK" w:cs="方正书宋_GBK"/>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阳台</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r>
      <w:tr>
        <w:trPr>
          <w:trHeight w:val="544" w:hRule="atLeast"/>
        </w:trPr>
        <w:tc>
          <w:tcPr>
            <w:tcW w:w="861" w:type="dxa"/>
            <w:vMerge w:val="continue"/>
            <w:tcBorders>
              <w:top w:val="single" w:sz="4" w:space="0" w:color="000000"/>
              <w:start w:val="single" w:sz="4" w:space="0" w:color="000000"/>
              <w:end w:val="single" w:sz="4" w:space="0" w:color="000000"/>
            </w:tcBorders>
            <w:vAlign w:val="center"/>
          </w:tcPr>
          <w:p>
            <w:pPr>
              <w:pStyle w:val="13"/>
              <w:snapToGrid w:val="false"/>
              <w:spacing w:lineRule="auto" w:line="240" w:before="0" w:after="0"/>
              <w:ind w:firstLine="394" w:end="0"/>
              <w:rPr>
                <w:rStyle w:val="2pt4"/>
                <w:rFonts w:ascii="方正书宋_GBK" w:hAnsi="方正书宋_GBK" w:eastAsia="方正书宋_GBK" w:cs="方正书宋_GBK"/>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厨房</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r>
      <w:tr>
        <w:trPr>
          <w:trHeight w:val="544" w:hRule="atLeast"/>
        </w:trPr>
        <w:tc>
          <w:tcPr>
            <w:tcW w:w="861" w:type="dxa"/>
            <w:vMerge w:val="continue"/>
            <w:tcBorders>
              <w:top w:val="single" w:sz="4" w:space="0" w:color="000000"/>
              <w:start w:val="single" w:sz="4" w:space="0" w:color="000000"/>
              <w:end w:val="single" w:sz="4" w:space="0" w:color="000000"/>
            </w:tcBorders>
            <w:vAlign w:val="center"/>
          </w:tcPr>
          <w:p>
            <w:pPr>
              <w:pStyle w:val="13"/>
              <w:snapToGrid w:val="false"/>
              <w:spacing w:lineRule="auto" w:line="240" w:before="0" w:after="0"/>
              <w:ind w:firstLine="394" w:end="0"/>
              <w:rPr>
                <w:rStyle w:val="2pt4"/>
                <w:rFonts w:ascii="方正书宋_GBK" w:hAnsi="方正书宋_GBK" w:eastAsia="方正书宋_GBK" w:cs="方正书宋_GBK"/>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卫生间</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r>
      <w:tr>
        <w:trPr>
          <w:trHeight w:val="544" w:hRule="atLeast"/>
        </w:trPr>
        <w:tc>
          <w:tcPr>
            <w:tcW w:w="861" w:type="dxa"/>
            <w:vMerge w:val="continue"/>
            <w:tcBorders>
              <w:top w:val="single" w:sz="4" w:space="0" w:color="000000"/>
              <w:start w:val="single" w:sz="4" w:space="0" w:color="000000"/>
              <w:end w:val="single" w:sz="4" w:space="0" w:color="000000"/>
            </w:tcBorders>
            <w:vAlign w:val="center"/>
          </w:tcPr>
          <w:p>
            <w:pPr>
              <w:pStyle w:val="13"/>
              <w:snapToGrid w:val="false"/>
              <w:spacing w:lineRule="auto" w:line="240" w:before="0" w:after="0"/>
              <w:ind w:firstLine="394" w:end="0"/>
              <w:rPr>
                <w:rStyle w:val="2pt4"/>
                <w:rFonts w:ascii="方正书宋_GBK" w:hAnsi="方正书宋_GBK" w:eastAsia="方正书宋_GBK" w:cs="方正书宋_GBK"/>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储藏室</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r>
    </w:tbl>
    <w:p>
      <w:pPr>
        <w:pStyle w:val="Style19"/>
        <w:spacing w:lineRule="auto" w:line="360" w:before="0" w:after="0"/>
        <w:ind w:firstLine="480" w:end="0"/>
        <w:rPr>
          <w:rStyle w:val="2"/>
          <w:rFonts w:ascii="方正书宋_GBK" w:hAnsi="方正书宋_GBK" w:eastAsia="方正书宋_GBK" w:cs="方正书宋_GBK"/>
          <w:b/>
          <w:color w:val="000000"/>
          <w:sz w:val="18"/>
          <w:szCs w:val="18"/>
        </w:rPr>
      </w:pPr>
      <w:r>
        <w:rPr/>
      </w:r>
    </w:p>
    <w:p>
      <w:pPr>
        <w:pStyle w:val="Style19"/>
        <w:spacing w:lineRule="auto" w:line="360" w:before="0" w:after="0"/>
        <w:rPr>
          <w:b/>
        </w:rPr>
      </w:pPr>
      <w:r>
        <w:rPr>
          <w:b/>
        </w:rPr>
      </w:r>
    </w:p>
    <w:p>
      <w:pPr>
        <w:pStyle w:val="Style19"/>
        <w:spacing w:lineRule="auto" w:line="360" w:before="0" w:after="0"/>
        <w:rPr>
          <w:rFonts w:ascii="方正黑体_GBK;微软雅黑" w:hAnsi="方正黑体_GBK;微软雅黑" w:eastAsia="方正黑体_GBK;微软雅黑" w:cs="方正黑体_GBK;微软雅黑"/>
          <w:b w:val="false"/>
          <w:bCs/>
          <w:sz w:val="28"/>
          <w:szCs w:val="28"/>
        </w:rPr>
      </w:pPr>
      <w:r>
        <w:rPr>
          <w:rFonts w:ascii="方正黑体_GBK;微软雅黑" w:hAnsi="方正黑体_GBK;微软雅黑" w:cs="方正黑体_GBK;微软雅黑" w:eastAsia="方正黑体_GBK;微软雅黑"/>
          <w:b w:val="false"/>
          <w:bCs/>
          <w:sz w:val="28"/>
          <w:szCs w:val="28"/>
        </w:rPr>
        <w:t xml:space="preserve">附件七 </w:t>
      </w:r>
    </w:p>
    <w:p>
      <w:pPr>
        <w:pStyle w:val="Style19"/>
        <w:keepNext w:val="false"/>
        <w:keepLines w:val="false"/>
        <w:pageBreakBefore w:val="false"/>
        <w:widowControl/>
        <w:kinsoku w:val="true"/>
        <w:overflowPunct w:val="true"/>
        <w:autoSpaceDE w:val="true"/>
        <w:bidi w:val="0"/>
        <w:snapToGrid w:val="true"/>
        <w:spacing w:lineRule="exact" w:line="420" w:before="0" w:after="0"/>
        <w:jc w:val="center"/>
        <w:textAlignment w:val="auto"/>
        <w:rPr>
          <w:rFonts w:ascii="方正黑体_GBK;微软雅黑" w:hAnsi="方正黑体_GBK;微软雅黑" w:eastAsia="方正黑体_GBK;微软雅黑" w:cs="方正黑体_GBK;微软雅黑"/>
          <w:b w:val="false"/>
          <w:bCs/>
          <w:sz w:val="28"/>
          <w:szCs w:val="28"/>
        </w:rPr>
      </w:pPr>
      <w:r>
        <w:rPr>
          <w:rFonts w:ascii="方正黑体_GBK;微软雅黑" w:hAnsi="方正黑体_GBK;微软雅黑" w:cs="方正黑体_GBK;微软雅黑" w:eastAsia="方正黑体_GBK;微软雅黑"/>
          <w:b w:val="false"/>
          <w:bCs/>
          <w:sz w:val="28"/>
          <w:szCs w:val="28"/>
        </w:rPr>
        <w:t>共有产权住房建筑设计文件所标注的建筑隔声情况、环境影响评价文件所表征（或第三方检测机构出具的）的声环境状及受固定噪声</w:t>
      </w:r>
      <w:r>
        <w:rPr>
          <w:rFonts w:eastAsia="方正黑体_GBK;微软雅黑" w:cs="方正黑体_GBK;微软雅黑" w:ascii="方正黑体_GBK;微软雅黑" w:hAnsi="方正黑体_GBK;微软雅黑"/>
          <w:b w:val="false"/>
          <w:bCs/>
          <w:sz w:val="28"/>
          <w:szCs w:val="28"/>
        </w:rPr>
        <w:t>/</w:t>
      </w:r>
      <w:r>
        <w:rPr>
          <w:rFonts w:ascii="方正黑体_GBK;微软雅黑" w:hAnsi="方正黑体_GBK;微软雅黑" w:cs="方正黑体_GBK;微软雅黑" w:eastAsia="方正黑体_GBK;微软雅黑"/>
          <w:b w:val="false"/>
          <w:bCs/>
          <w:sz w:val="28"/>
          <w:szCs w:val="28"/>
        </w:rPr>
        <w:t>振动源影响情况</w:t>
      </w:r>
    </w:p>
    <w:p>
      <w:pPr>
        <w:pStyle w:val="Style19"/>
        <w:keepNext w:val="false"/>
        <w:keepLines w:val="false"/>
        <w:pageBreakBefore w:val="false"/>
        <w:kinsoku w:val="true"/>
        <w:overflowPunct w:val="true"/>
        <w:autoSpaceDE w:val="true"/>
        <w:bidi w:val="0"/>
        <w:spacing w:lineRule="exact" w:line="40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（以下空白处未按要求填写时均默认为同类标准中最严格限值，“有</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无”“是</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否”未选择时，均默认“无”或“否”，“超过</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优于”未选择时，均默认“优于”）</w:t>
      </w:r>
    </w:p>
    <w:p>
      <w:pPr>
        <w:pStyle w:val="Normal"/>
        <w:keepNext w:val="false"/>
        <w:keepLines w:val="false"/>
        <w:pageBreakBefore w:val="false"/>
        <w:kinsoku w:val="true"/>
        <w:overflowPunct w:val="true"/>
        <w:autoSpaceDE w:val="true"/>
        <w:bidi w:val="0"/>
        <w:snapToGrid w:val="false"/>
        <w:spacing w:lineRule="exact" w:line="400"/>
        <w:ind w:firstLine="442" w:end="0"/>
        <w:textAlignment w:val="auto"/>
        <w:rPr>
          <w:rFonts w:ascii="方正书宋_GBK" w:hAnsi="方正书宋_GBK" w:eastAsia="方正书宋_GBK" w:cs="方正书宋_GBK"/>
          <w:b/>
          <w:bCs/>
          <w:sz w:val="22"/>
          <w:szCs w:val="22"/>
        </w:rPr>
      </w:pPr>
      <w:r>
        <w:rPr>
          <w:rFonts w:eastAsia="方正书宋_GBK" w:cs="方正书宋_GBK" w:ascii="方正书宋_GBK" w:hAnsi="方正书宋_GBK"/>
          <w:b/>
          <w:bCs/>
          <w:sz w:val="22"/>
          <w:szCs w:val="22"/>
        </w:rPr>
        <w:t>1.</w:t>
      </w:r>
      <w:r>
        <w:rPr>
          <w:rFonts w:ascii="方正书宋_GBK" w:hAnsi="方正书宋_GBK" w:cs="方正书宋_GBK" w:eastAsia="方正书宋_GBK"/>
          <w:b/>
          <w:bCs/>
          <w:sz w:val="22"/>
          <w:szCs w:val="22"/>
        </w:rPr>
        <w:t>建筑隔声情况</w:t>
      </w:r>
    </w:p>
    <w:p>
      <w:pPr>
        <w:pStyle w:val="Normal"/>
        <w:keepNext w:val="false"/>
        <w:keepLines w:val="false"/>
        <w:pageBreakBefore w:val="false"/>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该共有产权住房建筑隔声情况符合《民用建筑隔声设计规范》（</w:t>
      </w:r>
      <w:r>
        <w:rPr>
          <w:rFonts w:eastAsia="方正书宋_GBK" w:cs="方正书宋_GBK" w:ascii="方正书宋_GBK" w:hAnsi="方正书宋_GBK"/>
          <w:sz w:val="22"/>
          <w:szCs w:val="22"/>
        </w:rPr>
        <w:t>GB 50118</w:t>
      </w:r>
      <w:r>
        <w:rPr>
          <w:rFonts w:ascii="方正书宋_GBK" w:hAnsi="方正书宋_GBK" w:cs="方正书宋_GBK" w:eastAsia="方正书宋_GBK"/>
          <w:sz w:val="22"/>
          <w:szCs w:val="22"/>
        </w:rPr>
        <w:t>）、《住宅设计规范》（</w:t>
      </w:r>
      <w:r>
        <w:rPr>
          <w:rFonts w:eastAsia="方正书宋_GBK" w:cs="方正书宋_GBK" w:ascii="方正书宋_GBK" w:hAnsi="方正书宋_GBK"/>
          <w:sz w:val="22"/>
          <w:szCs w:val="22"/>
        </w:rPr>
        <w:t>DB11/1740</w:t>
      </w:r>
      <w:r>
        <w:rPr>
          <w:rFonts w:ascii="方正书宋_GBK" w:hAnsi="方正书宋_GBK" w:cs="方正书宋_GBK" w:eastAsia="方正书宋_GBK"/>
          <w:sz w:val="22"/>
          <w:szCs w:val="22"/>
        </w:rPr>
        <w:t>）等国家及本市相关隔声标准要求。</w:t>
      </w:r>
    </w:p>
    <w:p>
      <w:pPr>
        <w:pStyle w:val="Normal"/>
        <w:keepNext w:val="false"/>
        <w:keepLines w:val="false"/>
        <w:pageBreakBefore w:val="false"/>
        <w:kinsoku w:val="true"/>
        <w:overflowPunct w:val="true"/>
        <w:autoSpaceDE w:val="true"/>
        <w:bidi w:val="0"/>
        <w:snapToGrid w:val="false"/>
        <w:spacing w:lineRule="exact" w:line="400"/>
        <w:ind w:firstLine="442" w:end="0"/>
        <w:textAlignment w:val="auto"/>
        <w:rPr>
          <w:rFonts w:ascii="方正书宋_GBK" w:hAnsi="方正书宋_GBK" w:eastAsia="方正书宋_GBK" w:cs="方正书宋_GBK"/>
          <w:b/>
          <w:bCs/>
          <w:sz w:val="22"/>
          <w:szCs w:val="22"/>
        </w:rPr>
      </w:pPr>
      <w:r>
        <w:rPr>
          <w:rFonts w:eastAsia="方正书宋_GBK" w:cs="方正书宋_GBK" w:ascii="方正书宋_GBK" w:hAnsi="方正书宋_GBK"/>
          <w:b/>
          <w:bCs/>
          <w:sz w:val="22"/>
          <w:szCs w:val="22"/>
        </w:rPr>
        <w:t>2.</w:t>
      </w:r>
      <w:r>
        <w:rPr>
          <w:rFonts w:ascii="方正书宋_GBK" w:hAnsi="方正书宋_GBK" w:cs="方正书宋_GBK" w:eastAsia="方正书宋_GBK"/>
          <w:b/>
          <w:bCs/>
          <w:sz w:val="22"/>
          <w:szCs w:val="22"/>
        </w:rPr>
        <w:t>所在地声环境状况</w:t>
      </w:r>
    </w:p>
    <w:p>
      <w:pPr>
        <w:pStyle w:val="Normal"/>
        <w:keepNext w:val="false"/>
        <w:keepLines w:val="false"/>
        <w:pageBreakBefore w:val="false"/>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）项目立项或预售时所在地声环境现状监测值为：昼间</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dB(A)</w:t>
      </w:r>
      <w:r>
        <w:rPr>
          <w:rFonts w:ascii="方正书宋_GBK" w:hAnsi="方正书宋_GBK" w:cs="方正书宋_GBK" w:eastAsia="方正书宋_GBK"/>
          <w:sz w:val="22"/>
          <w:szCs w:val="22"/>
        </w:rPr>
        <w:t>，夜间</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dB(A)</w:t>
      </w:r>
      <w:r>
        <w:rPr>
          <w:rFonts w:ascii="方正书宋_GBK" w:hAnsi="方正书宋_GBK" w:cs="方正书宋_GBK" w:eastAsia="方正书宋_GBK"/>
          <w:sz w:val="22"/>
          <w:szCs w:val="22"/>
        </w:rPr>
        <w:t>，监测时间为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w:t>
      </w:r>
    </w:p>
    <w:p>
      <w:pPr>
        <w:pStyle w:val="Normal"/>
        <w:keepNext w:val="false"/>
        <w:keepLines w:val="false"/>
        <w:pageBreakBefore w:val="false"/>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）项目立项时所在地所处的声环境质量标准适用区域为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类区，执行标准为昼间</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dB(A)</w:t>
      </w:r>
      <w:r>
        <w:rPr>
          <w:rFonts w:ascii="方正书宋_GBK" w:hAnsi="方正书宋_GBK" w:cs="方正书宋_GBK" w:eastAsia="方正书宋_GBK"/>
          <w:sz w:val="22"/>
          <w:szCs w:val="22"/>
        </w:rPr>
        <w:t>，夜间</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dB(A)</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）项目立项时所在地周边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（有</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 xml:space="preserve">无）可能对本项目产生噪声或振动影响的道路、轨道线路、铁路、机场、飞行航道、工业企业（含实验设备）等声源，分别是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）目前尚未建设但规划项目所在地周边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（有</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无）可能对本项目产生噪声影响的道路、轨道线路、铁路、机场、飞行航道、工业企业（含实验设备）等声源，分别是</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）项目建成后所处区域整体环境噪声预测值为昼间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dB(A)</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dB(A)</w:t>
      </w:r>
      <w:r>
        <w:rPr>
          <w:rFonts w:ascii="方正书宋_GBK" w:hAnsi="方正书宋_GBK" w:cs="方正书宋_GBK" w:eastAsia="方正书宋_GBK"/>
          <w:sz w:val="22"/>
          <w:szCs w:val="22"/>
        </w:rPr>
        <w:t>，夜间</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dB(A)</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dB(A)</w:t>
      </w:r>
      <w:r>
        <w:rPr>
          <w:rFonts w:ascii="方正书宋_GBK" w:hAnsi="方正书宋_GBK" w:cs="方正书宋_GBK" w:eastAsia="方正书宋_GBK"/>
          <w:sz w:val="22"/>
          <w:szCs w:val="22"/>
        </w:rPr>
        <w:t>。其中受周边噪声或振动影响最严重的区域为</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侧（具体方位），预测昼间将会达到</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dB(A)</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超过</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优于</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本地声环境质量标准适用区域标准</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dB(A)</w:t>
      </w:r>
      <w:r>
        <w:rPr>
          <w:rFonts w:ascii="方正书宋_GBK" w:hAnsi="方正书宋_GBK" w:cs="方正书宋_GBK" w:eastAsia="方正书宋_GBK"/>
          <w:sz w:val="22"/>
          <w:szCs w:val="22"/>
        </w:rPr>
        <w:t>，夜间将会达到</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dB(A)</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超过</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优于</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本地声环境质量标准适用区域标准</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dB(A)</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napToGrid w:val="false"/>
        <w:spacing w:lineRule="exact" w:line="400"/>
        <w:ind w:firstLine="442" w:end="0"/>
        <w:textAlignment w:val="auto"/>
        <w:rPr>
          <w:rFonts w:ascii="方正书宋_GBK" w:hAnsi="方正书宋_GBK" w:eastAsia="方正书宋_GBK" w:cs="方正书宋_GBK"/>
          <w:b/>
          <w:bCs/>
          <w:sz w:val="22"/>
          <w:szCs w:val="22"/>
        </w:rPr>
      </w:pPr>
      <w:r>
        <w:rPr>
          <w:rFonts w:eastAsia="方正书宋_GBK" w:cs="方正书宋_GBK" w:ascii="方正书宋_GBK" w:hAnsi="方正书宋_GBK"/>
          <w:b/>
          <w:bCs/>
          <w:sz w:val="22"/>
          <w:szCs w:val="22"/>
        </w:rPr>
        <w:t>3.</w:t>
      </w:r>
      <w:r>
        <w:rPr>
          <w:rFonts w:ascii="方正书宋_GBK" w:hAnsi="方正书宋_GBK" w:cs="方正书宋_GBK" w:eastAsia="方正书宋_GBK"/>
          <w:b/>
          <w:bCs/>
          <w:sz w:val="22"/>
          <w:szCs w:val="22"/>
        </w:rPr>
        <w:t>受固定噪声</w:t>
      </w:r>
      <w:r>
        <w:rPr>
          <w:rFonts w:eastAsia="方正书宋_GBK" w:cs="方正书宋_GBK" w:ascii="方正书宋_GBK" w:hAnsi="方正书宋_GBK"/>
          <w:b/>
          <w:bCs/>
          <w:sz w:val="22"/>
          <w:szCs w:val="22"/>
        </w:rPr>
        <w:t>/</w:t>
      </w:r>
      <w:r>
        <w:rPr>
          <w:rFonts w:ascii="方正书宋_GBK" w:hAnsi="方正书宋_GBK" w:cs="方正书宋_GBK" w:eastAsia="方正书宋_GBK"/>
          <w:b/>
          <w:bCs/>
          <w:sz w:val="22"/>
          <w:szCs w:val="22"/>
        </w:rPr>
        <w:t>振动源影响情况</w:t>
      </w:r>
    </w:p>
    <w:p>
      <w:pPr>
        <w:pStyle w:val="Normal"/>
        <w:keepNext w:val="false"/>
        <w:keepLines w:val="false"/>
        <w:pageBreakBefore w:val="false"/>
        <w:kinsoku w:val="true"/>
        <w:overflowPunct w:val="true"/>
        <w:autoSpaceDE w:val="true"/>
        <w:bidi w:val="0"/>
        <w:spacing w:lineRule="exact" w:line="40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）该共有产权住房是否可能受到固定噪声</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振动源影响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是</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否</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 xml:space="preserve">。具体为：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如已建或规划设于本楼地下室、地上设备层、楼顶或临近建筑</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区域的各类供排水系统、变配电设施、空调系统、电梯设备、供热系统、通风系统、冷却塔、供气系统、机动车辆进出设备等产生噪声或振动影响的设备、设施、系统</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）该共有产权住房的卧室或起居室水平和垂直方向是否临近固定噪声源（是</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否），具体为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（如电梯井、水泵房、变压器间、供热房、风机房、柴油发电机房等）。</w:t>
      </w:r>
    </w:p>
    <w:p>
      <w:pPr>
        <w:sectPr>
          <w:headerReference w:type="default" r:id="rId46"/>
          <w:headerReference w:type="first" r:id="rId47"/>
          <w:footerReference w:type="default" r:id="rId48"/>
          <w:footerReference w:type="first" r:id="rId49"/>
          <w:type w:val="nextPage"/>
          <w:pgSz w:w="11906" w:h="16838"/>
          <w:pgMar w:left="1559" w:right="1559" w:gutter="0" w:header="851" w:top="1440" w:footer="992" w:bottom="1440"/>
          <w:pgNumType w:fmt="decimal"/>
          <w:formProt w:val="false"/>
          <w:titlePg/>
          <w:textDirection w:val="lrTb"/>
          <w:docGrid w:type="lines" w:linePitch="312" w:charSpace="0"/>
        </w:sectPr>
        <w:pStyle w:val="Normal"/>
        <w:keepNext w:val="false"/>
        <w:keepLines w:val="false"/>
        <w:pageBreakBefore w:val="false"/>
        <w:tabs>
          <w:tab w:val="clear" w:pos="420"/>
          <w:tab w:val="left" w:pos="7740" w:leader="none"/>
        </w:tabs>
        <w:kinsoku w:val="true"/>
        <w:overflowPunct w:val="true"/>
        <w:autoSpaceDE w:val="true"/>
        <w:bidi w:val="0"/>
        <w:spacing w:lineRule="exact" w:line="400"/>
        <w:ind w:firstLine="440" w:end="0"/>
        <w:textAlignment w:val="auto"/>
        <w:rPr>
          <w:rFonts w:ascii="方正书宋_GBK" w:hAnsi="方正书宋_GBK" w:eastAsia="方正书宋_GBK" w:cs="方正书宋_GBK"/>
          <w:b w:val="false"/>
          <w:bCs w:val="false"/>
          <w:sz w:val="22"/>
          <w:szCs w:val="22"/>
        </w:rPr>
      </w:pPr>
      <w:r>
        <w:rPr>
          <w:rFonts w:ascii="方正书宋_GBK" w:hAnsi="方正书宋_GBK" w:cs="方正书宋_GBK" w:eastAsia="方正书宋_GBK"/>
          <w:bCs w:val="false"/>
          <w:sz w:val="22"/>
          <w:szCs w:val="22"/>
        </w:rPr>
        <w:t>（</w:t>
      </w:r>
      <w:r>
        <w:rPr>
          <w:rFonts w:eastAsia="方正书宋_GBK" w:cs="方正书宋_GBK" w:ascii="方正书宋_GBK" w:hAnsi="方正书宋_GBK"/>
          <w:bCs w:val="false"/>
          <w:sz w:val="22"/>
          <w:szCs w:val="22"/>
        </w:rPr>
        <w:t>3</w:t>
      </w:r>
      <w:r>
        <w:rPr>
          <w:rFonts w:ascii="方正书宋_GBK" w:hAnsi="方正书宋_GBK" w:cs="方正书宋_GBK" w:eastAsia="方正书宋_GBK"/>
          <w:bCs w:val="false"/>
          <w:sz w:val="22"/>
          <w:szCs w:val="22"/>
        </w:rPr>
        <w:t>）该共有产权住房符合《住宅室内振动限值及其测量方法标准》（</w:t>
      </w:r>
      <w:r>
        <w:rPr>
          <w:rFonts w:eastAsia="方正书宋_GBK" w:cs="方正书宋_GBK" w:ascii="方正书宋_GBK" w:hAnsi="方正书宋_GBK"/>
          <w:bCs w:val="false"/>
          <w:sz w:val="22"/>
          <w:szCs w:val="22"/>
        </w:rPr>
        <w:t>GB/T</w:t>
      </w:r>
      <w:r>
        <w:rPr>
          <w:rFonts w:eastAsia="方正书宋_GBK" w:cs="方正书宋_GBK" w:ascii="方正书宋_GBK" w:hAnsi="方正书宋_GBK"/>
          <w:bCs w:val="false"/>
          <w:sz w:val="22"/>
          <w:szCs w:val="22"/>
          <w:lang w:val="en-US" w:eastAsia="zh-CN"/>
        </w:rPr>
        <w:t xml:space="preserve"> </w:t>
      </w:r>
      <w:r>
        <w:rPr>
          <w:rFonts w:eastAsia="方正书宋_GBK" w:cs="方正书宋_GBK" w:ascii="方正书宋_GBK" w:hAnsi="方正书宋_GBK"/>
          <w:bCs w:val="false"/>
          <w:sz w:val="22"/>
          <w:szCs w:val="22"/>
        </w:rPr>
        <w:t>50355</w:t>
      </w:r>
      <w:r>
        <w:rPr>
          <w:rFonts w:ascii="方正书宋_GBK" w:hAnsi="方正书宋_GBK" w:cs="方正书宋_GBK" w:eastAsia="方正书宋_GBK"/>
          <w:bCs w:val="false"/>
          <w:sz w:val="22"/>
          <w:szCs w:val="22"/>
        </w:rPr>
        <w:t>）</w:t>
      </w:r>
      <w:r>
        <w:rPr>
          <w:rFonts w:ascii="方正书宋_GBK" w:hAnsi="方正书宋_GBK" w:cs="方正书宋_GBK" w:eastAsia="方正书宋_GBK"/>
          <w:bCs w:val="false"/>
          <w:sz w:val="22"/>
          <w:szCs w:val="22"/>
          <w:u w:val="none"/>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bCs w:val="false"/>
          <w:sz w:val="22"/>
          <w:szCs w:val="22"/>
        </w:rPr>
        <w:t>1</w:t>
      </w:r>
      <w:r>
        <w:rPr>
          <w:rFonts w:ascii="方正书宋_GBK" w:hAnsi="方正书宋_GBK" w:cs="方正书宋_GBK" w:eastAsia="方正书宋_GBK"/>
          <w:bCs w:val="false"/>
          <w:sz w:val="22"/>
          <w:szCs w:val="22"/>
        </w:rPr>
        <w:t>级限值</w:t>
      </w:r>
      <w:r>
        <w:rPr>
          <w:rFonts w:ascii="方正书宋_GBK" w:hAnsi="方正书宋_GBK" w:cs="方正书宋_GBK" w:eastAsia="方正书宋_GBK"/>
          <w:sz w:val="22"/>
          <w:szCs w:val="22"/>
        </w:rPr>
        <w:t>】【</w:t>
      </w:r>
      <w:r>
        <w:rPr>
          <w:rFonts w:eastAsia="方正书宋_GBK" w:cs="方正书宋_GBK" w:ascii="方正书宋_GBK" w:hAnsi="方正书宋_GBK"/>
          <w:bCs w:val="false"/>
          <w:sz w:val="22"/>
          <w:szCs w:val="22"/>
        </w:rPr>
        <w:t>2</w:t>
      </w:r>
      <w:r>
        <w:rPr>
          <w:rFonts w:ascii="方正书宋_GBK" w:hAnsi="方正书宋_GBK" w:cs="方正书宋_GBK" w:eastAsia="方正书宋_GBK"/>
          <w:bCs w:val="false"/>
          <w:sz w:val="22"/>
          <w:szCs w:val="22"/>
        </w:rPr>
        <w:t>级限值</w:t>
      </w:r>
      <w:r>
        <w:rPr>
          <w:rFonts w:ascii="方正书宋_GBK" w:hAnsi="方正书宋_GBK" w:cs="方正书宋_GBK" w:eastAsia="方正书宋_GBK"/>
          <w:sz w:val="22"/>
          <w:szCs w:val="22"/>
        </w:rPr>
        <w:t>】。</w:t>
      </w:r>
    </w:p>
    <w:p>
      <w:pPr>
        <w:pStyle w:val="Normal"/>
        <w:tabs>
          <w:tab w:val="clear" w:pos="420"/>
          <w:tab w:val="left" w:pos="7740" w:leader="none"/>
        </w:tabs>
        <w:spacing w:lineRule="auto" w:line="360"/>
        <w:ind w:end="0"/>
        <w:rPr>
          <w:rFonts w:ascii="方正黑体_GBK;微软雅黑" w:hAnsi="方正黑体_GBK;微软雅黑" w:eastAsia="方正黑体_GBK;微软雅黑" w:cs="方正黑体_GBK;微软雅黑"/>
          <w:b w:val="false"/>
          <w:bCs w:val="false"/>
          <w:sz w:val="28"/>
          <w:szCs w:val="28"/>
        </w:rPr>
      </w:pPr>
      <w:r>
        <w:rPr>
          <w:rFonts w:ascii="方正黑体_GBK;微软雅黑" w:hAnsi="方正黑体_GBK;微软雅黑" w:cs="方正黑体_GBK;微软雅黑" w:eastAsia="方正黑体_GBK;微软雅黑"/>
          <w:b w:val="false"/>
          <w:bCs w:val="false"/>
          <w:sz w:val="28"/>
          <w:szCs w:val="28"/>
        </w:rPr>
        <w:t>附件八</w:t>
      </w:r>
    </w:p>
    <w:p>
      <w:pPr>
        <w:pStyle w:val="Normal"/>
        <w:widowControl/>
        <w:tabs>
          <w:tab w:val="clear" w:pos="420"/>
          <w:tab w:val="left" w:pos="7740" w:leader="none"/>
        </w:tabs>
        <w:spacing w:lineRule="auto" w:line="360"/>
        <w:ind w:end="0"/>
        <w:jc w:val="center"/>
        <w:rPr>
          <w:rFonts w:ascii="方正黑体_GBK;微软雅黑" w:hAnsi="方正黑体_GBK;微软雅黑" w:eastAsia="方正黑体_GBK;微软雅黑" w:cs="方正黑体_GBK;微软雅黑"/>
          <w:b w:val="false"/>
          <w:bCs w:val="false"/>
          <w:sz w:val="28"/>
          <w:szCs w:val="28"/>
        </w:rPr>
      </w:pPr>
      <w:r>
        <w:rPr>
          <w:rFonts w:ascii="方正黑体_GBK;微软雅黑" w:hAnsi="方正黑体_GBK;微软雅黑" w:cs="方正黑体_GBK;微软雅黑" w:eastAsia="方正黑体_GBK;微软雅黑"/>
          <w:b w:val="false"/>
          <w:bCs w:val="false"/>
          <w:sz w:val="28"/>
          <w:szCs w:val="28"/>
        </w:rPr>
        <w:t>关于保修范围、保修期限和保修责任的约定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b w:val="false"/>
          <w:bCs w:val="false"/>
          <w:sz w:val="22"/>
          <w:szCs w:val="22"/>
          <w:lang w:val="en-US" w:eastAsia="zh-CN"/>
        </w:rPr>
        <w:t>该共有产权住房的保修期自房屋交付之日起计算。共用部位</w:t>
      </w:r>
      <w:r>
        <w:rPr>
          <w:rFonts w:ascii="方正书宋_GBK" w:hAnsi="方正书宋_GBK" w:cs="方正书宋_GBK" w:eastAsia="方正书宋_GBK"/>
          <w:sz w:val="22"/>
          <w:szCs w:val="22"/>
          <w:lang w:val="en-US" w:eastAsia="zh-CN"/>
        </w:rPr>
        <w:t>的质量保修期限应当自交付首套住宅之日起计算。质量保修范围、保修期限及保修要求等不得低于国家和本市有关法律法规的规定，</w:t>
      </w:r>
      <w:r>
        <w:rPr>
          <w:rFonts w:ascii="方正书宋_GBK" w:hAnsi="方正书宋_GBK" w:cs="方正书宋_GBK" w:eastAsia="方正书宋_GBK"/>
          <w:b w:val="false"/>
          <w:bCs w:val="false"/>
          <w:sz w:val="22"/>
          <w:szCs w:val="22"/>
          <w:u w:val="none"/>
          <w:lang w:val="en-US" w:eastAsia="zh-CN"/>
        </w:rPr>
        <w:t>并遵守如下约定</w:t>
      </w:r>
      <w:r>
        <w:rPr>
          <w:rFonts w:ascii="方正书宋_GBK" w:hAnsi="方正书宋_GBK" w:cs="方正书宋_GBK" w:eastAsia="方正书宋_GBK"/>
          <w:sz w:val="22"/>
          <w:szCs w:val="22"/>
          <w:lang w:val="en-US" w:eastAsia="zh-CN"/>
        </w:rPr>
        <w:t>：</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（一）住宅保修范围、期限及责任的约定</w:t>
      </w:r>
    </w:p>
    <w:p>
      <w:pPr>
        <w:pStyle w:val="Normal"/>
        <w:keepNext w:val="false"/>
        <w:keepLines w:val="false"/>
        <w:pageBreakBefore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地基与基础工程质量保修期限为：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（应当为设计文件确定的建筑设计使用年限）。</w:t>
      </w:r>
    </w:p>
    <w:p>
      <w:pPr>
        <w:pStyle w:val="Normal"/>
        <w:keepNext w:val="false"/>
        <w:keepLines w:val="false"/>
        <w:pageBreakBefore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主体结构保修期限为：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（应当为设计文件确定的建筑设计使用年限）。</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保温工程质量保修期限为：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（不得低于</w:t>
      </w:r>
      <w:r>
        <w:rPr>
          <w:rFonts w:eastAsia="方正书宋_GBK" w:cs="方正书宋_GBK" w:ascii="方正书宋_GBK" w:hAnsi="方正书宋_GBK"/>
          <w:sz w:val="22"/>
          <w:szCs w:val="22"/>
          <w:lang w:val="en-US" w:eastAsia="zh-CN"/>
        </w:rPr>
        <w:t>5</w:t>
      </w:r>
      <w:r>
        <w:rPr>
          <w:rFonts w:ascii="方正书宋_GBK" w:hAnsi="方正书宋_GBK" w:cs="方正书宋_GBK" w:eastAsia="方正书宋_GBK"/>
          <w:sz w:val="22"/>
          <w:szCs w:val="22"/>
        </w:rPr>
        <w:t>年）。</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防水工程质量保修期限为：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（不得低于</w:t>
      </w:r>
      <w:r>
        <w:rPr>
          <w:rFonts w:eastAsia="方正书宋_GBK" w:cs="方正书宋_GBK" w:ascii="方正书宋_GBK" w:hAnsi="方正书宋_GBK"/>
          <w:sz w:val="22"/>
          <w:szCs w:val="22"/>
          <w:lang w:val="en-US" w:eastAsia="zh-CN"/>
        </w:rPr>
        <w:t>5</w:t>
      </w:r>
      <w:r>
        <w:rPr>
          <w:rFonts w:ascii="方正书宋_GBK" w:hAnsi="方正书宋_GBK" w:cs="方正书宋_GBK" w:eastAsia="方正书宋_GBK"/>
          <w:sz w:val="22"/>
          <w:szCs w:val="22"/>
        </w:rPr>
        <w:t>年）。</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装饰装修工程中，室内装修工程质量保修期限为：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（不得低于</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年，有专门规定保修期限的分项工程应当遵从其规定）；室外涂料装修质量保修期限为：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（不得低于</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年）；室外其他材料装修质量保修期限为：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（不得低于５年）；外窗与入户门质量保修期限为：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（不得低于５年）；其中五金件质量保修期限为：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（不得低于</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年）；护栏和扶手的质量保修期限为：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（不得低于</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年）；装饰性幕墙的质量保修期限为：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（不得低于</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年）。</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建筑给水及排水工程质量保修期限为：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（不得低于</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年），采取隐蔽方式安装的给排水管道和共用部位的给排水管道质量保修期限为：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（不得低于</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年）；若管线设置在主体结构内，其质量保修期限应当与主体结构设计使用年限相同。</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采暖及制冷系统质量保修期限为：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（不得低于</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年），采取隐蔽方式安装的管线质量保修期限为：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（不得低于</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年）；若管线设置在主体结构内，其质量保修期限应当与主体结构设计使用年限相同。</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电气工程质量保修期限为：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（不得低于</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年），线缆质量保修期限为：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（不得低于</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年）。</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智能建筑工程质量保修期限为：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（不得低于</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年）。</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通风与空调工程质量保修期限为：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（不得低于</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年）。</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11.</w:t>
      </w:r>
      <w:r>
        <w:rPr>
          <w:rFonts w:ascii="方正书宋_GBK" w:hAnsi="方正书宋_GBK" w:cs="方正书宋_GBK" w:eastAsia="方正书宋_GBK"/>
          <w:sz w:val="22"/>
          <w:szCs w:val="22"/>
        </w:rPr>
        <w:t>电梯工程质量保修期限为：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（不得低于</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年）。</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12.</w:t>
      </w:r>
      <w:r>
        <w:rPr>
          <w:rFonts w:ascii="方正书宋_GBK" w:hAnsi="方正书宋_GBK" w:cs="方正书宋_GBK" w:eastAsia="方正书宋_GBK"/>
          <w:sz w:val="22"/>
          <w:szCs w:val="22"/>
        </w:rPr>
        <w:t>室外工程质量保修期限为：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（不得低于</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年）。</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（二）非住宅保修范围、期限及责任的约定</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地基基础和主体结构</w:t>
      </w:r>
      <w:r>
        <w:rPr>
          <w:rFonts w:ascii="方正书宋_GBK" w:hAnsi="方正书宋_GBK" w:cs="方正书宋_GBK" w:eastAsia="方正书宋_GBK"/>
          <w:kern w:val="0"/>
          <w:sz w:val="22"/>
          <w:szCs w:val="22"/>
        </w:rPr>
        <w:t>保修期限为：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kern w:val="0"/>
          <w:sz w:val="22"/>
          <w:szCs w:val="22"/>
        </w:rPr>
        <w:t>（不得低于设计文件规定的该工程的合理使用年限）</w:t>
      </w:r>
      <w:r>
        <w:rPr>
          <w:rFonts w:ascii="方正书宋_GBK" w:hAnsi="方正书宋_GBK" w:cs="方正书宋_GBK" w:eastAsia="方正书宋_GBK"/>
          <w:sz w:val="22"/>
          <w:szCs w:val="22"/>
        </w:rPr>
        <w:t>。</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防水工程质量保修期限为：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kern w:val="0"/>
          <w:sz w:val="22"/>
          <w:szCs w:val="22"/>
        </w:rPr>
        <w:t>（不得低于</w:t>
      </w: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年）</w:t>
      </w:r>
      <w:r>
        <w:rPr>
          <w:rFonts w:ascii="方正书宋_GBK" w:hAnsi="方正书宋_GBK" w:cs="方正书宋_GBK" w:eastAsia="方正书宋_GBK"/>
          <w:sz w:val="22"/>
          <w:szCs w:val="22"/>
        </w:rPr>
        <w:t>。</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供热、供冷系统和设备保修期限为：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kern w:val="0"/>
          <w:sz w:val="22"/>
          <w:szCs w:val="22"/>
        </w:rPr>
        <w:t>（不得低于</w:t>
      </w: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个采暖期、供冷期）</w:t>
      </w:r>
      <w:r>
        <w:rPr>
          <w:rFonts w:ascii="方正书宋_GBK" w:hAnsi="方正书宋_GBK" w:cs="方正书宋_GBK" w:eastAsia="方正书宋_GBK"/>
          <w:sz w:val="22"/>
          <w:szCs w:val="22"/>
        </w:rPr>
        <w:t>。</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lang w:eastAsia="zh-CN"/>
        </w:rPr>
      </w:pP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电气管线、给排水管道、设备安装保修期限为：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kern w:val="0"/>
          <w:sz w:val="22"/>
          <w:szCs w:val="22"/>
        </w:rPr>
        <w:t>（不得低于</w:t>
      </w: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年）</w:t>
      </w:r>
      <w:r>
        <w:rPr>
          <w:rFonts w:ascii="方正书宋_GBK" w:hAnsi="方正书宋_GBK" w:cs="方正书宋_GBK" w:eastAsia="方正书宋_GBK"/>
          <w:kern w:val="0"/>
          <w:sz w:val="22"/>
          <w:szCs w:val="22"/>
          <w:lang w:eastAsia="zh-CN"/>
        </w:rPr>
        <w:t>。</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lang w:eastAsia="zh-CN"/>
        </w:rPr>
      </w:pP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装修工程保修期限为：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kern w:val="0"/>
          <w:sz w:val="22"/>
          <w:szCs w:val="22"/>
        </w:rPr>
        <w:t>（不得低于</w:t>
      </w: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年）</w:t>
      </w:r>
      <w:r>
        <w:rPr>
          <w:rFonts w:ascii="方正书宋_GBK" w:hAnsi="方正书宋_GBK" w:cs="方正书宋_GBK" w:eastAsia="方正书宋_GBK"/>
          <w:kern w:val="0"/>
          <w:sz w:val="22"/>
          <w:szCs w:val="22"/>
          <w:lang w:eastAsia="zh-CN"/>
        </w:rPr>
        <w:t>。</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kern w:val="0"/>
          <w:sz w:val="22"/>
          <w:szCs w:val="22"/>
        </w:rPr>
        <w:t>6.</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（三）其他约定</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kern w:val="0"/>
          <w:sz w:val="22"/>
          <w:szCs w:val="22"/>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w:t>
      </w:r>
    </w:p>
    <w:p>
      <w:pPr>
        <w:sectPr>
          <w:headerReference w:type="default" r:id="rId50"/>
          <w:headerReference w:type="first" r:id="rId51"/>
          <w:footerReference w:type="default" r:id="rId52"/>
          <w:footerReference w:type="first" r:id="rId53"/>
          <w:type w:val="nextPage"/>
          <w:pgSz w:w="11906" w:h="16838"/>
          <w:pgMar w:left="1559" w:right="1559" w:gutter="0" w:header="851" w:top="1440" w:footer="992" w:bottom="1440"/>
          <w:pgNumType w:fmt="decimal"/>
          <w:formProt w:val="false"/>
          <w:titlePg/>
          <w:textDirection w:val="lrTb"/>
          <w:docGrid w:type="lines" w:linePitch="312" w:charSpace="0"/>
        </w:sectPr>
        <w:pStyle w:val="Normal"/>
        <w:spacing w:lineRule="auto" w:line="360"/>
        <w:ind w:firstLine="482" w:end="0"/>
        <w:rPr>
          <w:rFonts w:ascii="宋体" w:hAnsi="宋体" w:cs="宋体"/>
          <w:b/>
          <w:bCs/>
          <w:sz w:val="24"/>
        </w:rPr>
      </w:pPr>
      <w:r>
        <w:rPr>
          <w:rFonts w:ascii="宋体" w:hAnsi="宋体" w:cs="宋体"/>
          <w:b/>
          <w:bCs/>
          <w:sz w:val="24"/>
        </w:rPr>
        <w:t xml:space="preserve">               </w:t>
      </w:r>
    </w:p>
    <w:p>
      <w:pPr>
        <w:pStyle w:val="Normal"/>
        <w:spacing w:lineRule="auto" w:line="360"/>
        <w:rPr>
          <w:rFonts w:ascii="方正黑体_GBK;微软雅黑" w:hAnsi="方正黑体_GBK;微软雅黑" w:eastAsia="方正黑体_GBK;微软雅黑" w:cs="方正黑体_GBK;微软雅黑"/>
          <w:b w:val="false"/>
          <w:bCs w:val="false"/>
          <w:sz w:val="28"/>
          <w:szCs w:val="28"/>
        </w:rPr>
      </w:pPr>
      <w:r>
        <w:rPr>
          <w:rFonts w:ascii="方正黑体_GBK;微软雅黑" w:hAnsi="方正黑体_GBK;微软雅黑" w:cs="方正黑体_GBK;微软雅黑" w:eastAsia="方正黑体_GBK;微软雅黑"/>
          <w:b w:val="false"/>
          <w:bCs w:val="false"/>
          <w:sz w:val="28"/>
          <w:szCs w:val="28"/>
        </w:rPr>
        <w:t xml:space="preserve">附件九  </w:t>
      </w:r>
    </w:p>
    <w:p>
      <w:pPr>
        <w:pStyle w:val="Normal"/>
        <w:spacing w:lineRule="auto" w:line="360"/>
        <w:jc w:val="center"/>
        <w:rPr>
          <w:rFonts w:ascii="方正黑体_GBK;微软雅黑" w:hAnsi="方正黑体_GBK;微软雅黑" w:eastAsia="方正黑体_GBK;微软雅黑" w:cs="方正黑体_GBK;微软雅黑"/>
          <w:b w:val="false"/>
          <w:bCs w:val="false"/>
          <w:sz w:val="28"/>
          <w:szCs w:val="28"/>
        </w:rPr>
      </w:pPr>
      <w:r>
        <w:rPr>
          <w:rFonts w:ascii="方正黑体_GBK;微软雅黑" w:hAnsi="方正黑体_GBK;微软雅黑" w:cs="方正黑体_GBK;微软雅黑" w:eastAsia="方正黑体_GBK;微软雅黑"/>
          <w:b w:val="false"/>
          <w:bCs w:val="false"/>
          <w:sz w:val="28"/>
          <w:szCs w:val="28"/>
        </w:rPr>
        <w:t>关于质量担保的具体约定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企业破产、解散等清算情况发生后的</w:t>
      </w:r>
      <w:r>
        <w:rPr>
          <w:rFonts w:ascii="方正书宋_GBK" w:hAnsi="方正书宋_GBK" w:cs="方正书宋_GBK" w:eastAsia="方正书宋_GBK"/>
          <w:kern w:val="0"/>
          <w:sz w:val="22"/>
          <w:szCs w:val="22"/>
          <w:lang w:eastAsia="zh-CN"/>
        </w:rPr>
        <w:t>共有产权</w:t>
      </w:r>
      <w:r>
        <w:rPr>
          <w:rFonts w:ascii="方正书宋_GBK" w:hAnsi="方正书宋_GBK" w:cs="方正书宋_GBK" w:eastAsia="方正书宋_GBK"/>
          <w:kern w:val="0"/>
          <w:sz w:val="22"/>
          <w:szCs w:val="22"/>
        </w:rPr>
        <w:t>住房质量责任承担主体为：</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u w:val="single"/>
          <w:lang w:val="en-US" w:eastAsia="zh-CN"/>
        </w:rPr>
        <w:t xml:space="preserve">     </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质量责任承担主体应当按照国家及北京现行有关法律法规、标准及《北京市住宅工程质量保证书》规定，以及合同约定在</w:t>
      </w:r>
      <w:r>
        <w:rPr>
          <w:rFonts w:ascii="方正书宋_GBK" w:hAnsi="方正书宋_GBK" w:cs="方正书宋_GBK" w:eastAsia="方正书宋_GBK"/>
          <w:sz w:val="22"/>
          <w:szCs w:val="22"/>
        </w:rPr>
        <w:t>工程</w:t>
      </w:r>
      <w:r>
        <w:rPr>
          <w:rFonts w:ascii="方正书宋_GBK" w:hAnsi="方正书宋_GBK" w:cs="方正书宋_GBK" w:eastAsia="方正书宋_GBK"/>
          <w:kern w:val="0"/>
          <w:sz w:val="22"/>
          <w:szCs w:val="22"/>
        </w:rPr>
        <w:t>质量保险范围和保修期限内履行质量保修责任。</w:t>
      </w:r>
    </w:p>
    <w:p>
      <w:pPr>
        <w:sectPr>
          <w:headerReference w:type="default" r:id="rId54"/>
          <w:headerReference w:type="first" r:id="rId55"/>
          <w:footerReference w:type="default" r:id="rId56"/>
          <w:footerReference w:type="first" r:id="rId57"/>
          <w:type w:val="nextPage"/>
          <w:pgSz w:w="11906" w:h="16838"/>
          <w:pgMar w:left="1559" w:right="1559" w:gutter="0" w:header="851" w:top="1440" w:footer="992" w:bottom="1440"/>
          <w:pgNumType w:fmt="decimal"/>
          <w:formProt w:val="false"/>
          <w:titlePg/>
          <w:textDirection w:val="lrTb"/>
          <w:docGrid w:type="lines" w:linePitch="312" w:charSpace="0"/>
        </w:sect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bCs/>
          <w:kern w:val="0"/>
          <w:sz w:val="22"/>
          <w:szCs w:val="22"/>
        </w:rPr>
      </w:pPr>
      <w:r>
        <w:rPr>
          <w:rFonts w:eastAsia="方正书宋_GBK" w:cs="方正书宋_GBK" w:ascii="方正书宋_GBK" w:hAnsi="方正书宋_GBK"/>
          <w:b/>
          <w:bCs/>
          <w:kern w:val="0"/>
          <w:sz w:val="22"/>
          <w:szCs w:val="22"/>
        </w:rPr>
      </w:r>
    </w:p>
    <w:p>
      <w:pPr>
        <w:pStyle w:val="Normal"/>
        <w:spacing w:lineRule="auto" w:line="360"/>
        <w:rPr>
          <w:rFonts w:ascii="方正黑体_GBK;微软雅黑" w:hAnsi="方正黑体_GBK;微软雅黑" w:eastAsia="方正黑体_GBK;微软雅黑" w:cs="方正黑体_GBK;微软雅黑"/>
          <w:b w:val="false"/>
          <w:bCs w:val="false"/>
          <w:sz w:val="28"/>
          <w:szCs w:val="28"/>
        </w:rPr>
      </w:pPr>
      <w:r>
        <w:rPr>
          <w:rFonts w:ascii="方正黑体_GBK;微软雅黑" w:hAnsi="方正黑体_GBK;微软雅黑" w:cs="方正黑体_GBK;微软雅黑" w:eastAsia="方正黑体_GBK;微软雅黑"/>
          <w:b w:val="false"/>
          <w:bCs w:val="false"/>
          <w:sz w:val="28"/>
          <w:szCs w:val="28"/>
        </w:rPr>
        <w:t xml:space="preserve">附件十  </w:t>
      </w:r>
    </w:p>
    <w:p>
      <w:pPr>
        <w:pStyle w:val="Normal"/>
        <w:spacing w:lineRule="auto" w:line="360"/>
        <w:jc w:val="center"/>
        <w:rPr>
          <w:rFonts w:ascii="方正黑体_GBK;微软雅黑" w:hAnsi="方正黑体_GBK;微软雅黑" w:eastAsia="方正黑体_GBK;微软雅黑" w:cs="方正黑体_GBK;微软雅黑"/>
          <w:b w:val="false"/>
          <w:bCs w:val="false"/>
          <w:sz w:val="28"/>
          <w:szCs w:val="28"/>
        </w:rPr>
      </w:pPr>
      <w:r>
        <w:rPr>
          <w:rFonts w:ascii="方正黑体_GBK;微软雅黑" w:hAnsi="方正黑体_GBK;微软雅黑" w:cs="方正黑体_GBK;微软雅黑" w:eastAsia="方正黑体_GBK;微软雅黑"/>
          <w:b w:val="false"/>
          <w:bCs w:val="false"/>
          <w:sz w:val="28"/>
          <w:szCs w:val="28"/>
        </w:rPr>
        <w:t>关于前期物业管理的约定</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前期物业服务合同</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 xml:space="preserve">临时管理规约 </w:t>
      </w:r>
    </w:p>
    <w:p>
      <w:pPr>
        <w:pStyle w:val="Style19"/>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其他约定</w:t>
      </w:r>
    </w:p>
    <w:p>
      <w:pPr>
        <w:sectPr>
          <w:headerReference w:type="default" r:id="rId58"/>
          <w:headerReference w:type="first" r:id="rId59"/>
          <w:footerReference w:type="default" r:id="rId60"/>
          <w:footerReference w:type="first" r:id="rId61"/>
          <w:type w:val="nextPage"/>
          <w:pgSz w:w="11906" w:h="16838"/>
          <w:pgMar w:left="1559" w:right="1559" w:gutter="0" w:header="851" w:top="1440" w:footer="992" w:bottom="1440"/>
          <w:pgNumType w:fmt="decimal"/>
          <w:formProt w:val="false"/>
          <w:titlePg/>
          <w:textDirection w:val="lrTb"/>
          <w:docGrid w:type="lines" w:linePitch="312" w:charSpace="0"/>
        </w:sectPr>
        <w:pStyle w:val="largefont"/>
        <w:keepNext w:val="false"/>
        <w:keepLines w:val="false"/>
        <w:pageBreakBefore w:val="false"/>
        <w:widowControl/>
        <w:kinsoku w:val="true"/>
        <w:overflowPunct w:val="true"/>
        <w:autoSpaceDE w:val="true"/>
        <w:bidi w:val="0"/>
        <w:snapToGrid w:val="true"/>
        <w:spacing w:lineRule="exact" w:line="420" w:before="0" w:after="0"/>
        <w:ind w:firstLine="442" w:end="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largefont"/>
        <w:spacing w:before="0" w:after="0"/>
        <w:ind w:hanging="0" w:end="0"/>
        <w:rPr>
          <w:rFonts w:ascii="方正黑体_GBK;微软雅黑" w:hAnsi="方正黑体_GBK;微软雅黑" w:eastAsia="方正黑体_GBK;微软雅黑" w:cs="方正黑体_GBK;微软雅黑"/>
          <w:b w:val="false"/>
          <w:bCs/>
          <w:sz w:val="28"/>
          <w:szCs w:val="28"/>
        </w:rPr>
      </w:pPr>
      <w:r>
        <w:rPr>
          <w:rFonts w:ascii="方正黑体_GBK;微软雅黑" w:hAnsi="方正黑体_GBK;微软雅黑" w:cs="方正黑体_GBK;微软雅黑" w:eastAsia="方正黑体_GBK;微软雅黑"/>
          <w:b w:val="false"/>
          <w:bCs/>
          <w:sz w:val="28"/>
          <w:szCs w:val="28"/>
        </w:rPr>
        <w:t xml:space="preserve">附件十一  </w:t>
      </w:r>
    </w:p>
    <w:p>
      <w:pPr>
        <w:pStyle w:val="largefont"/>
        <w:spacing w:before="0" w:after="0"/>
        <w:ind w:hanging="0" w:end="0"/>
        <w:jc w:val="center"/>
        <w:rPr>
          <w:rFonts w:ascii="方正黑体_GBK;微软雅黑" w:hAnsi="方正黑体_GBK;微软雅黑" w:eastAsia="方正黑体_GBK;微软雅黑" w:cs="方正黑体_GBK;微软雅黑"/>
          <w:b w:val="false"/>
          <w:bCs/>
          <w:sz w:val="28"/>
          <w:szCs w:val="28"/>
        </w:rPr>
      </w:pPr>
      <w:r>
        <w:rPr>
          <w:rFonts w:ascii="方正黑体_GBK;微软雅黑" w:hAnsi="方正黑体_GBK;微软雅黑" w:cs="方正黑体_GBK;微软雅黑" w:eastAsia="方正黑体_GBK;微软雅黑"/>
          <w:b w:val="false"/>
          <w:bCs/>
          <w:sz w:val="28"/>
          <w:szCs w:val="28"/>
        </w:rPr>
        <w:t>甲方关于遮挡或妨碍房屋正常使用情况的说明</w:t>
      </w:r>
    </w:p>
    <w:p>
      <w:pPr>
        <w:pStyle w:val="Normal"/>
        <w:widowControl/>
        <w:spacing w:lineRule="auto" w:line="360"/>
        <w:ind w:firstLine="440" w:end="0"/>
        <w:jc w:val="start"/>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（如</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该共有产权住房公共管道检修口、柱子、变电箱等有遮挡或妨碍房屋正常使用的情况）</w:t>
      </w:r>
    </w:p>
    <w:p>
      <w:pPr>
        <w:sectPr>
          <w:headerReference w:type="default" r:id="rId62"/>
          <w:headerReference w:type="first" r:id="rId63"/>
          <w:footerReference w:type="default" r:id="rId64"/>
          <w:footerReference w:type="first" r:id="rId65"/>
          <w:type w:val="nextPage"/>
          <w:pgSz w:w="11906" w:h="16838"/>
          <w:pgMar w:left="1559" w:right="1559" w:gutter="0" w:header="851" w:top="1440" w:footer="992" w:bottom="1440"/>
          <w:pgNumType w:fmt="decimal"/>
          <w:formProt w:val="false"/>
          <w:titlePg/>
          <w:textDirection w:val="lrTb"/>
          <w:docGrid w:type="lines" w:linePitch="312" w:charSpace="0"/>
        </w:sectPr>
        <w:pStyle w:val="largefont"/>
        <w:spacing w:before="0" w:after="0"/>
        <w:ind w:hanging="0" w:end="0"/>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rPr>
          <w:rFonts w:ascii="方正黑体_GBK;微软雅黑" w:hAnsi="方正黑体_GBK;微软雅黑" w:eastAsia="方正黑体_GBK;微软雅黑" w:cs="方正黑体_GBK;微软雅黑"/>
          <w:b w:val="false"/>
          <w:bCs/>
          <w:kern w:val="0"/>
          <w:sz w:val="28"/>
          <w:szCs w:val="28"/>
        </w:rPr>
      </w:pPr>
      <w:r>
        <w:rPr>
          <w:rFonts w:ascii="方正黑体_GBK;微软雅黑" w:hAnsi="方正黑体_GBK;微软雅黑" w:cs="方正黑体_GBK;微软雅黑" w:eastAsia="方正黑体_GBK;微软雅黑"/>
          <w:b w:val="false"/>
          <w:bCs/>
          <w:kern w:val="0"/>
          <w:sz w:val="28"/>
          <w:szCs w:val="28"/>
        </w:rPr>
        <w:t xml:space="preserve">附件十二 </w:t>
      </w:r>
    </w:p>
    <w:p>
      <w:pPr>
        <w:pStyle w:val="Normal"/>
        <w:jc w:val="center"/>
        <w:rPr>
          <w:rFonts w:ascii="方正黑体_GBK;微软雅黑" w:hAnsi="方正黑体_GBK;微软雅黑" w:eastAsia="方正黑体_GBK;微软雅黑" w:cs="方正黑体_GBK;微软雅黑"/>
          <w:b w:val="false"/>
          <w:bCs/>
          <w:kern w:val="0"/>
          <w:sz w:val="28"/>
          <w:szCs w:val="28"/>
        </w:rPr>
      </w:pPr>
      <w:r>
        <w:rPr>
          <w:rFonts w:ascii="方正黑体_GBK;微软雅黑" w:hAnsi="方正黑体_GBK;微软雅黑" w:cs="方正黑体_GBK;微软雅黑" w:eastAsia="方正黑体_GBK;微软雅黑"/>
          <w:b w:val="false"/>
          <w:bCs/>
          <w:kern w:val="0"/>
          <w:sz w:val="28"/>
          <w:szCs w:val="28"/>
        </w:rPr>
        <w:t>补充协议</w:t>
      </w:r>
    </w:p>
    <w:p>
      <w:pPr>
        <w:pStyle w:val="largefont"/>
        <w:spacing w:before="0" w:after="0"/>
        <w:ind w:hanging="0" w:end="0"/>
        <w:rPr>
          <w:rFonts w:ascii="方正书宋_GBK" w:hAnsi="方正书宋_GBK" w:eastAsia="方正书宋_GBK" w:cs="方正书宋_GBK"/>
          <w:b/>
          <w:bCs/>
          <w:sz w:val="22"/>
          <w:szCs w:val="22"/>
          <w:lang w:val="en-US" w:eastAsia="zh-CN"/>
        </w:rPr>
      </w:pPr>
      <w:r>
        <w:rPr>
          <w:b/>
          <w:bCs/>
          <w:szCs w:val="18"/>
          <w:lang w:val="en-US" w:eastAsia="zh-CN"/>
        </w:rPr>
        <w:t xml:space="preserve">                   </w:t>
      </w:r>
      <w:r>
        <w:rPr>
          <w:rFonts w:ascii="方正书宋_GBK" w:hAnsi="方正书宋_GBK" w:cs="方正书宋_GBK" w:eastAsia="方正书宋_GBK"/>
          <w:b/>
          <w:bCs/>
          <w:sz w:val="22"/>
          <w:szCs w:val="22"/>
          <w:lang w:val="en-US" w:eastAsia="zh-CN"/>
        </w:rPr>
        <w:t xml:space="preserve"> </w:t>
      </w:r>
      <w:r>
        <w:rPr>
          <w:rFonts w:ascii="方正书宋_GBK" w:hAnsi="方正书宋_GBK" w:cs="方正书宋_GBK" w:eastAsia="方正书宋_GBK"/>
          <w:b w:val="false"/>
          <w:bCs w:val="false"/>
          <w:sz w:val="22"/>
          <w:szCs w:val="22"/>
          <w:lang w:val="en-US" w:eastAsia="zh-CN"/>
        </w:rPr>
        <w:t>（</w:t>
      </w:r>
      <w:r>
        <w:rPr>
          <w:rFonts w:ascii="方正书宋_GBK" w:hAnsi="方正书宋_GBK" w:cs="方正书宋_GBK" w:eastAsia="方正书宋_GBK"/>
          <w:kern w:val="0"/>
          <w:sz w:val="22"/>
          <w:szCs w:val="22"/>
          <w:lang w:val="en-US" w:eastAsia="zh-CN" w:bidi="ar"/>
        </w:rPr>
        <w:t>补充协议内容不得与主合同条款冲突）</w:t>
      </w:r>
    </w:p>
    <w:p>
      <w:pPr>
        <w:pStyle w:val="largefont"/>
        <w:spacing w:before="0" w:after="0"/>
        <w:ind w:hanging="0" w:start="360" w:end="0"/>
        <w:rPr>
          <w:rFonts w:ascii="方正书宋_GBK" w:hAnsi="方正书宋_GBK" w:eastAsia="方正书宋_GBK" w:cs="方正书宋_GBK"/>
          <w:b/>
          <w:bCs/>
          <w:sz w:val="22"/>
          <w:szCs w:val="22"/>
          <w:lang w:val="en-US" w:eastAsia="zh-CN"/>
        </w:rPr>
      </w:pPr>
      <w:r>
        <w:rPr>
          <w:rFonts w:eastAsia="方正书宋_GBK" w:cs="方正书宋_GBK" w:ascii="方正书宋_GBK" w:hAnsi="方正书宋_GBK"/>
          <w:b/>
          <w:bCs/>
          <w:sz w:val="22"/>
          <w:szCs w:val="22"/>
          <w:lang w:val="en-US" w:eastAsia="zh-CN"/>
        </w:rPr>
      </w:r>
    </w:p>
    <w:sectPr>
      <w:headerReference w:type="default" r:id="rId66"/>
      <w:headerReference w:type="first" r:id="rId67"/>
      <w:footerReference w:type="default" r:id="rId68"/>
      <w:footerReference w:type="first" r:id="rId69"/>
      <w:type w:val="nextPage"/>
      <w:pgSz w:w="11906" w:h="16838"/>
      <w:pgMar w:left="1559" w:right="1559" w:gutter="0" w:header="851" w:top="1440" w:footer="992"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MingLiU">
    <w:altName w:val="MT Extra"/>
    <w:charset w:val="00" w:characterSet="windows-1252"/>
    <w:family w:val="modern"/>
    <w:pitch w:val="default"/>
  </w:font>
  <w:font w:name="Calibri">
    <w:charset w:val="00" w:characterSet="windows-1252"/>
    <w:family w:val="swiss"/>
    <w:pitch w:val="default"/>
  </w:font>
  <w:font w:name="Arial Unicode MS">
    <w:altName w:val="Arial"/>
    <w:charset w:val="00" w:characterSet="windows-1252"/>
    <w:family w:val="swiss"/>
    <w:pitch w:val="default"/>
  </w:font>
  <w:font w:name="Liberation Sans">
    <w:altName w:val="Arial"/>
    <w:charset w:val="01" w:characterSet="utf-8"/>
    <w:family w:val="swiss"/>
    <w:pitch w:val="variable"/>
  </w:font>
  <w:font w:name="宋体">
    <w:charset w:val="86"/>
    <w:family w:val="auto"/>
    <w:pitch w:val="default"/>
  </w:font>
  <w:font w:name="等线">
    <w:charset w:val="86"/>
    <w:family w:val="auto"/>
    <w:pitch w:val="default"/>
  </w:font>
  <w:font w:name="Arial">
    <w:charset w:val="00" w:characterSet="windows-1252"/>
    <w:family w:val="swiss"/>
    <w:pitch w:val="default"/>
  </w:font>
  <w:font w:name="仿宋_GB2312">
    <w:altName w:val="仿宋"/>
    <w:charset w:val="86"/>
    <w:family w:val="modern"/>
    <w:pitch w:val="default"/>
  </w:font>
  <w:font w:name="方正书宋_GBK">
    <w:charset w:val="86"/>
    <w:family w:val="auto"/>
    <w:pitch w:val="default"/>
  </w:font>
  <w:font w:name="方正小标宋_GBK">
    <w:altName w:val="微软雅黑"/>
    <w:charset w:val="86"/>
    <w:family w:val="auto"/>
    <w:pitch w:val="default"/>
  </w:font>
  <w:font w:name="黑体">
    <w:charset w:val="86"/>
    <w:family w:val="auto"/>
    <w:pitch w:val="default"/>
  </w:font>
  <w:font w:name="方正小标宋简体">
    <w:altName w:val="方正舒体"/>
    <w:charset w:val="86"/>
    <w:family w:val="auto"/>
    <w:pitch w:val="default"/>
  </w:font>
  <w:font w:name="方正黑体_GBK">
    <w:altName w:val="微软雅黑"/>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jc w:val="cen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114935" simplePos="0" locked="0" layoutInCell="0" allowOverlap="1" relativeHeight="17">
              <wp:simplePos x="0" y="0"/>
              <wp:positionH relativeFrom="margin">
                <wp:align>center</wp:align>
              </wp:positionH>
              <wp:positionV relativeFrom="paragraph">
                <wp:posOffset>635</wp:posOffset>
              </wp:positionV>
              <wp:extent cx="116205" cy="132715"/>
              <wp:effectExtent l="0" t="0" r="0" b="0"/>
              <wp:wrapNone/>
              <wp:docPr id="9" name="Frame11"/>
              <a:graphic xmlns:a="http://schemas.openxmlformats.org/drawingml/2006/main">
                <a:graphicData uri="http://schemas.microsoft.com/office/word/2010/wordprocessingShape">
                  <wps:wsp>
                    <wps:cNvSpPr txBox="1"/>
                    <wps:spPr>
                      <a:xfrm>
                        <a:off x="0" y="0"/>
                        <a:ext cx="11620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17</w:t>
                          </w:r>
                          <w:r>
                            <w:rPr/>
                            <w:fldChar w:fldCharType="end"/>
                          </w:r>
                        </w:p>
                      </w:txbxContent>
                    </wps:txbx>
                    <wps:bodyPr anchor="t" lIns="635" tIns="635" rIns="635" bIns="635">
                      <a:spAutoFit/>
                    </wps:bodyPr>
                  </wps:wsp>
                </a:graphicData>
              </a:graphic>
            </wp:anchor>
          </w:drawing>
        </mc:Choice>
        <mc:Fallback>
          <w:pict>
            <v:rect fillcolor="#FFFFFF" style="position:absolute;rotation:-0;width:9.15pt;height:10.45pt;mso-wrap-distance-left:9.05pt;mso-wrap-distance-right:9.05pt;mso-wrap-distance-top:0pt;mso-wrap-distance-bottom:0pt;margin-top:0pt;mso-position-vertical-relative:text;margin-left:215.1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17</w:t>
                    </w:r>
                    <w:r>
                      <w:rPr/>
                      <w:fldChar w:fldCharType="end"/>
                    </w:r>
                  </w:p>
                </w:txbxContent>
              </v:textbox>
              <w10:wrap type="none"/>
            </v:rect>
          </w:pict>
        </mc:Fallback>
      </mc:AlternateContent>
    </w:r>
  </w:p>
  <w:p>
    <w:pPr>
      <w:pStyle w:val="Footer"/>
      <w:jc w:val="center"/>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18">
              <wp:simplePos x="0" y="0"/>
              <wp:positionH relativeFrom="margin">
                <wp:align>center</wp:align>
              </wp:positionH>
              <wp:positionV relativeFrom="paragraph">
                <wp:posOffset>635</wp:posOffset>
              </wp:positionV>
              <wp:extent cx="59055" cy="132715"/>
              <wp:effectExtent l="0" t="0" r="0" b="0"/>
              <wp:wrapNone/>
              <wp:docPr id="10" name="Frame10"/>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w:t>
                          </w:r>
                          <w:r>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9.05pt;mso-wrap-distance-top:0pt;mso-wrap-distance-bottom:0pt;margin-top:0pt;mso-position-vertical-relative:text;margin-left:217.4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w:t>
                    </w:r>
                    <w:r>
                      <w:rPr/>
                      <w:fldChar w:fldCharType="end"/>
                    </w:r>
                  </w:p>
                </w:txbxContent>
              </v:textbox>
              <w10:wrap type="none"/>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114935" simplePos="0" locked="0" layoutInCell="0" allowOverlap="1" relativeHeight="37">
              <wp:simplePos x="0" y="0"/>
              <wp:positionH relativeFrom="margin">
                <wp:align>center</wp:align>
              </wp:positionH>
              <wp:positionV relativeFrom="paragraph">
                <wp:posOffset>635</wp:posOffset>
              </wp:positionV>
              <wp:extent cx="59055" cy="132715"/>
              <wp:effectExtent l="0" t="0" r="0" b="0"/>
              <wp:wrapNone/>
              <wp:docPr id="11" name="Frame13"/>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4</w:t>
                          </w:r>
                          <w:r>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9.05pt;mso-wrap-distance-top:0pt;mso-wrap-distance-bottom:0pt;margin-top:0pt;mso-position-vertical-relative:text;margin-left:217.4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4</w:t>
                    </w:r>
                    <w:r>
                      <w:rPr/>
                      <w:fldChar w:fldCharType="end"/>
                    </w:r>
                  </w:p>
                </w:txbxContent>
              </v:textbox>
              <w10:wrap type="none"/>
            </v:rect>
          </w:pict>
        </mc:Fallback>
      </mc:AlternateContent>
    </w:r>
  </w:p>
  <w:p>
    <w:pPr>
      <w:pStyle w:val="Footer"/>
      <w:jc w:val="center"/>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38">
              <wp:simplePos x="0" y="0"/>
              <wp:positionH relativeFrom="margin">
                <wp:align>center</wp:align>
              </wp:positionH>
              <wp:positionV relativeFrom="paragraph">
                <wp:posOffset>635</wp:posOffset>
              </wp:positionV>
              <wp:extent cx="59055" cy="132715"/>
              <wp:effectExtent l="0" t="0" r="0" b="0"/>
              <wp:wrapNone/>
              <wp:docPr id="12" name="Frame12"/>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w:t>
                          </w:r>
                          <w:r>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9.05pt;mso-wrap-distance-top:0pt;mso-wrap-distance-bottom:0pt;margin-top:0pt;mso-position-vertical-relative:text;margin-left:217.4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w:t>
                    </w:r>
                    <w:r>
                      <w:rPr/>
                      <w:fldChar w:fldCharType="end"/>
                    </w:r>
                  </w:p>
                </w:txbxContent>
              </v:textbox>
              <w10:wrap type="none"/>
            </v:rect>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114935" simplePos="0" locked="0" layoutInCell="1" allowOverlap="1" relativeHeight="0">
              <wp:simplePos x="0" y="0"/>
              <wp:positionH relativeFrom="margin">
                <wp:align>center</wp:align>
              </wp:positionH>
              <wp:positionV relativeFrom="paragraph">
                <wp:posOffset>635</wp:posOffset>
              </wp:positionV>
              <wp:extent cx="1828800" cy="1828800"/>
              <wp:effectExtent l="0" t="0" r="0" b="0"/>
              <wp:wrapNone/>
              <wp:docPr id="13" name="Frame15"/>
              <a:graphic xmlns:a="http://schemas.openxmlformats.org/drawingml/2006/main">
                <a:graphicData uri="http://schemas.microsoft.com/office/word/2010/wordprocessingShape">
                  <wps:wsp>
                    <wps:cNvSpPr txBox="1"/>
                    <wps:spPr>
                      <a:xfrm>
                        <a:off x="0" y="0"/>
                        <a:ext cx="1828800" cy="182880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0</w:t>
                          </w:r>
                          <w:r>
                            <w:rPr/>
                            <w:fldChar w:fldCharType="end"/>
                          </w:r>
                        </w:p>
                      </w:txbxContent>
                    </wps:txbx>
                    <wps:bodyPr anchor="t" lIns="635" tIns="635" rIns="635" bIns="635">
                      <a:spAutoFit/>
                    </wps:bodyPr>
                  </wps:wsp>
                </a:graphicData>
              </a:graphic>
            </wp:anchor>
          </w:drawing>
        </mc:Choice>
        <mc:Fallback>
          <w:pict>
            <v:rect fillcolor="#FFFFFF" style="position:absolute;rotation:-0;width:144pt;height:144pt;mso-wrap-distance-left:9.05pt;mso-wrap-distance-right:9.05pt;mso-wrap-distance-top:0pt;mso-wrap-distance-bottom:0pt;margin-top:0pt;mso-position-vertical-relative:text;margin-left:0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0</w:t>
                    </w:r>
                    <w:r>
                      <w:rPr/>
                      <w:fldChar w:fldCharType="end"/>
                    </w:r>
                  </w:p>
                </w:txbxContent>
              </v:textbox>
              <w10:wrap type="none"/>
            </v:rect>
          </w:pict>
        </mc:Fallback>
      </mc:AlternateContent>
    </w:r>
  </w:p>
  <w:p>
    <w:pPr>
      <w:pStyle w:val="Footer"/>
      <w:jc w:val="center"/>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34">
              <wp:simplePos x="0" y="0"/>
              <wp:positionH relativeFrom="margin">
                <wp:align>center</wp:align>
              </wp:positionH>
              <wp:positionV relativeFrom="paragraph">
                <wp:posOffset>635</wp:posOffset>
              </wp:positionV>
              <wp:extent cx="59055" cy="132715"/>
              <wp:effectExtent l="0" t="0" r="0" b="0"/>
              <wp:wrapNone/>
              <wp:docPr id="14" name="Frame14"/>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5</w:t>
                          </w:r>
                          <w:r>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9.05pt;mso-wrap-distance-top:0pt;mso-wrap-distance-bottom:0pt;margin-top:0pt;mso-position-vertical-relative:text;margin-left:217.4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5</w:t>
                    </w:r>
                    <w:r>
                      <w:rPr/>
                      <w:fldChar w:fldCharType="end"/>
                    </w:r>
                  </w:p>
                </w:txbxContent>
              </v:textbox>
              <w10:wrap type="none"/>
            </v:rect>
          </w:pict>
        </mc:Fallback>
      </mc:AlternateConten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114935" simplePos="0" locked="0" layoutInCell="1" allowOverlap="1" relativeHeight="0">
              <wp:simplePos x="0" y="0"/>
              <wp:positionH relativeFrom="margin">
                <wp:align>center</wp:align>
              </wp:positionH>
              <wp:positionV relativeFrom="paragraph">
                <wp:posOffset>635</wp:posOffset>
              </wp:positionV>
              <wp:extent cx="1828800" cy="1828800"/>
              <wp:effectExtent l="0" t="0" r="0" b="0"/>
              <wp:wrapNone/>
              <wp:docPr id="15" name="Frame17"/>
              <a:graphic xmlns:a="http://schemas.openxmlformats.org/drawingml/2006/main">
                <a:graphicData uri="http://schemas.microsoft.com/office/word/2010/wordprocessingShape">
                  <wps:wsp>
                    <wps:cNvSpPr txBox="1"/>
                    <wps:spPr>
                      <a:xfrm>
                        <a:off x="0" y="0"/>
                        <a:ext cx="1828800" cy="182880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0</w:t>
                          </w:r>
                          <w:r>
                            <w:rPr/>
                            <w:fldChar w:fldCharType="end"/>
                          </w:r>
                        </w:p>
                      </w:txbxContent>
                    </wps:txbx>
                    <wps:bodyPr anchor="t" lIns="635" tIns="635" rIns="635" bIns="635">
                      <a:spAutoFit/>
                    </wps:bodyPr>
                  </wps:wsp>
                </a:graphicData>
              </a:graphic>
            </wp:anchor>
          </w:drawing>
        </mc:Choice>
        <mc:Fallback>
          <w:pict>
            <v:rect fillcolor="#FFFFFF" style="position:absolute;rotation:-0;width:144pt;height:144pt;mso-wrap-distance-left:9.05pt;mso-wrap-distance-right:9.05pt;mso-wrap-distance-top:0pt;mso-wrap-distance-bottom:0pt;margin-top:0pt;mso-position-vertical-relative:text;margin-left:0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0</w:t>
                    </w:r>
                    <w:r>
                      <w:rPr/>
                      <w:fldChar w:fldCharType="end"/>
                    </w:r>
                  </w:p>
                </w:txbxContent>
              </v:textbox>
              <w10:wrap type="none"/>
            </v:rect>
          </w:pict>
        </mc:Fallback>
      </mc:AlternateContent>
    </w:r>
  </w:p>
  <w:p>
    <w:pPr>
      <w:pStyle w:val="Footer"/>
      <w:jc w:val="center"/>
      <w:rPr/>
    </w:pPr>
    <w:r>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19">
              <wp:simplePos x="0" y="0"/>
              <wp:positionH relativeFrom="margin">
                <wp:align>center</wp:align>
              </wp:positionH>
              <wp:positionV relativeFrom="paragraph">
                <wp:posOffset>635</wp:posOffset>
              </wp:positionV>
              <wp:extent cx="59055" cy="132715"/>
              <wp:effectExtent l="0" t="0" r="0" b="0"/>
              <wp:wrapNone/>
              <wp:docPr id="16" name="Frame16"/>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6</w:t>
                          </w:r>
                          <w:r>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9.05pt;mso-wrap-distance-top:0pt;mso-wrap-distance-bottom:0pt;margin-top:0pt;mso-position-vertical-relative:text;margin-left:217.4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6</w:t>
                    </w:r>
                    <w:r>
                      <w:rPr/>
                      <w:fldChar w:fldCharType="end"/>
                    </w:r>
                  </w:p>
                </w:txbxContent>
              </v:textbox>
              <w10:wrap type="none"/>
            </v:rect>
          </w:pict>
        </mc:Fallback>
      </mc:AlternateConten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114935" simplePos="0" locked="0" layoutInCell="1" allowOverlap="1" relativeHeight="0">
              <wp:simplePos x="0" y="0"/>
              <wp:positionH relativeFrom="margin">
                <wp:align>center</wp:align>
              </wp:positionH>
              <wp:positionV relativeFrom="paragraph">
                <wp:posOffset>635</wp:posOffset>
              </wp:positionV>
              <wp:extent cx="1828800" cy="1828800"/>
              <wp:effectExtent l="0" t="0" r="0" b="0"/>
              <wp:wrapNone/>
              <wp:docPr id="17" name="Frame19"/>
              <a:graphic xmlns:a="http://schemas.openxmlformats.org/drawingml/2006/main">
                <a:graphicData uri="http://schemas.microsoft.com/office/word/2010/wordprocessingShape">
                  <wps:wsp>
                    <wps:cNvSpPr txBox="1"/>
                    <wps:spPr>
                      <a:xfrm>
                        <a:off x="0" y="0"/>
                        <a:ext cx="1828800" cy="182880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0</w:t>
                          </w:r>
                          <w:r>
                            <w:rPr/>
                            <w:fldChar w:fldCharType="end"/>
                          </w:r>
                        </w:p>
                      </w:txbxContent>
                    </wps:txbx>
                    <wps:bodyPr anchor="t" lIns="635" tIns="635" rIns="635" bIns="635">
                      <a:spAutoFit/>
                    </wps:bodyPr>
                  </wps:wsp>
                </a:graphicData>
              </a:graphic>
            </wp:anchor>
          </w:drawing>
        </mc:Choice>
        <mc:Fallback>
          <w:pict>
            <v:rect fillcolor="#FFFFFF" style="position:absolute;rotation:-0;width:144pt;height:144pt;mso-wrap-distance-left:9.05pt;mso-wrap-distance-right:9.05pt;mso-wrap-distance-top:0pt;mso-wrap-distance-bottom:0pt;margin-top:0pt;mso-position-vertical-relative:text;margin-left:0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0</w:t>
                    </w:r>
                    <w:r>
                      <w:rPr/>
                      <w:fldChar w:fldCharType="end"/>
                    </w:r>
                  </w:p>
                </w:txbxContent>
              </v:textbox>
              <w10:wrap type="none"/>
            </v:rect>
          </w:pict>
        </mc:Fallback>
      </mc:AlternateContent>
    </w:r>
  </w:p>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eastAsia="zh-CN"/>
      </w:rPr>
    </w:pPr>
    <w:r>
      <w:rPr>
        <w:lang w:eastAsia="zh-CN"/>
      </w:rPr>
      <w:tab/>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20">
              <wp:simplePos x="0" y="0"/>
              <wp:positionH relativeFrom="margin">
                <wp:align>center</wp:align>
              </wp:positionH>
              <wp:positionV relativeFrom="paragraph">
                <wp:posOffset>635</wp:posOffset>
              </wp:positionV>
              <wp:extent cx="59055" cy="132715"/>
              <wp:effectExtent l="0" t="0" r="0" b="0"/>
              <wp:wrapNone/>
              <wp:docPr id="18" name="Frame18"/>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7</w:t>
                          </w:r>
                          <w:r>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9.05pt;mso-wrap-distance-top:0pt;mso-wrap-distance-bottom:0pt;margin-top:0pt;mso-position-vertical-relative:text;margin-left:217.4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7</w:t>
                    </w:r>
                    <w:r>
                      <w:rPr/>
                      <w:fldChar w:fldCharType="end"/>
                    </w:r>
                  </w:p>
                </w:txbxContent>
              </v:textbox>
              <w10:wrap type="none"/>
            </v:rect>
          </w:pict>
        </mc:Fallback>
      </mc:AlternateConten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114935" simplePos="0" locked="0" layoutInCell="1" allowOverlap="1" relativeHeight="0">
              <wp:simplePos x="0" y="0"/>
              <wp:positionH relativeFrom="margin">
                <wp:align>center</wp:align>
              </wp:positionH>
              <wp:positionV relativeFrom="paragraph">
                <wp:posOffset>635</wp:posOffset>
              </wp:positionV>
              <wp:extent cx="1828800" cy="1828800"/>
              <wp:effectExtent l="0" t="0" r="0" b="0"/>
              <wp:wrapNone/>
              <wp:docPr id="19" name="Frame21"/>
              <a:graphic xmlns:a="http://schemas.openxmlformats.org/drawingml/2006/main">
                <a:graphicData uri="http://schemas.microsoft.com/office/word/2010/wordprocessingShape">
                  <wps:wsp>
                    <wps:cNvSpPr txBox="1"/>
                    <wps:spPr>
                      <a:xfrm>
                        <a:off x="0" y="0"/>
                        <a:ext cx="1828800" cy="182880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0</w:t>
                          </w:r>
                          <w:r>
                            <w:rPr/>
                            <w:fldChar w:fldCharType="end"/>
                          </w:r>
                        </w:p>
                      </w:txbxContent>
                    </wps:txbx>
                    <wps:bodyPr anchor="t" lIns="635" tIns="635" rIns="635" bIns="635">
                      <a:spAutoFit/>
                    </wps:bodyPr>
                  </wps:wsp>
                </a:graphicData>
              </a:graphic>
            </wp:anchor>
          </w:drawing>
        </mc:Choice>
        <mc:Fallback>
          <w:pict>
            <v:rect fillcolor="#FFFFFF" style="position:absolute;rotation:-0;width:144pt;height:144pt;mso-wrap-distance-left:9.05pt;mso-wrap-distance-right:9.05pt;mso-wrap-distance-top:0pt;mso-wrap-distance-bottom:0pt;margin-top:0pt;mso-position-vertical-relative:text;margin-left:0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0</w:t>
                    </w:r>
                    <w:r>
                      <w:rPr/>
                      <w:fldChar w:fldCharType="end"/>
                    </w:r>
                  </w:p>
                </w:txbxContent>
              </v:textbox>
              <w10:wrap type="none"/>
            </v:rect>
          </w:pict>
        </mc:Fallback>
      </mc:AlternateContent>
    </w:r>
  </w:p>
  <w:p>
    <w:pPr>
      <w:pStyle w:val="Footer"/>
      <w:jc w:val="center"/>
      <w:rPr/>
    </w:pPr>
    <w:r>
      <w:rPr/>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21">
              <wp:simplePos x="0" y="0"/>
              <wp:positionH relativeFrom="margin">
                <wp:align>center</wp:align>
              </wp:positionH>
              <wp:positionV relativeFrom="paragraph">
                <wp:posOffset>635</wp:posOffset>
              </wp:positionV>
              <wp:extent cx="59055" cy="132715"/>
              <wp:effectExtent l="0" t="0" r="0" b="0"/>
              <wp:wrapNone/>
              <wp:docPr id="20" name="Frame20"/>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8</w:t>
                          </w:r>
                          <w:r>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9.05pt;mso-wrap-distance-top:0pt;mso-wrap-distance-bottom:0pt;margin-top:0pt;mso-position-vertical-relative:text;margin-left:217.4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8</w:t>
                    </w:r>
                    <w:r>
                      <w:rPr/>
                      <w:fldChar w:fldCharType="end"/>
                    </w:r>
                  </w:p>
                </w:txbxContent>
              </v:textbox>
              <w10:wrap type="none"/>
            </v:rect>
          </w:pict>
        </mc:Fallback>
      </mc:AlternateContent>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114935" simplePos="0" locked="0" layoutInCell="0" allowOverlap="1" relativeHeight="22">
              <wp:simplePos x="0" y="0"/>
              <wp:positionH relativeFrom="margin">
                <wp:align>center</wp:align>
              </wp:positionH>
              <wp:positionV relativeFrom="paragraph">
                <wp:posOffset>635</wp:posOffset>
              </wp:positionV>
              <wp:extent cx="116205" cy="132715"/>
              <wp:effectExtent l="0" t="0" r="0" b="0"/>
              <wp:wrapNone/>
              <wp:docPr id="21" name="Frame23"/>
              <a:graphic xmlns:a="http://schemas.openxmlformats.org/drawingml/2006/main">
                <a:graphicData uri="http://schemas.microsoft.com/office/word/2010/wordprocessingShape">
                  <wps:wsp>
                    <wps:cNvSpPr txBox="1"/>
                    <wps:spPr>
                      <a:xfrm>
                        <a:off x="0" y="0"/>
                        <a:ext cx="11620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13</w:t>
                          </w:r>
                          <w:r>
                            <w:rPr/>
                            <w:fldChar w:fldCharType="end"/>
                          </w:r>
                        </w:p>
                      </w:txbxContent>
                    </wps:txbx>
                    <wps:bodyPr anchor="t" lIns="635" tIns="635" rIns="635" bIns="635">
                      <a:spAutoFit/>
                    </wps:bodyPr>
                  </wps:wsp>
                </a:graphicData>
              </a:graphic>
            </wp:anchor>
          </w:drawing>
        </mc:Choice>
        <mc:Fallback>
          <w:pict>
            <v:rect fillcolor="#FFFFFF" style="position:absolute;rotation:-0;width:9.15pt;height:10.45pt;mso-wrap-distance-left:9.05pt;mso-wrap-distance-right:9.05pt;mso-wrap-distance-top:0pt;mso-wrap-distance-bottom:0pt;margin-top:0pt;mso-position-vertical-relative:text;margin-left:215.1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13</w:t>
                    </w:r>
                    <w:r>
                      <w:rPr/>
                      <w:fldChar w:fldCharType="end"/>
                    </w:r>
                  </w:p>
                </w:txbxContent>
              </v:textbox>
              <w10:wrap type="none"/>
            </v:rect>
          </w:pict>
        </mc:Fallback>
      </mc:AlternateContent>
    </w:r>
  </w:p>
  <w:p>
    <w:pPr>
      <w:pStyle w:val="Footer"/>
      <w:jc w:val="center"/>
      <w:rPr/>
    </w:pPr>
    <w:r>
      <w:rPr/>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26">
              <wp:simplePos x="0" y="0"/>
              <wp:positionH relativeFrom="margin">
                <wp:align>center</wp:align>
              </wp:positionH>
              <wp:positionV relativeFrom="paragraph">
                <wp:posOffset>635</wp:posOffset>
              </wp:positionV>
              <wp:extent cx="59055" cy="132715"/>
              <wp:effectExtent l="0" t="0" r="0" b="0"/>
              <wp:wrapNone/>
              <wp:docPr id="22" name="Frame22"/>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9</w:t>
                          </w:r>
                          <w:r>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9.05pt;mso-wrap-distance-top:0pt;mso-wrap-distance-bottom:0pt;margin-top:0pt;mso-position-vertical-relative:text;margin-left:217.4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9</w:t>
                    </w:r>
                    <w:r>
                      <w:rPr/>
                      <w:fldChar w:fldCharType="end"/>
                    </w:r>
                  </w:p>
                </w:txbxContent>
              </v:textbox>
              <w10:wrap type="none"/>
            </v:rect>
          </w:pict>
        </mc:Fallback>
      </mc:AlternateContent>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114935" simplePos="0" locked="0" layoutInCell="0" allowOverlap="1" relativeHeight="27">
              <wp:simplePos x="0" y="0"/>
              <wp:positionH relativeFrom="margin">
                <wp:align>center</wp:align>
              </wp:positionH>
              <wp:positionV relativeFrom="paragraph">
                <wp:posOffset>635</wp:posOffset>
              </wp:positionV>
              <wp:extent cx="116205" cy="132715"/>
              <wp:effectExtent l="0" t="0" r="0" b="0"/>
              <wp:wrapNone/>
              <wp:docPr id="23" name="Frame25"/>
              <a:graphic xmlns:a="http://schemas.openxmlformats.org/drawingml/2006/main">
                <a:graphicData uri="http://schemas.microsoft.com/office/word/2010/wordprocessingShape">
                  <wps:wsp>
                    <wps:cNvSpPr txBox="1"/>
                    <wps:spPr>
                      <a:xfrm>
                        <a:off x="0" y="0"/>
                        <a:ext cx="11620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15</w:t>
                          </w:r>
                          <w:r>
                            <w:rPr/>
                            <w:fldChar w:fldCharType="end"/>
                          </w:r>
                        </w:p>
                      </w:txbxContent>
                    </wps:txbx>
                    <wps:bodyPr anchor="t" lIns="635" tIns="635" rIns="635" bIns="635">
                      <a:spAutoFit/>
                    </wps:bodyPr>
                  </wps:wsp>
                </a:graphicData>
              </a:graphic>
            </wp:anchor>
          </w:drawing>
        </mc:Choice>
        <mc:Fallback>
          <w:pict>
            <v:rect fillcolor="#FFFFFF" style="position:absolute;rotation:-0;width:9.15pt;height:10.45pt;mso-wrap-distance-left:9.05pt;mso-wrap-distance-right:9.05pt;mso-wrap-distance-top:0pt;mso-wrap-distance-bottom:0pt;margin-top:0pt;mso-position-vertical-relative:text;margin-left:215.1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15</w:t>
                    </w:r>
                    <w:r>
                      <w:rPr/>
                      <w:fldChar w:fldCharType="end"/>
                    </w:r>
                  </w:p>
                </w:txbxContent>
              </v:textbox>
              <w10:wrap type="none"/>
            </v:rect>
          </w:pict>
        </mc:Fallback>
      </mc:AlternateContent>
    </w:r>
  </w:p>
  <w:p>
    <w:pPr>
      <w:pStyle w:val="Footer"/>
      <w:jc w:val="center"/>
      <w:rPr/>
    </w:pPr>
    <w:r>
      <w:rPr/>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28">
              <wp:simplePos x="0" y="0"/>
              <wp:positionH relativeFrom="margin">
                <wp:align>center</wp:align>
              </wp:positionH>
              <wp:positionV relativeFrom="paragraph">
                <wp:posOffset>635</wp:posOffset>
              </wp:positionV>
              <wp:extent cx="116205" cy="132715"/>
              <wp:effectExtent l="0" t="0" r="0" b="0"/>
              <wp:wrapNone/>
              <wp:docPr id="24" name="Frame24"/>
              <a:graphic xmlns:a="http://schemas.openxmlformats.org/drawingml/2006/main">
                <a:graphicData uri="http://schemas.microsoft.com/office/word/2010/wordprocessingShape">
                  <wps:wsp>
                    <wps:cNvSpPr txBox="1"/>
                    <wps:spPr>
                      <a:xfrm>
                        <a:off x="0" y="0"/>
                        <a:ext cx="11620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14</w:t>
                          </w:r>
                          <w:r>
                            <w:rPr/>
                            <w:fldChar w:fldCharType="end"/>
                          </w:r>
                        </w:p>
                      </w:txbxContent>
                    </wps:txbx>
                    <wps:bodyPr anchor="t" lIns="635" tIns="635" rIns="635" bIns="635">
                      <a:spAutoFit/>
                    </wps:bodyPr>
                  </wps:wsp>
                </a:graphicData>
              </a:graphic>
            </wp:anchor>
          </w:drawing>
        </mc:Choice>
        <mc:Fallback>
          <w:pict>
            <v:rect fillcolor="#FFFFFF" style="position:absolute;rotation:-0;width:9.15pt;height:10.45pt;mso-wrap-distance-left:9.05pt;mso-wrap-distance-right:9.05pt;mso-wrap-distance-top:0pt;mso-wrap-distance-bottom:0pt;margin-top:0pt;mso-position-vertical-relative:text;margin-left:215.1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14</w:t>
                    </w:r>
                    <w:r>
                      <w:rPr/>
                      <w:fldChar w:fldCharType="end"/>
                    </w:r>
                  </w:p>
                </w:txbxContent>
              </v:textbox>
              <w10:wrap type="none"/>
            </v:rect>
          </w:pict>
        </mc:Fallback>
      </mc:AlternateContent>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114935" simplePos="0" locked="0" layoutInCell="1" allowOverlap="1" relativeHeight="0">
              <wp:simplePos x="0" y="0"/>
              <wp:positionH relativeFrom="margin">
                <wp:align>center</wp:align>
              </wp:positionH>
              <wp:positionV relativeFrom="paragraph">
                <wp:posOffset>635</wp:posOffset>
              </wp:positionV>
              <wp:extent cx="1828800" cy="1828800"/>
              <wp:effectExtent l="0" t="0" r="0" b="0"/>
              <wp:wrapNone/>
              <wp:docPr id="25" name="Frame27"/>
              <a:graphic xmlns:a="http://schemas.openxmlformats.org/drawingml/2006/main">
                <a:graphicData uri="http://schemas.microsoft.com/office/word/2010/wordprocessingShape">
                  <wps:wsp>
                    <wps:cNvSpPr txBox="1"/>
                    <wps:spPr>
                      <a:xfrm>
                        <a:off x="0" y="0"/>
                        <a:ext cx="1828800" cy="182880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0</w:t>
                          </w:r>
                          <w:r>
                            <w:rPr/>
                            <w:fldChar w:fldCharType="end"/>
                          </w:r>
                        </w:p>
                      </w:txbxContent>
                    </wps:txbx>
                    <wps:bodyPr anchor="t" lIns="635" tIns="635" rIns="635" bIns="635">
                      <a:spAutoFit/>
                    </wps:bodyPr>
                  </wps:wsp>
                </a:graphicData>
              </a:graphic>
            </wp:anchor>
          </w:drawing>
        </mc:Choice>
        <mc:Fallback>
          <w:pict>
            <v:rect fillcolor="#FFFFFF" style="position:absolute;rotation:-0;width:144pt;height:144pt;mso-wrap-distance-left:9.05pt;mso-wrap-distance-right:9.05pt;mso-wrap-distance-top:0pt;mso-wrap-distance-bottom:0pt;margin-top:0pt;mso-position-vertical-relative:text;margin-left:0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0</w:t>
                    </w:r>
                    <w:r>
                      <w:rPr/>
                      <w:fldChar w:fldCharType="end"/>
                    </w:r>
                  </w:p>
                </w:txbxContent>
              </v:textbox>
              <w10:wrap type="none"/>
            </v:rect>
          </w:pict>
        </mc:Fallback>
      </mc:AlternateContent>
    </w:r>
  </w:p>
  <w:p>
    <w:pPr>
      <w:pStyle w:val="Footer"/>
      <w:jc w:val="center"/>
      <w:rPr/>
    </w:pPr>
    <w:r>
      <w:rPr/>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29">
              <wp:simplePos x="0" y="0"/>
              <wp:positionH relativeFrom="margin">
                <wp:align>center</wp:align>
              </wp:positionH>
              <wp:positionV relativeFrom="paragraph">
                <wp:posOffset>635</wp:posOffset>
              </wp:positionV>
              <wp:extent cx="116205" cy="132715"/>
              <wp:effectExtent l="0" t="0" r="0" b="0"/>
              <wp:wrapNone/>
              <wp:docPr id="26" name="Frame26"/>
              <a:graphic xmlns:a="http://schemas.openxmlformats.org/drawingml/2006/main">
                <a:graphicData uri="http://schemas.microsoft.com/office/word/2010/wordprocessingShape">
                  <wps:wsp>
                    <wps:cNvSpPr txBox="1"/>
                    <wps:spPr>
                      <a:xfrm>
                        <a:off x="0" y="0"/>
                        <a:ext cx="11620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16</w:t>
                          </w:r>
                          <w:r>
                            <w:rPr/>
                            <w:fldChar w:fldCharType="end"/>
                          </w:r>
                        </w:p>
                      </w:txbxContent>
                    </wps:txbx>
                    <wps:bodyPr anchor="t" lIns="635" tIns="635" rIns="635" bIns="635">
                      <a:spAutoFit/>
                    </wps:bodyPr>
                  </wps:wsp>
                </a:graphicData>
              </a:graphic>
            </wp:anchor>
          </w:drawing>
        </mc:Choice>
        <mc:Fallback>
          <w:pict>
            <v:rect fillcolor="#FFFFFF" style="position:absolute;rotation:-0;width:9.15pt;height:10.45pt;mso-wrap-distance-left:9.05pt;mso-wrap-distance-right:9.05pt;mso-wrap-distance-top:0pt;mso-wrap-distance-bottom:0pt;margin-top:0pt;mso-position-vertical-relative:text;margin-left:215.1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16</w:t>
                    </w:r>
                    <w:r>
                      <w:rPr/>
                      <w:fldChar w:fldCharType="end"/>
                    </w:r>
                  </w:p>
                </w:txbxContent>
              </v:textbox>
              <w10:wrap type="none"/>
            </v:rect>
          </w:pict>
        </mc:Fallback>
      </mc:AlternateContent>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114935" simplePos="0" locked="0" layoutInCell="1" allowOverlap="1" relativeHeight="0">
              <wp:simplePos x="0" y="0"/>
              <wp:positionH relativeFrom="margin">
                <wp:align>center</wp:align>
              </wp:positionH>
              <wp:positionV relativeFrom="paragraph">
                <wp:posOffset>635</wp:posOffset>
              </wp:positionV>
              <wp:extent cx="1828800" cy="1828800"/>
              <wp:effectExtent l="0" t="0" r="0" b="0"/>
              <wp:wrapNone/>
              <wp:docPr id="27" name="Frame29"/>
              <a:graphic xmlns:a="http://schemas.openxmlformats.org/drawingml/2006/main">
                <a:graphicData uri="http://schemas.microsoft.com/office/word/2010/wordprocessingShape">
                  <wps:wsp>
                    <wps:cNvSpPr txBox="1"/>
                    <wps:spPr>
                      <a:xfrm>
                        <a:off x="0" y="0"/>
                        <a:ext cx="1828800" cy="182880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0</w:t>
                          </w:r>
                          <w:r>
                            <w:rPr/>
                            <w:fldChar w:fldCharType="end"/>
                          </w:r>
                        </w:p>
                      </w:txbxContent>
                    </wps:txbx>
                    <wps:bodyPr anchor="t" lIns="635" tIns="635" rIns="635" bIns="635">
                      <a:spAutoFit/>
                    </wps:bodyPr>
                  </wps:wsp>
                </a:graphicData>
              </a:graphic>
            </wp:anchor>
          </w:drawing>
        </mc:Choice>
        <mc:Fallback>
          <w:pict>
            <v:rect fillcolor="#FFFFFF" style="position:absolute;rotation:-0;width:144pt;height:144pt;mso-wrap-distance-left:9.05pt;mso-wrap-distance-right:9.05pt;mso-wrap-distance-top:0pt;mso-wrap-distance-bottom:0pt;margin-top:0pt;mso-position-vertical-relative:text;margin-left:0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0</w:t>
                    </w:r>
                    <w:r>
                      <w:rPr/>
                      <w:fldChar w:fldCharType="end"/>
                    </w:r>
                  </w:p>
                </w:txbxContent>
              </v:textbox>
              <w10:wrap type="none"/>
            </v:rect>
          </w:pict>
        </mc:Fallback>
      </mc:AlternateContent>
    </w:r>
  </w:p>
  <w:p>
    <w:pPr>
      <w:pStyle w:val="Footer"/>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jc w:val="center"/>
      <w:rPr/>
    </w:pPr>
    <w:r>
      <w:rPr/>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30">
              <wp:simplePos x="0" y="0"/>
              <wp:positionH relativeFrom="margin">
                <wp:align>center</wp:align>
              </wp:positionH>
              <wp:positionV relativeFrom="paragraph">
                <wp:posOffset>635</wp:posOffset>
              </wp:positionV>
              <wp:extent cx="116205" cy="132715"/>
              <wp:effectExtent l="0" t="0" r="0" b="0"/>
              <wp:wrapNone/>
              <wp:docPr id="28" name="Frame28"/>
              <a:graphic xmlns:a="http://schemas.openxmlformats.org/drawingml/2006/main">
                <a:graphicData uri="http://schemas.microsoft.com/office/word/2010/wordprocessingShape">
                  <wps:wsp>
                    <wps:cNvSpPr txBox="1"/>
                    <wps:spPr>
                      <a:xfrm>
                        <a:off x="0" y="0"/>
                        <a:ext cx="11620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17</w:t>
                          </w:r>
                          <w:r>
                            <w:rPr/>
                            <w:fldChar w:fldCharType="end"/>
                          </w:r>
                        </w:p>
                      </w:txbxContent>
                    </wps:txbx>
                    <wps:bodyPr anchor="t" lIns="635" tIns="635" rIns="635" bIns="635">
                      <a:spAutoFit/>
                    </wps:bodyPr>
                  </wps:wsp>
                </a:graphicData>
              </a:graphic>
            </wp:anchor>
          </w:drawing>
        </mc:Choice>
        <mc:Fallback>
          <w:pict>
            <v:rect fillcolor="#FFFFFF" style="position:absolute;rotation:-0;width:9.15pt;height:10.45pt;mso-wrap-distance-left:9.05pt;mso-wrap-distance-right:9.05pt;mso-wrap-distance-top:0pt;mso-wrap-distance-bottom:0pt;margin-top:0pt;mso-position-vertical-relative:text;margin-left:215.1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17</w:t>
                    </w:r>
                    <w:r>
                      <w:rPr/>
                      <w:fldChar w:fldCharType="end"/>
                    </w:r>
                  </w:p>
                </w:txbxContent>
              </v:textbox>
              <w10:wrap type="none"/>
            </v:rect>
          </w:pict>
        </mc:Fallback>
      </mc:AlternateContent>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114935" simplePos="0" locked="0" layoutInCell="1" allowOverlap="1" relativeHeight="0">
              <wp:simplePos x="0" y="0"/>
              <wp:positionH relativeFrom="margin">
                <wp:align>center</wp:align>
              </wp:positionH>
              <wp:positionV relativeFrom="paragraph">
                <wp:posOffset>635</wp:posOffset>
              </wp:positionV>
              <wp:extent cx="1828800" cy="1828800"/>
              <wp:effectExtent l="0" t="0" r="0" b="0"/>
              <wp:wrapNone/>
              <wp:docPr id="29" name="Frame31"/>
              <a:graphic xmlns:a="http://schemas.openxmlformats.org/drawingml/2006/main">
                <a:graphicData uri="http://schemas.microsoft.com/office/word/2010/wordprocessingShape">
                  <wps:wsp>
                    <wps:cNvSpPr txBox="1"/>
                    <wps:spPr>
                      <a:xfrm>
                        <a:off x="0" y="0"/>
                        <a:ext cx="1828800" cy="182880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0</w:t>
                          </w:r>
                          <w:r>
                            <w:rPr/>
                            <w:fldChar w:fldCharType="end"/>
                          </w:r>
                        </w:p>
                      </w:txbxContent>
                    </wps:txbx>
                    <wps:bodyPr anchor="t" lIns="635" tIns="635" rIns="635" bIns="635">
                      <a:spAutoFit/>
                    </wps:bodyPr>
                  </wps:wsp>
                </a:graphicData>
              </a:graphic>
            </wp:anchor>
          </w:drawing>
        </mc:Choice>
        <mc:Fallback>
          <w:pict>
            <v:rect fillcolor="#FFFFFF" style="position:absolute;rotation:-0;width:144pt;height:144pt;mso-wrap-distance-left:9.05pt;mso-wrap-distance-right:9.05pt;mso-wrap-distance-top:0pt;mso-wrap-distance-bottom:0pt;margin-top:0pt;mso-position-vertical-relative:text;margin-left:0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0</w:t>
                    </w:r>
                    <w:r>
                      <w:rPr/>
                      <w:fldChar w:fldCharType="end"/>
                    </w:r>
                  </w:p>
                </w:txbxContent>
              </v:textbox>
              <w10:wrap type="none"/>
            </v:rect>
          </w:pict>
        </mc:Fallback>
      </mc:AlternateContent>
    </w:r>
  </w:p>
  <w:p>
    <w:pPr>
      <w:pStyle w:val="Footer"/>
      <w:jc w:val="center"/>
      <w:rPr/>
    </w:pPr>
    <w:r>
      <w:rPr/>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31">
              <wp:simplePos x="0" y="0"/>
              <wp:positionH relativeFrom="margin">
                <wp:align>center</wp:align>
              </wp:positionH>
              <wp:positionV relativeFrom="paragraph">
                <wp:posOffset>635</wp:posOffset>
              </wp:positionV>
              <wp:extent cx="116205" cy="132715"/>
              <wp:effectExtent l="0" t="0" r="0" b="0"/>
              <wp:wrapNone/>
              <wp:docPr id="30" name="Frame30"/>
              <a:graphic xmlns:a="http://schemas.openxmlformats.org/drawingml/2006/main">
                <a:graphicData uri="http://schemas.microsoft.com/office/word/2010/wordprocessingShape">
                  <wps:wsp>
                    <wps:cNvSpPr txBox="1"/>
                    <wps:spPr>
                      <a:xfrm>
                        <a:off x="0" y="0"/>
                        <a:ext cx="11620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18</w:t>
                          </w:r>
                          <w:r>
                            <w:rPr/>
                            <w:fldChar w:fldCharType="end"/>
                          </w:r>
                        </w:p>
                      </w:txbxContent>
                    </wps:txbx>
                    <wps:bodyPr anchor="t" lIns="635" tIns="635" rIns="635" bIns="635">
                      <a:spAutoFit/>
                    </wps:bodyPr>
                  </wps:wsp>
                </a:graphicData>
              </a:graphic>
            </wp:anchor>
          </w:drawing>
        </mc:Choice>
        <mc:Fallback>
          <w:pict>
            <v:rect fillcolor="#FFFFFF" style="position:absolute;rotation:-0;width:9.15pt;height:10.45pt;mso-wrap-distance-left:9.05pt;mso-wrap-distance-right:9.05pt;mso-wrap-distance-top:0pt;mso-wrap-distance-bottom:0pt;margin-top:0pt;mso-position-vertical-relative:text;margin-left:215.1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18</w:t>
                    </w:r>
                    <w:r>
                      <w:rPr/>
                      <w:fldChar w:fldCharType="end"/>
                    </w:r>
                  </w:p>
                </w:txbxContent>
              </v:textbox>
              <w10:wrap type="none"/>
            </v:rect>
          </w:pict>
        </mc:Fallback>
      </mc:AlternateContent>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114935" simplePos="0" locked="0" layoutInCell="1" allowOverlap="1" relativeHeight="0">
              <wp:simplePos x="0" y="0"/>
              <wp:positionH relativeFrom="margin">
                <wp:align>center</wp:align>
              </wp:positionH>
              <wp:positionV relativeFrom="paragraph">
                <wp:posOffset>635</wp:posOffset>
              </wp:positionV>
              <wp:extent cx="1828800" cy="1828800"/>
              <wp:effectExtent l="0" t="0" r="0" b="0"/>
              <wp:wrapNone/>
              <wp:docPr id="31" name="Frame33"/>
              <a:graphic xmlns:a="http://schemas.openxmlformats.org/drawingml/2006/main">
                <a:graphicData uri="http://schemas.microsoft.com/office/word/2010/wordprocessingShape">
                  <wps:wsp>
                    <wps:cNvSpPr txBox="1"/>
                    <wps:spPr>
                      <a:xfrm>
                        <a:off x="0" y="0"/>
                        <a:ext cx="1828800" cy="182880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0</w:t>
                          </w:r>
                          <w:r>
                            <w:rPr/>
                            <w:fldChar w:fldCharType="end"/>
                          </w:r>
                        </w:p>
                      </w:txbxContent>
                    </wps:txbx>
                    <wps:bodyPr anchor="t" lIns="635" tIns="635" rIns="635" bIns="635">
                      <a:spAutoFit/>
                    </wps:bodyPr>
                  </wps:wsp>
                </a:graphicData>
              </a:graphic>
            </wp:anchor>
          </w:drawing>
        </mc:Choice>
        <mc:Fallback>
          <w:pict>
            <v:rect fillcolor="#FFFFFF" style="position:absolute;rotation:-0;width:144pt;height:144pt;mso-wrap-distance-left:9.05pt;mso-wrap-distance-right:9.05pt;mso-wrap-distance-top:0pt;mso-wrap-distance-bottom:0pt;margin-top:0pt;mso-position-vertical-relative:text;margin-left:0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0</w:t>
                    </w:r>
                    <w:r>
                      <w:rPr/>
                      <w:fldChar w:fldCharType="end"/>
                    </w:r>
                  </w:p>
                </w:txbxContent>
              </v:textbox>
              <w10:wrap type="none"/>
            </v:rect>
          </w:pict>
        </mc:Fallback>
      </mc:AlternateContent>
    </w:r>
  </w:p>
  <w:p>
    <w:pPr>
      <w:pStyle w:val="Footer"/>
      <w:jc w:val="center"/>
      <w:rPr/>
    </w:pPr>
    <w:r>
      <w:rPr/>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32">
              <wp:simplePos x="0" y="0"/>
              <wp:positionH relativeFrom="margin">
                <wp:align>center</wp:align>
              </wp:positionH>
              <wp:positionV relativeFrom="paragraph">
                <wp:posOffset>635</wp:posOffset>
              </wp:positionV>
              <wp:extent cx="116205" cy="132715"/>
              <wp:effectExtent l="0" t="0" r="0" b="0"/>
              <wp:wrapNone/>
              <wp:docPr id="32" name="Frame32"/>
              <a:graphic xmlns:a="http://schemas.openxmlformats.org/drawingml/2006/main">
                <a:graphicData uri="http://schemas.microsoft.com/office/word/2010/wordprocessingShape">
                  <wps:wsp>
                    <wps:cNvSpPr txBox="1"/>
                    <wps:spPr>
                      <a:xfrm>
                        <a:off x="0" y="0"/>
                        <a:ext cx="11620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19</w:t>
                          </w:r>
                          <w:r>
                            <w:rPr/>
                            <w:fldChar w:fldCharType="end"/>
                          </w:r>
                        </w:p>
                      </w:txbxContent>
                    </wps:txbx>
                    <wps:bodyPr anchor="t" lIns="635" tIns="635" rIns="635" bIns="635">
                      <a:spAutoFit/>
                    </wps:bodyPr>
                  </wps:wsp>
                </a:graphicData>
              </a:graphic>
            </wp:anchor>
          </w:drawing>
        </mc:Choice>
        <mc:Fallback>
          <w:pict>
            <v:rect fillcolor="#FFFFFF" style="position:absolute;rotation:-0;width:9.15pt;height:10.45pt;mso-wrap-distance-left:9.05pt;mso-wrap-distance-right:9.05pt;mso-wrap-distance-top:0pt;mso-wrap-distance-bottom:0pt;margin-top:0pt;mso-position-vertical-relative:text;margin-left:215.1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19</w:t>
                    </w:r>
                    <w:r>
                      <w:rPr/>
                      <w:fldChar w:fldCharType="end"/>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b w:val="false"/>
        <w:bCs w:val="false"/>
        <w:color w:val="000000"/>
        <w:lang w:val="en-US" w:eastAsia="zh-CN"/>
      </w:rPr>
    </w:pPr>
    <w:r>
      <w:rPr>
        <w:b w:val="false"/>
        <w:bCs w:val="false"/>
        <w:color w:val="000000"/>
        <w:lang w:val="en-US" w:eastAsia="zh-CN"/>
      </w:rPr>
      <w:t>1</w:t>
    </w:r>
    <w:r>
      <mc:AlternateContent>
        <mc:Choice Requires="wps">
          <w:drawing>
            <wp:anchor behindDoc="1" distT="0" distB="0" distL="114935" distR="114935" simplePos="0" locked="0" layoutInCell="0" allowOverlap="1" relativeHeight="41">
              <wp:simplePos x="0" y="0"/>
              <wp:positionH relativeFrom="margin">
                <wp:align>center</wp:align>
              </wp:positionH>
              <wp:positionV relativeFrom="paragraph">
                <wp:posOffset>-7620</wp:posOffset>
              </wp:positionV>
              <wp:extent cx="89535" cy="163195"/>
              <wp:effectExtent l="0" t="0" r="0" b="0"/>
              <wp:wrapNone/>
              <wp:docPr id="1" name="Frame5"/>
              <a:graphic xmlns:a="http://schemas.openxmlformats.org/drawingml/2006/main">
                <a:graphicData uri="http://schemas.microsoft.com/office/word/2010/wordprocessingShape">
                  <wps:wsp>
                    <wps:cNvSpPr txBox="1"/>
                    <wps:spPr>
                      <a:xfrm>
                        <a:off x="0" y="0"/>
                        <a:ext cx="89535" cy="163195"/>
                      </a:xfrm>
                      <a:prstGeom prst="rect"/>
                      <a:solidFill>
                        <a:srgbClr val="FFFFFF"/>
                      </a:solidFill>
                      <a:ln w="15875">
                        <a:solidFill>
                          <a:srgbClr val="FFFFFF"/>
                        </a:solidFill>
                      </a:ln>
                    </wps:spPr>
                    <wps:txbx>
                      <w:txbxContent>
                        <w:p>
                          <w:pPr>
                            <w:pStyle w:val="Footer"/>
                            <w:rPr>
                              <w:color w:val="000000"/>
                            </w:rPr>
                          </w:pPr>
                          <w:r>
                            <w:rPr>
                              <w:color w:val="000000"/>
                            </w:rPr>
                            <w:fldChar w:fldCharType="begin"/>
                          </w:r>
                          <w:r>
                            <w:rPr>
                              <w:color w:val="000000"/>
                            </w:rPr>
                            <w:instrText xml:space="preserve"> PAGE </w:instrText>
                          </w:r>
                          <w:r>
                            <w:rPr>
                              <w:color w:val="000000"/>
                            </w:rPr>
                            <w:fldChar w:fldCharType="separate"/>
                          </w:r>
                          <w:r>
                            <w:rPr>
                              <w:color w:val="000000"/>
                            </w:rPr>
                            <w:t>3</w:t>
                          </w:r>
                          <w:r>
                            <w:rPr>
                              <w:color w:val="000000"/>
                            </w:rPr>
                            <w:fldChar w:fldCharType="end"/>
                          </w:r>
                        </w:p>
                      </w:txbxContent>
                    </wps:txbx>
                    <wps:bodyPr anchor="t" lIns="0" tIns="0" rIns="0" bIns="0">
                      <a:spAutoFit/>
                    </wps:bodyPr>
                  </wps:wsp>
                </a:graphicData>
              </a:graphic>
            </wp:anchor>
          </w:drawing>
        </mc:Choice>
        <mc:Fallback>
          <w:pict>
            <v:rect fillcolor="#FFFFFF" strokecolor="#FFFFFF" strokeweight="1pt" style="position:absolute;rotation:-0;width:7.05pt;height:12.85pt;mso-wrap-distance-left:9.05pt;mso-wrap-distance-right:9.05pt;mso-wrap-distance-top:0pt;mso-wrap-distance-bottom:0pt;margin-top:-0.6pt;mso-position-vertical-relative:text;margin-left:216.2pt;mso-position-horizontal:center;mso-position-horizontal-relative:margin">
              <v:textbox inset="0in,0in,0in,0in">
                <w:txbxContent>
                  <w:p>
                    <w:pPr>
                      <w:pStyle w:val="Footer"/>
                      <w:rPr>
                        <w:color w:val="000000"/>
                      </w:rPr>
                    </w:pPr>
                    <w:r>
                      <w:rPr>
                        <w:color w:val="000000"/>
                      </w:rPr>
                      <w:fldChar w:fldCharType="begin"/>
                    </w:r>
                    <w:r>
                      <w:rPr>
                        <w:color w:val="000000"/>
                      </w:rPr>
                      <w:instrText xml:space="preserve"> PAGE </w:instrText>
                    </w:r>
                    <w:r>
                      <w:rPr>
                        <w:color w:val="000000"/>
                      </w:rPr>
                      <w:fldChar w:fldCharType="separate"/>
                    </w:r>
                    <w:r>
                      <w:rPr>
                        <w:color w:val="000000"/>
                      </w:rPr>
                      <w:t>3</w:t>
                    </w:r>
                    <w:r>
                      <w:rPr>
                        <w:color w:val="000000"/>
                      </w:rPr>
                      <w:fldChar w:fldCharType="end"/>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18"/>
      </w:rPr>
    </w:pPr>
    <w:r>
      <w:rPr>
        <w:sz w:val="18"/>
      </w:rPr>
    </w:r>
    <w:r>
      <mc:AlternateContent>
        <mc:Choice Requires="wps">
          <w:drawing>
            <wp:anchor behindDoc="1" distT="0" distB="0" distL="114935" distR="114935" simplePos="0" locked="0" layoutInCell="0" allowOverlap="1" relativeHeight="40">
              <wp:simplePos x="0" y="0"/>
              <wp:positionH relativeFrom="margin">
                <wp:align>center</wp:align>
              </wp:positionH>
              <wp:positionV relativeFrom="paragraph">
                <wp:posOffset>635</wp:posOffset>
              </wp:positionV>
              <wp:extent cx="59055" cy="132715"/>
              <wp:effectExtent l="0" t="0" r="0" b="0"/>
              <wp:wrapNone/>
              <wp:docPr id="2" name="Frame7"/>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5</w:t>
                          </w:r>
                          <w:r>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9.05pt;mso-wrap-distance-top:0pt;mso-wrap-distance-bottom:0pt;margin-top:0pt;mso-position-vertical-relative:text;margin-left:217.4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5</w:t>
                    </w:r>
                    <w:r>
                      <w:rPr/>
                      <w:fldChar w:fldCharType="end"/>
                    </w:r>
                  </w:p>
                </w:txbxContent>
              </v:textbox>
              <w10:wrap type="none"/>
            </v:rect>
          </w:pict>
        </mc:Fallback>
      </mc:AlternateContent>
    </w:r>
  </w:p>
  <w:p>
    <w:pPr>
      <w:pStyle w:val="Footer"/>
      <w:jc w:val="cen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33">
              <wp:simplePos x="0" y="0"/>
              <wp:positionH relativeFrom="margin">
                <wp:align>center</wp:align>
              </wp:positionH>
              <wp:positionV relativeFrom="paragraph">
                <wp:posOffset>635</wp:posOffset>
              </wp:positionV>
              <wp:extent cx="59055" cy="132715"/>
              <wp:effectExtent l="0" t="0" r="0" b="0"/>
              <wp:wrapNone/>
              <wp:docPr id="3" name="Frame6"/>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4</w:t>
                          </w:r>
                          <w:r>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9.05pt;mso-wrap-distance-top:0pt;mso-wrap-distance-bottom:0pt;margin-top:0pt;mso-position-vertical-relative:text;margin-left:217.4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4</w:t>
                    </w:r>
                    <w:r>
                      <w:rPr/>
                      <w:fldChar w:fldCharType="end"/>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18"/>
      </w:rPr>
    </w:pPr>
    <w:r>
      <w:rPr>
        <w:sz w:val="18"/>
      </w:rPr>
    </w:r>
    <w:r>
      <mc:AlternateContent>
        <mc:Choice Requires="wps">
          <w:drawing>
            <wp:anchor behindDoc="1" distT="0" distB="0" distL="114935" distR="114935" simplePos="0" locked="0" layoutInCell="0" allowOverlap="1" relativeHeight="39">
              <wp:simplePos x="0" y="0"/>
              <wp:positionH relativeFrom="margin">
                <wp:align>center</wp:align>
              </wp:positionH>
              <wp:positionV relativeFrom="paragraph">
                <wp:posOffset>635</wp:posOffset>
              </wp:positionV>
              <wp:extent cx="59055" cy="132715"/>
              <wp:effectExtent l="0" t="0" r="0" b="0"/>
              <wp:wrapNone/>
              <wp:docPr id="4" name="Frame9"/>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6</w:t>
                          </w:r>
                          <w:r>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9.05pt;mso-wrap-distance-top:0pt;mso-wrap-distance-bottom:0pt;margin-top:0pt;mso-position-vertical-relative:text;margin-left:217.4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6</w:t>
                    </w:r>
                    <w:r>
                      <w:rPr/>
                      <w:fldChar w:fldCharType="end"/>
                    </w:r>
                  </w:p>
                </w:txbxContent>
              </v:textbox>
              <w10:wrap type="none"/>
            </v:rect>
          </w:pict>
        </mc:Fallback>
      </mc:AlternateContent>
    </w:r>
  </w:p>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3"/>
      <w:numFmt w:val="decimal"/>
      <w:lvlText w:val="%1."/>
      <w:lvlJc w:val="start"/>
      <w:pPr>
        <w:tabs>
          <w:tab w:val="num" w:pos="0"/>
        </w:tabs>
        <w:ind w:start="0" w:hanging="0"/>
      </w:pPr>
    </w:lvl>
  </w:abstractNum>
  <w:abstractNum w:abstractNumId="2">
    <w:lvl w:ilvl="0">
      <w:start w:val="2"/>
      <w:numFmt w:val="taiwaneseCountingThousand"/>
      <w:suff w:val="nothing"/>
      <w:lvlText w:val="（%1）"/>
      <w:lvlJc w:val="start"/>
      <w:pPr>
        <w:tabs>
          <w:tab w:val="num" w:pos="0"/>
        </w:tabs>
        <w:ind w:start="0" w:hanging="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trackRevisions/>
  <w:defaultTabStop w:val="420"/>
  <w:autoHyphenation w:val="true"/>
  <w:hyphenationZone w:val="0"/>
  <w:compat>
    <w:doNotExpandShiftReturn/>
    <w:compatSetting w:name="compatibilityMode" w:uri="http://schemas.microsoft.com/office/word" w:val="11"/>
  </w:compat>
  <w:docVars>
    <w:docVar w:name="commondata" w:val="eyJoZGlkIjoiMWVkMzFjN2I5MzBiYjFhNGNjZGM0OGVhMTQ5ZTEwYm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next w:val="PlainText"/>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Char">
    <w:name w:val="批注文字 Char"/>
    <w:qFormat/>
    <w:rPr>
      <w:kern w:val="2"/>
      <w:sz w:val="21"/>
      <w:szCs w:val="24"/>
    </w:rPr>
  </w:style>
  <w:style w:type="character" w:styleId="Char1">
    <w:name w:val="批注框文本 Char"/>
    <w:qFormat/>
    <w:rPr>
      <w:kern w:val="2"/>
      <w:sz w:val="18"/>
      <w:szCs w:val="18"/>
    </w:rPr>
  </w:style>
  <w:style w:type="character" w:styleId="Char2">
    <w:name w:val="页脚 Char"/>
    <w:qFormat/>
    <w:rPr>
      <w:kern w:val="2"/>
      <w:sz w:val="18"/>
      <w:szCs w:val="18"/>
    </w:rPr>
  </w:style>
  <w:style w:type="character" w:styleId="Char3">
    <w:name w:val="页眉 Char"/>
    <w:qFormat/>
    <w:rPr>
      <w:kern w:val="2"/>
      <w:sz w:val="18"/>
      <w:szCs w:val="18"/>
    </w:rPr>
  </w:style>
  <w:style w:type="character" w:styleId="Char4">
    <w:name w:val="批注主题 Char"/>
    <w:qFormat/>
    <w:rPr>
      <w:b/>
      <w:bCs/>
      <w:kern w:val="2"/>
      <w:sz w:val="21"/>
      <w:szCs w:val="24"/>
    </w:rPr>
  </w:style>
  <w:style w:type="character" w:styleId="Strong">
    <w:name w:val="Strong"/>
    <w:qFormat/>
    <w:rPr>
      <w:b/>
      <w:bCs/>
    </w:rPr>
  </w:style>
  <w:style w:type="character" w:styleId="PageNumber">
    <w:name w:val="page number"/>
    <w:rPr/>
  </w:style>
  <w:style w:type="character" w:styleId="Emphasis">
    <w:name w:val="Emphasis"/>
    <w:qFormat/>
    <w:rPr>
      <w:i/>
      <w:iCs/>
    </w:rPr>
  </w:style>
  <w:style w:type="character" w:styleId="Hyperlink">
    <w:name w:val="Hyperlink"/>
    <w:rPr>
      <w:strike w:val="false"/>
      <w:dstrike w:val="false"/>
      <w:color w:val="002D93"/>
      <w:u w:val="none"/>
    </w:rPr>
  </w:style>
  <w:style w:type="character" w:styleId="Style15">
    <w:name w:val="批注引用"/>
    <w:qFormat/>
    <w:rPr>
      <w:sz w:val="21"/>
      <w:szCs w:val="21"/>
    </w:rPr>
  </w:style>
  <w:style w:type="character" w:styleId="2pt5">
    <w:name w:val="正文文本 + 间距 2 pt5"/>
    <w:qFormat/>
    <w:rPr>
      <w:rFonts w:ascii="MingLiU;MT Extra" w:hAnsi="MingLiU;MT Extra" w:eastAsia="MingLiU;MT Extra" w:cs="MingLiU;MT Extra"/>
      <w:color w:val="39383A"/>
      <w:spacing w:val="40"/>
      <w:w w:val="100"/>
      <w:kern w:val="2"/>
      <w:position w:val="0"/>
      <w:sz w:val="17"/>
      <w:sz w:val="17"/>
      <w:szCs w:val="17"/>
      <w:u w:val="none"/>
      <w:vertAlign w:val="baseline"/>
      <w:lang w:val="zh-CN"/>
    </w:rPr>
  </w:style>
  <w:style w:type="character" w:styleId="2pt4">
    <w:name w:val="正文文本 + 间距 2 pt4"/>
    <w:qFormat/>
    <w:rPr>
      <w:rFonts w:ascii="MingLiU;MT Extra" w:hAnsi="MingLiU;MT Extra" w:eastAsia="MingLiU;MT Extra" w:cs="MingLiU;MT Extra"/>
      <w:color w:val="000000"/>
      <w:spacing w:val="40"/>
      <w:w w:val="100"/>
      <w:kern w:val="2"/>
      <w:position w:val="0"/>
      <w:sz w:val="17"/>
      <w:sz w:val="17"/>
      <w:szCs w:val="17"/>
      <w:u w:val="none"/>
      <w:vertAlign w:val="baseline"/>
      <w:lang w:val="zh-CN"/>
    </w:rPr>
  </w:style>
  <w:style w:type="character" w:styleId="Char5">
    <w:name w:val="无间隔 Char"/>
    <w:qFormat/>
    <w:rPr>
      <w:rFonts w:ascii="Calibri" w:hAnsi="Calibri" w:cs="Calibri"/>
      <w:sz w:val="22"/>
      <w:szCs w:val="22"/>
      <w:lang w:val="en-US" w:eastAsia="zh-CN" w:bidi="ar-SA"/>
    </w:rPr>
  </w:style>
  <w:style w:type="character" w:styleId="4">
    <w:name w:val="正文文本4"/>
    <w:qFormat/>
    <w:rPr>
      <w:rFonts w:ascii="MingLiU;MT Extra" w:hAnsi="MingLiU;MT Extra" w:eastAsia="MingLiU;MT Extra" w:cs="MingLiU;MT Extra"/>
      <w:color w:val="000000"/>
      <w:spacing w:val="0"/>
      <w:w w:val="100"/>
      <w:kern w:val="2"/>
      <w:position w:val="0"/>
      <w:sz w:val="17"/>
      <w:sz w:val="17"/>
      <w:szCs w:val="17"/>
      <w:u w:val="none"/>
      <w:vertAlign w:val="baseline"/>
      <w:lang w:val="zh-CN"/>
    </w:rPr>
  </w:style>
  <w:style w:type="character" w:styleId="Style16">
    <w:name w:val="正文文本_"/>
    <w:qFormat/>
    <w:rPr>
      <w:rFonts w:ascii="MingLiU;MT Extra" w:hAnsi="MingLiU;MT Extra" w:eastAsia="MingLiU;MT Extra" w:cs="MingLiU;MT Extra"/>
      <w:kern w:val="2"/>
      <w:sz w:val="17"/>
      <w:szCs w:val="17"/>
    </w:rPr>
  </w:style>
  <w:style w:type="character" w:styleId="ArialUnicodeMS27">
    <w:name w:val="正文文本 + Arial Unicode MS27"/>
    <w:qFormat/>
    <w:rPr>
      <w:rFonts w:ascii="Arial Unicode MS;Arial" w:hAnsi="Arial Unicode MS;Arial" w:eastAsia="Times New Roman" w:cs="Arial Unicode MS;Arial"/>
      <w:color w:val="39383A"/>
      <w:spacing w:val="0"/>
      <w:w w:val="100"/>
      <w:kern w:val="2"/>
      <w:position w:val="0"/>
      <w:sz w:val="16"/>
      <w:sz w:val="16"/>
      <w:szCs w:val="16"/>
      <w:u w:val="none"/>
      <w:vertAlign w:val="baseline"/>
      <w:lang w:val="zh-CN"/>
    </w:rPr>
  </w:style>
  <w:style w:type="character" w:styleId="2">
    <w:name w:val="正文文本2"/>
    <w:qFormat/>
    <w:rPr>
      <w:rFonts w:ascii="MingLiU;MT Extra" w:hAnsi="MingLiU;MT Extra" w:eastAsia="MingLiU;MT Extra" w:cs="MingLiU;MT Extra"/>
      <w:color w:val="39383A"/>
      <w:spacing w:val="0"/>
      <w:w w:val="100"/>
      <w:kern w:val="2"/>
      <w:position w:val="0"/>
      <w:sz w:val="17"/>
      <w:sz w:val="17"/>
      <w:szCs w:val="17"/>
      <w:u w:val="none"/>
      <w:vertAlign w:val="baseline"/>
      <w:lang w:val="zh-CN"/>
    </w:rPr>
  </w:style>
  <w:style w:type="character" w:styleId="tpccontent">
    <w:name w:val="tpc_content"/>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before="0" w:after="12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lainText">
    <w:name w:val="PlainText"/>
    <w:next w:val="Normal"/>
    <w:qFormat/>
    <w:pPr>
      <w:widowControl w:val="false"/>
      <w:bidi w:val="0"/>
      <w:jc w:val="both"/>
    </w:pPr>
    <w:rPr>
      <w:rFonts w:ascii="宋体" w:hAnsi="宋体" w:eastAsia="Arial Unicode MS;Arial" w:cs="Arial Unicode MS;Arial"/>
      <w:color w:val="000000"/>
      <w:kern w:val="2"/>
      <w:sz w:val="21"/>
      <w:szCs w:val="21"/>
      <w:lang w:val="en-US" w:eastAsia="zh-CN" w:bidi="ar-SA"/>
    </w:rPr>
  </w:style>
  <w:style w:type="paragraph" w:styleId="Style17">
    <w:name w:val="批注文字"/>
    <w:basedOn w:val="Normal"/>
    <w:qFormat/>
    <w:pPr>
      <w:jc w:val="start"/>
    </w:pPr>
    <w:rPr/>
  </w:style>
  <w:style w:type="paragraph" w:styleId="BodyTextIndent">
    <w:name w:val="Body Text Indent"/>
    <w:basedOn w:val="Normal"/>
    <w:pPr>
      <w:snapToGrid w:val="false"/>
      <w:spacing w:lineRule="exact" w:line="580"/>
      <w:ind w:firstLine="482" w:start="0" w:end="0"/>
    </w:pPr>
    <w:rPr>
      <w:rFonts w:ascii="宋体" w:hAnsi="宋体" w:cs="宋体"/>
      <w:b/>
      <w:bCs/>
      <w:sz w:val="24"/>
      <w:szCs w:val="32"/>
    </w:rPr>
  </w:style>
  <w:style w:type="paragraph" w:styleId="21">
    <w:name w:val="正文文本缩进 2"/>
    <w:basedOn w:val="Normal"/>
    <w:qFormat/>
    <w:pPr>
      <w:autoSpaceDE w:val="true"/>
      <w:spacing w:lineRule="auto" w:line="480" w:before="0" w:after="120"/>
    </w:pPr>
    <w:rPr>
      <w:rFonts w:ascii="等线" w:hAnsi="等线" w:eastAsia="等线" w:cs="Times New Roman"/>
      <w:spacing w:val="0"/>
      <w:sz w:val="21"/>
    </w:rPr>
  </w:style>
  <w:style w:type="paragraph" w:styleId="Style18">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9">
    <w:name w:val="普通(网站)"/>
    <w:basedOn w:val="Normal"/>
    <w:qFormat/>
    <w:pPr>
      <w:widowControl/>
      <w:spacing w:before="100" w:after="100"/>
      <w:jc w:val="start"/>
    </w:pPr>
    <w:rPr>
      <w:rFonts w:ascii="宋体" w:hAnsi="宋体" w:cs="宋体"/>
      <w:kern w:val="0"/>
      <w:sz w:val="24"/>
    </w:rPr>
  </w:style>
  <w:style w:type="paragraph" w:styleId="Style20">
    <w:name w:val="批注主题"/>
    <w:basedOn w:val="Style17"/>
    <w:next w:val="Style17"/>
    <w:qFormat/>
    <w:pPr/>
    <w:rPr>
      <w:b/>
      <w:bCs/>
    </w:rPr>
  </w:style>
  <w:style w:type="paragraph" w:styleId="Style21">
    <w:name w:val="无间隔"/>
    <w:qFormat/>
    <w:pPr>
      <w:widowControl/>
      <w:bidi w:val="0"/>
    </w:pPr>
    <w:rPr>
      <w:rFonts w:ascii="Calibri" w:hAnsi="Calibri" w:eastAsia="宋体" w:cs="Calibri"/>
      <w:color w:val="auto"/>
      <w:sz w:val="22"/>
      <w:szCs w:val="22"/>
      <w:lang w:val="en-US" w:eastAsia="zh-CN" w:bidi="ar-SA"/>
    </w:rPr>
  </w:style>
  <w:style w:type="paragraph" w:styleId="13">
    <w:name w:val="正文文本13"/>
    <w:basedOn w:val="Normal"/>
    <w:qFormat/>
    <w:pPr>
      <w:spacing w:lineRule="atLeast" w:line="240" w:before="120" w:after="0"/>
      <w:ind w:hanging="480" w:start="0" w:end="0"/>
      <w:jc w:val="start"/>
    </w:pPr>
    <w:rPr>
      <w:rFonts w:ascii="MingLiU;MT Extra" w:hAnsi="MingLiU;MT Extra" w:eastAsia="MingLiU;MT Extra" w:cs="MingLiU;MT Extra"/>
      <w:sz w:val="17"/>
      <w:szCs w:val="17"/>
    </w:rPr>
  </w:style>
  <w:style w:type="paragraph" w:styleId="Style22">
    <w:name w:val="列出段落"/>
    <w:basedOn w:val="Normal"/>
    <w:qFormat/>
    <w:pPr>
      <w:ind w:firstLine="420" w:start="0" w:end="0"/>
    </w:pPr>
    <w:rPr>
      <w:rFonts w:ascii="Calibri" w:hAnsi="Calibri" w:cs="Calibri"/>
      <w:szCs w:val="22"/>
    </w:rPr>
  </w:style>
  <w:style w:type="paragraph" w:styleId="Style23">
    <w:name w:val="修订"/>
    <w:qFormat/>
    <w:pPr>
      <w:widowControl/>
      <w:bidi w:val="0"/>
    </w:pPr>
    <w:rPr>
      <w:rFonts w:ascii="Times New Roman" w:hAnsi="Times New Roman" w:eastAsia="宋体" w:cs="Times New Roman"/>
      <w:color w:val="auto"/>
      <w:kern w:val="2"/>
      <w:sz w:val="21"/>
      <w:szCs w:val="24"/>
      <w:lang w:val="en-US" w:eastAsia="zh-CN" w:bidi="ar-SA"/>
    </w:rPr>
  </w:style>
  <w:style w:type="paragraph" w:styleId="largefontstyle3">
    <w:name w:val="largefont style3"/>
    <w:basedOn w:val="Normal"/>
    <w:qFormat/>
    <w:pPr>
      <w:widowControl/>
      <w:spacing w:lineRule="auto" w:line="360" w:before="100" w:after="100"/>
      <w:ind w:firstLine="480" w:start="0" w:end="0"/>
      <w:jc w:val="start"/>
    </w:pPr>
    <w:rPr>
      <w:rFonts w:ascii="宋体" w:hAnsi="宋体" w:cs="宋体"/>
      <w:kern w:val="0"/>
      <w:sz w:val="24"/>
    </w:rPr>
  </w:style>
  <w:style w:type="paragraph" w:styleId="HeaderBase">
    <w:name w:val="Header Base"/>
    <w:basedOn w:val="BodyText"/>
    <w:qFormat/>
    <w:pPr>
      <w:keepLines/>
      <w:widowControl/>
      <w:tabs>
        <w:tab w:val="clear" w:pos="420"/>
        <w:tab w:val="center" w:pos="4320" w:leader="none"/>
        <w:tab w:val="right" w:pos="8640" w:leader="none"/>
      </w:tabs>
      <w:suppressAutoHyphens w:val="true"/>
      <w:spacing w:lineRule="atLeast" w:line="180" w:before="0" w:after="0"/>
    </w:pPr>
    <w:rPr>
      <w:rFonts w:ascii="Arial" w:hAnsi="Arial" w:eastAsia="微软简楷体;宋体" w:cs="Arial"/>
      <w:spacing w:val="-5"/>
      <w:kern w:val="0"/>
      <w:sz w:val="24"/>
      <w:szCs w:val="20"/>
      <w:lang w:val="zh-CN" w:eastAsia="zh-CN"/>
    </w:rPr>
  </w:style>
  <w:style w:type="paragraph" w:styleId="largefontstyle1">
    <w:name w:val="largefont style1"/>
    <w:basedOn w:val="Normal"/>
    <w:qFormat/>
    <w:pPr>
      <w:widowControl/>
      <w:spacing w:lineRule="auto" w:line="360" w:before="100" w:after="100"/>
      <w:ind w:firstLine="480" w:start="0" w:end="0"/>
      <w:jc w:val="start"/>
    </w:pPr>
    <w:rPr>
      <w:rFonts w:ascii="宋体" w:hAnsi="宋体" w:cs="宋体"/>
      <w:kern w:val="0"/>
      <w:sz w:val="24"/>
    </w:rPr>
  </w:style>
  <w:style w:type="paragraph" w:styleId="largefont">
    <w:name w:val="largefont"/>
    <w:basedOn w:val="Normal"/>
    <w:qFormat/>
    <w:pPr>
      <w:widowControl/>
      <w:spacing w:lineRule="auto" w:line="360" w:before="100" w:after="100"/>
      <w:ind w:firstLine="480" w:start="0" w:end="0"/>
      <w:jc w:val="start"/>
    </w:pPr>
    <w:rPr>
      <w:rFonts w:ascii="宋体" w:hAnsi="宋体" w:cs="宋体"/>
      <w:kern w:val="0"/>
      <w:sz w:val="24"/>
    </w:rPr>
  </w:style>
  <w:style w:type="paragraph" w:styleId="reader-word-layerreader-word-s1-29">
    <w:name w:val="reader-word-layer reader-word-s1-29"/>
    <w:basedOn w:val="Normal"/>
    <w:qFormat/>
    <w:pPr>
      <w:widowControl/>
      <w:spacing w:before="100" w:after="100"/>
      <w:jc w:val="start"/>
    </w:pPr>
    <w:rPr>
      <w:rFonts w:ascii="宋体" w:hAnsi="宋体" w:cs="宋体"/>
      <w:kern w:val="0"/>
      <w:sz w:val="24"/>
    </w:rPr>
  </w:style>
  <w:style w:type="paragraph" w:styleId="Heading11">
    <w:name w:val="Heading #1|1"/>
    <w:qFormat/>
    <w:pPr>
      <w:widowControl w:val="false"/>
      <w:bidi w:val="0"/>
      <w:spacing w:before="0" w:after="260"/>
      <w:ind w:firstLine="660" w:start="0" w:end="0"/>
      <w:outlineLvl w:val="0"/>
    </w:pPr>
    <w:rPr>
      <w:rFonts w:ascii="宋体" w:hAnsi="宋体" w:eastAsia="宋体" w:cs="宋体"/>
      <w:color w:val="000000"/>
      <w:sz w:val="46"/>
      <w:szCs w:val="46"/>
      <w:lang w:val="zh-TW" w:eastAsia="zh-TW"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header" Target="header13.xml"/><Relationship Id="rId27" Type="http://schemas.openxmlformats.org/officeDocument/2006/relationships/header" Target="header14.xml"/><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header" Target="header15.xml"/><Relationship Id="rId31" Type="http://schemas.openxmlformats.org/officeDocument/2006/relationships/header" Target="header16.xml"/><Relationship Id="rId32" Type="http://schemas.openxmlformats.org/officeDocument/2006/relationships/footer" Target="footer15.xml"/><Relationship Id="rId33" Type="http://schemas.openxmlformats.org/officeDocument/2006/relationships/footer" Target="footer16.xml"/><Relationship Id="rId34" Type="http://schemas.openxmlformats.org/officeDocument/2006/relationships/header" Target="header17.xml"/><Relationship Id="rId35" Type="http://schemas.openxmlformats.org/officeDocument/2006/relationships/header" Target="header18.xml"/><Relationship Id="rId36" Type="http://schemas.openxmlformats.org/officeDocument/2006/relationships/footer" Target="footer17.xml"/><Relationship Id="rId37" Type="http://schemas.openxmlformats.org/officeDocument/2006/relationships/footer" Target="footer18.xml"/><Relationship Id="rId38" Type="http://schemas.openxmlformats.org/officeDocument/2006/relationships/header" Target="header19.xml"/><Relationship Id="rId39" Type="http://schemas.openxmlformats.org/officeDocument/2006/relationships/header" Target="header20.xml"/><Relationship Id="rId40" Type="http://schemas.openxmlformats.org/officeDocument/2006/relationships/footer" Target="footer19.xml"/><Relationship Id="rId41" Type="http://schemas.openxmlformats.org/officeDocument/2006/relationships/footer" Target="footer20.xml"/><Relationship Id="rId42" Type="http://schemas.openxmlformats.org/officeDocument/2006/relationships/header" Target="header21.xml"/><Relationship Id="rId43" Type="http://schemas.openxmlformats.org/officeDocument/2006/relationships/header" Target="header22.xml"/><Relationship Id="rId44" Type="http://schemas.openxmlformats.org/officeDocument/2006/relationships/footer" Target="footer21.xml"/><Relationship Id="rId45" Type="http://schemas.openxmlformats.org/officeDocument/2006/relationships/footer" Target="footer22.xml"/><Relationship Id="rId46" Type="http://schemas.openxmlformats.org/officeDocument/2006/relationships/header" Target="header23.xml"/><Relationship Id="rId47" Type="http://schemas.openxmlformats.org/officeDocument/2006/relationships/header" Target="header24.xml"/><Relationship Id="rId48" Type="http://schemas.openxmlformats.org/officeDocument/2006/relationships/footer" Target="footer23.xml"/><Relationship Id="rId49" Type="http://schemas.openxmlformats.org/officeDocument/2006/relationships/footer" Target="footer24.xml"/><Relationship Id="rId50" Type="http://schemas.openxmlformats.org/officeDocument/2006/relationships/header" Target="header25.xml"/><Relationship Id="rId51" Type="http://schemas.openxmlformats.org/officeDocument/2006/relationships/header" Target="header26.xml"/><Relationship Id="rId52" Type="http://schemas.openxmlformats.org/officeDocument/2006/relationships/footer" Target="footer25.xml"/><Relationship Id="rId53" Type="http://schemas.openxmlformats.org/officeDocument/2006/relationships/footer" Target="footer26.xml"/><Relationship Id="rId54" Type="http://schemas.openxmlformats.org/officeDocument/2006/relationships/header" Target="header27.xml"/><Relationship Id="rId55" Type="http://schemas.openxmlformats.org/officeDocument/2006/relationships/header" Target="header28.xml"/><Relationship Id="rId56" Type="http://schemas.openxmlformats.org/officeDocument/2006/relationships/footer" Target="footer27.xml"/><Relationship Id="rId57" Type="http://schemas.openxmlformats.org/officeDocument/2006/relationships/footer" Target="footer28.xml"/><Relationship Id="rId58" Type="http://schemas.openxmlformats.org/officeDocument/2006/relationships/header" Target="header29.xml"/><Relationship Id="rId59" Type="http://schemas.openxmlformats.org/officeDocument/2006/relationships/header" Target="header30.xml"/><Relationship Id="rId60" Type="http://schemas.openxmlformats.org/officeDocument/2006/relationships/footer" Target="footer29.xml"/><Relationship Id="rId61" Type="http://schemas.openxmlformats.org/officeDocument/2006/relationships/footer" Target="footer30.xml"/><Relationship Id="rId62" Type="http://schemas.openxmlformats.org/officeDocument/2006/relationships/header" Target="header31.xml"/><Relationship Id="rId63" Type="http://schemas.openxmlformats.org/officeDocument/2006/relationships/header" Target="header32.xml"/><Relationship Id="rId64" Type="http://schemas.openxmlformats.org/officeDocument/2006/relationships/footer" Target="footer31.xml"/><Relationship Id="rId65" Type="http://schemas.openxmlformats.org/officeDocument/2006/relationships/footer" Target="footer32.xml"/><Relationship Id="rId66" Type="http://schemas.openxmlformats.org/officeDocument/2006/relationships/header" Target="header33.xml"/><Relationship Id="rId67" Type="http://schemas.openxmlformats.org/officeDocument/2006/relationships/header" Target="header34.xml"/><Relationship Id="rId68" Type="http://schemas.openxmlformats.org/officeDocument/2006/relationships/footer" Target="footer33.xml"/><Relationship Id="rId69" Type="http://schemas.openxmlformats.org/officeDocument/2006/relationships/footer" Target="footer34.xml"/><Relationship Id="rId70" Type="http://schemas.openxmlformats.org/officeDocument/2006/relationships/numbering" Target="numbering.xml"/><Relationship Id="rId71" Type="http://schemas.openxmlformats.org/officeDocument/2006/relationships/fontTable" Target="fontTable.xml"/><Relationship Id="rId72" Type="http://schemas.openxmlformats.org/officeDocument/2006/relationships/settings" Target="settings.xml"/><Relationship Id="rId7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5760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2022-01-06T07:49:00Z</dcterms:created>
  <dc:creator>韩</dc:creator>
  <dc:description/>
  <dc:language>zh-CN</dc:language>
  <cp:lastModifiedBy>WangWang</cp:lastModifiedBy>
  <cp:lastPrinted>2022-07-16T00:19:00Z</cp:lastPrinted>
  <dcterms:modified xsi:type="dcterms:W3CDTF">2024-02-04T09:29:21Z</dcterms:modified>
  <cp:revision>2</cp:revision>
  <dc:subject/>
  <dc:title>BF——2010——0116 　　　　　　　　　 合同编号：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63757F7D2551D3F9F4EA2D6516643BD8</vt:lpwstr>
  </property>
  <property fmtid="{D5CDD505-2E9C-101B-9397-08002B2CF9AE}" pid="3" name="KSOProductBuildVer">
    <vt:lpwstr>2052-12.1.0.16250</vt:lpwstr>
  </property>
</Properties>
</file>