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line="420" w:lineRule="exact"/>
        <w:jc w:val="left"/>
        <w:rPr>
          <w:rFonts w:ascii="方正书宋_GBK" w:hAnsi="方正书宋_GBK" w:eastAsia="方正书宋_GBK" w:cs="方正书宋_GBK"/>
          <w:snapToGrid/>
          <w:color w:val="000000"/>
          <w:kern w:val="0"/>
          <w:sz w:val="28"/>
          <w:szCs w:val="28"/>
        </w:rPr>
      </w:pPr>
      <w:r>
        <w:rPr>
          <w:rFonts w:hint="eastAsia" w:ascii="Times New Roman" w:hAnsi="Times New Roman"/>
          <w:snapToGrid/>
          <w:color w:val="000000"/>
          <w:kern w:val="0"/>
          <w:sz w:val="28"/>
          <w:szCs w:val="28"/>
        </w:rPr>
        <w:t xml:space="preserve">BF—2020—0506                           </w:t>
      </w:r>
      <w:r>
        <w:rPr>
          <w:rFonts w:hint="eastAsia" w:ascii="方正书宋_GBK" w:hAnsi="方正书宋_GBK" w:eastAsia="方正书宋_GBK" w:cs="方正书宋_GBK"/>
          <w:snapToGrid/>
          <w:color w:val="000000"/>
          <w:kern w:val="0"/>
          <w:sz w:val="28"/>
          <w:szCs w:val="28"/>
        </w:rPr>
        <w:t xml:space="preserve"> 合同编号：</w:t>
      </w:r>
    </w:p>
    <w:p>
      <w:pPr>
        <w:adjustRightInd w:val="0"/>
        <w:snapToGrid w:val="0"/>
        <w:spacing w:line="420" w:lineRule="exact"/>
        <w:ind w:firstLine="440" w:firstLineChars="200"/>
        <w:jc w:val="center"/>
        <w:rPr>
          <w:rFonts w:cs="Arial"/>
          <w:kern w:val="0"/>
          <w:sz w:val="22"/>
          <w:szCs w:val="22"/>
        </w:rPr>
      </w:pPr>
    </w:p>
    <w:p>
      <w:pPr>
        <w:pStyle w:val="9"/>
        <w:keepNext/>
        <w:keepLines/>
        <w:spacing w:after="0" w:line="420" w:lineRule="exact"/>
        <w:ind w:firstLine="0"/>
        <w:jc w:val="center"/>
        <w:rPr>
          <w:rFonts w:ascii="方正小标宋_GBK" w:hAnsi="方正小标宋_GBK" w:eastAsia="方正小标宋_GBK" w:cs="方正小标宋_GBK"/>
          <w:sz w:val="40"/>
          <w:szCs w:val="40"/>
          <w:lang w:val="en-US" w:eastAsia="zh-CN"/>
        </w:rPr>
      </w:pPr>
      <w:r>
        <w:rPr>
          <w:rFonts w:hint="eastAsia" w:ascii="方正小标宋_GBK" w:hAnsi="方正小标宋_GBK" w:eastAsia="方正小标宋_GBK" w:cs="方正小标宋_GBK"/>
          <w:sz w:val="40"/>
          <w:szCs w:val="40"/>
          <w:lang w:val="en-US" w:eastAsia="zh-CN"/>
        </w:rPr>
        <w:t>北京市居民天然气供用合同</w:t>
      </w:r>
    </w:p>
    <w:p>
      <w:pPr>
        <w:adjustRightInd w:val="0"/>
        <w:snapToGrid w:val="0"/>
        <w:spacing w:line="420" w:lineRule="exact"/>
        <w:ind w:firstLine="440" w:firstLineChars="200"/>
        <w:rPr>
          <w:sz w:val="22"/>
          <w:szCs w:val="16"/>
        </w:rPr>
      </w:pPr>
    </w:p>
    <w:p>
      <w:pPr>
        <w:adjustRightInd w:val="0"/>
        <w:snapToGrid w:val="0"/>
        <w:spacing w:line="24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根据《中华人民共和国民法典》《中华人民共和国消费者权益保护法》《北京市燃气管理条例》等国家和本市有关法律法规的规定，甲乙双方在自愿、公平和诚信的基础上，订立本合同。</w:t>
      </w:r>
    </w:p>
    <w:p>
      <w:pPr>
        <w:adjustRightInd w:val="0"/>
        <w:snapToGrid w:val="0"/>
        <w:spacing w:line="240" w:lineRule="exact"/>
        <w:ind w:firstLine="420" w:firstLineChars="200"/>
        <w:rPr>
          <w:rFonts w:ascii="方正黑体_GBK" w:hAnsi="方正黑体_GBK" w:eastAsia="方正黑体_GBK" w:cs="方正黑体_GBK"/>
          <w:sz w:val="21"/>
          <w:szCs w:val="21"/>
        </w:rPr>
      </w:pPr>
      <w:r>
        <w:rPr>
          <w:rFonts w:hint="eastAsia" w:ascii="方正黑体_GBK" w:hAnsi="方正黑体_GBK" w:eastAsia="方正黑体_GBK" w:cs="方正黑体_GBK"/>
          <w:sz w:val="21"/>
          <w:szCs w:val="21"/>
        </w:rPr>
        <w:t>第一条  气源种类、用气地点、室（户）内燃气燃烧器具、燃气计量表信息</w:t>
      </w:r>
    </w:p>
    <w:p>
      <w:pPr>
        <w:adjustRightInd w:val="0"/>
        <w:snapToGrid w:val="0"/>
        <w:spacing w:line="24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1.气源种类：□天然气  □压缩天然气（CNG）  □液化天然气（LNG）  □其他</w:t>
      </w:r>
    </w:p>
    <w:p>
      <w:pPr>
        <w:adjustRightInd w:val="0"/>
        <w:snapToGrid w:val="0"/>
        <w:spacing w:line="24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乙方保证提供的气体质量符合国家和本市的质量标准。</w:t>
      </w:r>
    </w:p>
    <w:p>
      <w:pPr>
        <w:adjustRightInd w:val="0"/>
        <w:snapToGrid w:val="0"/>
        <w:spacing w:line="240" w:lineRule="exact"/>
        <w:ind w:firstLine="420" w:firstLineChars="200"/>
        <w:rPr>
          <w:rFonts w:ascii="方正书宋_GBK" w:hAnsi="方正书宋_GBK" w:eastAsia="方正书宋_GBK" w:cs="方正书宋_GBK"/>
          <w:sz w:val="21"/>
          <w:szCs w:val="21"/>
          <w:u w:val="single"/>
        </w:rPr>
      </w:pPr>
      <w:r>
        <w:rPr>
          <w:rFonts w:hint="eastAsia" w:ascii="方正书宋_GBK" w:hAnsi="方正书宋_GBK" w:eastAsia="方正书宋_GBK" w:cs="方正书宋_GBK"/>
          <w:sz w:val="21"/>
          <w:szCs w:val="21"/>
        </w:rPr>
        <w:t>2.用气地点（地点填写到甲方楼门牌、单元、房间号或农村的院落号）：</w:t>
      </w:r>
      <w:r>
        <w:rPr>
          <w:rFonts w:hint="eastAsia" w:ascii="方正书宋_GBK" w:hAnsi="方正书宋_GBK" w:eastAsia="方正书宋_GBK" w:cs="方正书宋_GBK"/>
          <w:sz w:val="21"/>
          <w:szCs w:val="21"/>
          <w:u w:val="single"/>
        </w:rPr>
        <w:t xml:space="preserve">                 </w:t>
      </w:r>
    </w:p>
    <w:p>
      <w:pPr>
        <w:adjustRightInd w:val="0"/>
        <w:snapToGrid w:val="0"/>
        <w:spacing w:line="24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3.燃气燃烧器具及户内安全防护装置清单</w:t>
      </w:r>
    </w:p>
    <w:tbl>
      <w:tblPr>
        <w:tblStyle w:val="6"/>
        <w:tblW w:w="998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52"/>
        <w:gridCol w:w="1259"/>
        <w:gridCol w:w="1175"/>
        <w:gridCol w:w="1442"/>
        <w:gridCol w:w="1734"/>
        <w:gridCol w:w="2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jc w:val="center"/>
        </w:trPr>
        <w:tc>
          <w:tcPr>
            <w:tcW w:w="195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器具名称</w:t>
            </w:r>
          </w:p>
        </w:tc>
        <w:tc>
          <w:tcPr>
            <w:tcW w:w="1259"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品牌</w:t>
            </w:r>
          </w:p>
        </w:tc>
        <w:tc>
          <w:tcPr>
            <w:tcW w:w="1175"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型号</w:t>
            </w:r>
          </w:p>
        </w:tc>
        <w:tc>
          <w:tcPr>
            <w:tcW w:w="144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安装时间</w:t>
            </w:r>
          </w:p>
        </w:tc>
        <w:tc>
          <w:tcPr>
            <w:tcW w:w="1734"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安装单位</w:t>
            </w:r>
          </w:p>
        </w:tc>
        <w:tc>
          <w:tcPr>
            <w:tcW w:w="2420"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使用期限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0" w:hRule="atLeast"/>
          <w:jc w:val="center"/>
        </w:trPr>
        <w:tc>
          <w:tcPr>
            <w:tcW w:w="195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燃气灶</w:t>
            </w:r>
          </w:p>
        </w:tc>
        <w:tc>
          <w:tcPr>
            <w:tcW w:w="1259"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175"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442"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734"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2420" w:type="dxa"/>
            <w:tcBorders>
              <w:tl2br w:val="nil"/>
              <w:tr2bl w:val="nil"/>
            </w:tcBorders>
            <w:tcMar>
              <w:left w:w="105" w:type="dxa"/>
              <w:right w:w="105" w:type="dxa"/>
            </w:tcMar>
            <w:vAlign w:val="center"/>
          </w:tcPr>
          <w:p>
            <w:pPr>
              <w:widowControl/>
              <w:adjustRightInd w:val="0"/>
              <w:snapToGrid w:val="0"/>
              <w:spacing w:line="420" w:lineRule="exact"/>
              <w:jc w:val="center"/>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年  月至   年  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jc w:val="center"/>
        </w:trPr>
        <w:tc>
          <w:tcPr>
            <w:tcW w:w="195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燃气热水器</w:t>
            </w:r>
          </w:p>
        </w:tc>
        <w:tc>
          <w:tcPr>
            <w:tcW w:w="1259"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175"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442"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734"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2420" w:type="dxa"/>
            <w:tcBorders>
              <w:tl2br w:val="nil"/>
              <w:tr2bl w:val="nil"/>
            </w:tcBorders>
            <w:tcMar>
              <w:left w:w="105" w:type="dxa"/>
              <w:right w:w="105" w:type="dxa"/>
            </w:tcMar>
            <w:vAlign w:val="center"/>
          </w:tcPr>
          <w:p>
            <w:pPr>
              <w:widowControl/>
              <w:adjustRightInd w:val="0"/>
              <w:snapToGrid w:val="0"/>
              <w:spacing w:line="420" w:lineRule="exact"/>
              <w:jc w:val="center"/>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年  月至   年  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0" w:hRule="atLeast"/>
          <w:jc w:val="center"/>
        </w:trPr>
        <w:tc>
          <w:tcPr>
            <w:tcW w:w="195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壁挂炉</w:t>
            </w:r>
          </w:p>
        </w:tc>
        <w:tc>
          <w:tcPr>
            <w:tcW w:w="1259"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175"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442"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734"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2420" w:type="dxa"/>
            <w:tcBorders>
              <w:tl2br w:val="nil"/>
              <w:tr2bl w:val="nil"/>
            </w:tcBorders>
            <w:tcMar>
              <w:left w:w="105" w:type="dxa"/>
              <w:right w:w="105" w:type="dxa"/>
            </w:tcMar>
            <w:vAlign w:val="center"/>
          </w:tcPr>
          <w:p>
            <w:pPr>
              <w:widowControl/>
              <w:adjustRightInd w:val="0"/>
              <w:snapToGrid w:val="0"/>
              <w:spacing w:line="420" w:lineRule="exact"/>
              <w:jc w:val="center"/>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年  月至   年  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0" w:hRule="atLeast"/>
          <w:jc w:val="center"/>
        </w:trPr>
        <w:tc>
          <w:tcPr>
            <w:tcW w:w="195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燃气泄漏报警器</w:t>
            </w:r>
          </w:p>
        </w:tc>
        <w:tc>
          <w:tcPr>
            <w:tcW w:w="1259"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175"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442"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734"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2420" w:type="dxa"/>
            <w:tcBorders>
              <w:tl2br w:val="nil"/>
              <w:tr2bl w:val="nil"/>
            </w:tcBorders>
            <w:tcMar>
              <w:left w:w="105" w:type="dxa"/>
              <w:right w:w="105" w:type="dxa"/>
            </w:tcMar>
            <w:vAlign w:val="center"/>
          </w:tcPr>
          <w:p>
            <w:pPr>
              <w:widowControl/>
              <w:adjustRightInd w:val="0"/>
              <w:snapToGrid w:val="0"/>
              <w:spacing w:line="420" w:lineRule="exact"/>
              <w:jc w:val="center"/>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年  月至   年  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jc w:val="center"/>
        </w:trPr>
        <w:tc>
          <w:tcPr>
            <w:tcW w:w="1952" w:type="dxa"/>
            <w:tcBorders>
              <w:tl2br w:val="nil"/>
              <w:tr2bl w:val="nil"/>
            </w:tcBorders>
            <w:tcMar>
              <w:left w:w="105" w:type="dxa"/>
              <w:right w:w="105" w:type="dxa"/>
            </w:tcMar>
            <w:vAlign w:val="center"/>
          </w:tcPr>
          <w:p>
            <w:pPr>
              <w:pStyle w:val="5"/>
              <w:adjustRightInd w:val="0"/>
              <w:snapToGrid w:val="0"/>
              <w:spacing w:before="0" w:beforeAutospacing="0" w:line="420" w:lineRule="exact"/>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自闭阀</w:t>
            </w:r>
          </w:p>
        </w:tc>
        <w:tc>
          <w:tcPr>
            <w:tcW w:w="1259"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175"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442"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1734" w:type="dxa"/>
            <w:tcBorders>
              <w:tl2br w:val="nil"/>
              <w:tr2bl w:val="nil"/>
            </w:tcBorders>
            <w:tcMar>
              <w:left w:w="105" w:type="dxa"/>
              <w:right w:w="105" w:type="dxa"/>
            </w:tcMar>
            <w:vAlign w:val="center"/>
          </w:tcPr>
          <w:p>
            <w:pPr>
              <w:widowControl/>
              <w:adjustRightInd w:val="0"/>
              <w:snapToGrid w:val="0"/>
              <w:spacing w:line="420" w:lineRule="exact"/>
              <w:ind w:firstLine="360" w:firstLineChars="200"/>
              <w:jc w:val="center"/>
              <w:textAlignment w:val="baseline"/>
              <w:rPr>
                <w:rFonts w:ascii="方正书宋_GBK" w:hAnsi="方正书宋_GBK" w:eastAsia="方正书宋_GBK" w:cs="方正书宋_GBK"/>
                <w:sz w:val="18"/>
                <w:szCs w:val="18"/>
              </w:rPr>
            </w:pPr>
          </w:p>
        </w:tc>
        <w:tc>
          <w:tcPr>
            <w:tcW w:w="2420" w:type="dxa"/>
            <w:tcBorders>
              <w:tl2br w:val="nil"/>
              <w:tr2bl w:val="nil"/>
            </w:tcBorders>
            <w:tcMar>
              <w:left w:w="105" w:type="dxa"/>
              <w:right w:w="105" w:type="dxa"/>
            </w:tcMar>
            <w:vAlign w:val="center"/>
          </w:tcPr>
          <w:p>
            <w:pPr>
              <w:widowControl/>
              <w:adjustRightInd w:val="0"/>
              <w:snapToGrid w:val="0"/>
              <w:spacing w:line="420" w:lineRule="exact"/>
              <w:jc w:val="center"/>
              <w:textAlignment w:val="baseline"/>
              <w:rPr>
                <w:rFonts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年  月至   年  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jc w:val="center"/>
        </w:trPr>
        <w:tc>
          <w:tcPr>
            <w:tcW w:w="1952" w:type="dxa"/>
            <w:tcBorders>
              <w:tl2br w:val="nil"/>
              <w:tr2bl w:val="nil"/>
            </w:tcBorders>
            <w:tcMar>
              <w:left w:w="105" w:type="dxa"/>
              <w:right w:w="105" w:type="dxa"/>
            </w:tcMar>
          </w:tcPr>
          <w:p>
            <w:pPr>
              <w:pStyle w:val="5"/>
              <w:adjustRightInd w:val="0"/>
              <w:snapToGrid w:val="0"/>
              <w:spacing w:before="0" w:beforeAutospacing="0" w:line="420" w:lineRule="exact"/>
              <w:ind w:firstLine="360" w:firstLineChars="200"/>
              <w:textAlignment w:val="baseline"/>
              <w:rPr>
                <w:rFonts w:ascii="方正书宋_GBK" w:hAnsi="方正书宋_GBK" w:eastAsia="方正书宋_GBK" w:cs="方正书宋_GBK"/>
                <w:sz w:val="18"/>
                <w:szCs w:val="18"/>
              </w:rPr>
            </w:pPr>
          </w:p>
        </w:tc>
        <w:tc>
          <w:tcPr>
            <w:tcW w:w="1259" w:type="dxa"/>
            <w:tcBorders>
              <w:tl2br w:val="nil"/>
              <w:tr2bl w:val="nil"/>
            </w:tcBorders>
            <w:tcMar>
              <w:left w:w="105" w:type="dxa"/>
              <w:right w:w="105" w:type="dxa"/>
            </w:tcMar>
          </w:tcPr>
          <w:p>
            <w:pPr>
              <w:widowControl/>
              <w:adjustRightInd w:val="0"/>
              <w:snapToGrid w:val="0"/>
              <w:spacing w:line="420" w:lineRule="exact"/>
              <w:ind w:firstLine="360" w:firstLineChars="200"/>
              <w:jc w:val="left"/>
              <w:textAlignment w:val="baseline"/>
              <w:rPr>
                <w:rFonts w:ascii="方正书宋_GBK" w:hAnsi="方正书宋_GBK" w:eastAsia="方正书宋_GBK" w:cs="方正书宋_GBK"/>
                <w:sz w:val="18"/>
                <w:szCs w:val="18"/>
              </w:rPr>
            </w:pPr>
          </w:p>
        </w:tc>
        <w:tc>
          <w:tcPr>
            <w:tcW w:w="1175" w:type="dxa"/>
            <w:tcBorders>
              <w:tl2br w:val="nil"/>
              <w:tr2bl w:val="nil"/>
            </w:tcBorders>
            <w:tcMar>
              <w:left w:w="105" w:type="dxa"/>
              <w:right w:w="105" w:type="dxa"/>
            </w:tcMar>
          </w:tcPr>
          <w:p>
            <w:pPr>
              <w:widowControl/>
              <w:adjustRightInd w:val="0"/>
              <w:snapToGrid w:val="0"/>
              <w:spacing w:line="420" w:lineRule="exact"/>
              <w:ind w:firstLine="360" w:firstLineChars="200"/>
              <w:jc w:val="left"/>
              <w:textAlignment w:val="baseline"/>
              <w:rPr>
                <w:rFonts w:ascii="方正书宋_GBK" w:hAnsi="方正书宋_GBK" w:eastAsia="方正书宋_GBK" w:cs="方正书宋_GBK"/>
                <w:sz w:val="18"/>
                <w:szCs w:val="18"/>
              </w:rPr>
            </w:pPr>
          </w:p>
        </w:tc>
        <w:tc>
          <w:tcPr>
            <w:tcW w:w="1442" w:type="dxa"/>
            <w:tcBorders>
              <w:tl2br w:val="nil"/>
              <w:tr2bl w:val="nil"/>
            </w:tcBorders>
            <w:tcMar>
              <w:left w:w="105" w:type="dxa"/>
              <w:right w:w="105" w:type="dxa"/>
            </w:tcMar>
          </w:tcPr>
          <w:p>
            <w:pPr>
              <w:widowControl/>
              <w:adjustRightInd w:val="0"/>
              <w:snapToGrid w:val="0"/>
              <w:spacing w:line="420" w:lineRule="exact"/>
              <w:ind w:firstLine="360" w:firstLineChars="200"/>
              <w:jc w:val="left"/>
              <w:textAlignment w:val="baseline"/>
              <w:rPr>
                <w:rFonts w:ascii="方正书宋_GBK" w:hAnsi="方正书宋_GBK" w:eastAsia="方正书宋_GBK" w:cs="方正书宋_GBK"/>
                <w:sz w:val="18"/>
                <w:szCs w:val="18"/>
              </w:rPr>
            </w:pPr>
          </w:p>
        </w:tc>
        <w:tc>
          <w:tcPr>
            <w:tcW w:w="1734" w:type="dxa"/>
            <w:tcBorders>
              <w:tl2br w:val="nil"/>
              <w:tr2bl w:val="nil"/>
            </w:tcBorders>
            <w:tcMar>
              <w:left w:w="105" w:type="dxa"/>
              <w:right w:w="105" w:type="dxa"/>
            </w:tcMar>
          </w:tcPr>
          <w:p>
            <w:pPr>
              <w:widowControl/>
              <w:adjustRightInd w:val="0"/>
              <w:snapToGrid w:val="0"/>
              <w:spacing w:line="420" w:lineRule="exact"/>
              <w:ind w:firstLine="360" w:firstLineChars="200"/>
              <w:jc w:val="left"/>
              <w:textAlignment w:val="baseline"/>
              <w:rPr>
                <w:rFonts w:ascii="方正书宋_GBK" w:hAnsi="方正书宋_GBK" w:eastAsia="方正书宋_GBK" w:cs="方正书宋_GBK"/>
                <w:sz w:val="18"/>
                <w:szCs w:val="18"/>
              </w:rPr>
            </w:pPr>
          </w:p>
        </w:tc>
        <w:tc>
          <w:tcPr>
            <w:tcW w:w="2420" w:type="dxa"/>
            <w:tcBorders>
              <w:tl2br w:val="nil"/>
              <w:tr2bl w:val="nil"/>
            </w:tcBorders>
            <w:tcMar>
              <w:left w:w="105" w:type="dxa"/>
              <w:right w:w="105" w:type="dxa"/>
            </w:tcMar>
          </w:tcPr>
          <w:p>
            <w:pPr>
              <w:widowControl/>
              <w:adjustRightInd w:val="0"/>
              <w:snapToGrid w:val="0"/>
              <w:spacing w:line="420" w:lineRule="exact"/>
              <w:ind w:firstLine="360" w:firstLineChars="200"/>
              <w:jc w:val="left"/>
              <w:textAlignment w:val="baseline"/>
              <w:rPr>
                <w:rFonts w:ascii="方正书宋_GBK" w:hAnsi="方正书宋_GBK" w:eastAsia="方正书宋_GBK" w:cs="方正书宋_GBK"/>
                <w:sz w:val="18"/>
                <w:szCs w:val="18"/>
              </w:rPr>
            </w:pPr>
          </w:p>
        </w:tc>
      </w:tr>
    </w:tbl>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甲方更换燃气燃烧器具及户内安全防护装置的应及时告知乙方。</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4.燃气计量表信息</w:t>
      </w:r>
    </w:p>
    <w:p>
      <w:pPr>
        <w:adjustRightInd w:val="0"/>
        <w:snapToGrid w:val="0"/>
        <w:spacing w:line="220" w:lineRule="exact"/>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表一：品牌、型号：</w:t>
      </w:r>
      <w:r>
        <w:rPr>
          <w:rFonts w:hint="eastAsia" w:ascii="方正书宋_GBK" w:hAnsi="方正书宋_GBK" w:eastAsia="方正书宋_GBK" w:cs="方正书宋_GBK"/>
          <w:sz w:val="21"/>
          <w:szCs w:val="21"/>
          <w:u w:val="single"/>
        </w:rPr>
        <w:t xml:space="preserve">        </w:t>
      </w:r>
      <w:r>
        <w:rPr>
          <w:rFonts w:hint="eastAsia" w:ascii="方正书宋_GBK" w:hAnsi="方正书宋_GBK" w:eastAsia="方正书宋_GBK" w:cs="方正书宋_GBK"/>
          <w:sz w:val="21"/>
          <w:szCs w:val="21"/>
        </w:rPr>
        <w:t>；安装位置（据实填写）：</w:t>
      </w:r>
      <w:r>
        <w:rPr>
          <w:rFonts w:hint="eastAsia" w:ascii="方正书宋_GBK" w:hAnsi="方正书宋_GBK" w:eastAsia="方正书宋_GBK" w:cs="方正书宋_GBK"/>
          <w:sz w:val="21"/>
          <w:szCs w:val="21"/>
          <w:u w:val="single"/>
        </w:rPr>
        <w:t xml:space="preserve">            </w:t>
      </w:r>
      <w:r>
        <w:rPr>
          <w:rFonts w:hint="eastAsia" w:ascii="方正书宋_GBK" w:hAnsi="方正书宋_GBK" w:eastAsia="方正书宋_GBK" w:cs="方正书宋_GBK"/>
          <w:sz w:val="21"/>
          <w:szCs w:val="21"/>
        </w:rPr>
        <w:t>；使用期限至：</w:t>
      </w:r>
      <w:r>
        <w:rPr>
          <w:rFonts w:hint="eastAsia" w:ascii="方正书宋_GBK" w:hAnsi="方正书宋_GBK" w:eastAsia="方正书宋_GBK" w:cs="方正书宋_GBK"/>
          <w:sz w:val="21"/>
          <w:szCs w:val="21"/>
          <w:u w:val="single"/>
        </w:rPr>
        <w:t xml:space="preserve">    </w:t>
      </w:r>
      <w:r>
        <w:rPr>
          <w:rFonts w:hint="eastAsia" w:ascii="方正书宋_GBK" w:hAnsi="方正书宋_GBK" w:eastAsia="方正书宋_GBK" w:cs="方正书宋_GBK"/>
          <w:sz w:val="21"/>
          <w:szCs w:val="21"/>
        </w:rPr>
        <w:t>年</w:t>
      </w:r>
      <w:r>
        <w:rPr>
          <w:rFonts w:hint="eastAsia" w:ascii="方正书宋_GBK" w:hAnsi="方正书宋_GBK" w:eastAsia="方正书宋_GBK" w:cs="方正书宋_GBK"/>
          <w:sz w:val="21"/>
          <w:szCs w:val="21"/>
          <w:u w:val="single"/>
        </w:rPr>
        <w:t xml:space="preserve">    </w:t>
      </w:r>
      <w:r>
        <w:rPr>
          <w:rFonts w:hint="eastAsia" w:ascii="方正书宋_GBK" w:hAnsi="方正书宋_GBK" w:eastAsia="方正书宋_GBK" w:cs="方正书宋_GBK"/>
          <w:sz w:val="21"/>
          <w:szCs w:val="21"/>
        </w:rPr>
        <w:t>月。</w:t>
      </w:r>
    </w:p>
    <w:p>
      <w:pPr>
        <w:adjustRightInd w:val="0"/>
        <w:snapToGrid w:val="0"/>
        <w:spacing w:line="220" w:lineRule="exact"/>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表二：品牌、型号：</w:t>
      </w:r>
      <w:r>
        <w:rPr>
          <w:rFonts w:hint="eastAsia" w:ascii="方正书宋_GBK" w:hAnsi="方正书宋_GBK" w:eastAsia="方正书宋_GBK" w:cs="方正书宋_GBK"/>
          <w:sz w:val="21"/>
          <w:szCs w:val="21"/>
          <w:u w:val="single"/>
        </w:rPr>
        <w:t xml:space="preserve">        </w:t>
      </w:r>
      <w:r>
        <w:rPr>
          <w:rFonts w:hint="eastAsia" w:ascii="方正书宋_GBK" w:hAnsi="方正书宋_GBK" w:eastAsia="方正书宋_GBK" w:cs="方正书宋_GBK"/>
          <w:sz w:val="21"/>
          <w:szCs w:val="21"/>
        </w:rPr>
        <w:t>；安装位置（据实填写）：</w:t>
      </w:r>
      <w:r>
        <w:rPr>
          <w:rFonts w:hint="eastAsia" w:ascii="方正书宋_GBK" w:hAnsi="方正书宋_GBK" w:eastAsia="方正书宋_GBK" w:cs="方正书宋_GBK"/>
          <w:sz w:val="21"/>
          <w:szCs w:val="21"/>
          <w:u w:val="single"/>
        </w:rPr>
        <w:t xml:space="preserve">            </w:t>
      </w:r>
      <w:r>
        <w:rPr>
          <w:rFonts w:hint="eastAsia" w:ascii="方正书宋_GBK" w:hAnsi="方正书宋_GBK" w:eastAsia="方正书宋_GBK" w:cs="方正书宋_GBK"/>
          <w:sz w:val="21"/>
          <w:szCs w:val="21"/>
        </w:rPr>
        <w:t>；使用期限至：</w:t>
      </w:r>
      <w:r>
        <w:rPr>
          <w:rFonts w:hint="eastAsia" w:ascii="方正书宋_GBK" w:hAnsi="方正书宋_GBK" w:eastAsia="方正书宋_GBK" w:cs="方正书宋_GBK"/>
          <w:sz w:val="21"/>
          <w:szCs w:val="21"/>
          <w:u w:val="single"/>
        </w:rPr>
        <w:t xml:space="preserve">    </w:t>
      </w:r>
      <w:r>
        <w:rPr>
          <w:rFonts w:hint="eastAsia" w:ascii="方正书宋_GBK" w:hAnsi="方正书宋_GBK" w:eastAsia="方正书宋_GBK" w:cs="方正书宋_GBK"/>
          <w:sz w:val="21"/>
          <w:szCs w:val="21"/>
        </w:rPr>
        <w:t>年</w:t>
      </w:r>
      <w:r>
        <w:rPr>
          <w:rFonts w:hint="eastAsia" w:ascii="方正书宋_GBK" w:hAnsi="方正书宋_GBK" w:eastAsia="方正书宋_GBK" w:cs="方正书宋_GBK"/>
          <w:sz w:val="21"/>
          <w:szCs w:val="21"/>
          <w:u w:val="single"/>
        </w:rPr>
        <w:t xml:space="preserve">    </w:t>
      </w:r>
      <w:r>
        <w:rPr>
          <w:rFonts w:hint="eastAsia" w:ascii="方正书宋_GBK" w:hAnsi="方正书宋_GBK" w:eastAsia="方正书宋_GBK" w:cs="方正书宋_GBK"/>
          <w:sz w:val="21"/>
          <w:szCs w:val="21"/>
        </w:rPr>
        <w:t>月。</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1）燃气计量表无法正常使用的，由乙方无偿更换，甲方应予以配合。甲方发现燃气计量表损坏或计量不准确的，应当及时通知乙方进行维修或更换。如因甲方原因造成燃气计量表损坏或计量不准确的，甲方应承担维修、更换费用。</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（2）双方对燃气计量表的计量准确性有异议时，均可向有资质的计量检定机构申请检定。经检定不合格的，由乙方承担检定费用并负责维修或更换并赔偿甲方相应损失；经检定合格的，由申请方承担检定费用。</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（3）按国家规定，燃气计量表到期后由乙方无偿更换。</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5.甲方专有部分燃气管线现状：（在相应的□内划√）</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□未做改动            □甲方委托乙方改动        □甲方改动，乙方确认没有隐患</w:t>
      </w:r>
    </w:p>
    <w:p>
      <w:pPr>
        <w:adjustRightInd w:val="0"/>
        <w:snapToGrid w:val="0"/>
        <w:spacing w:line="220" w:lineRule="exact"/>
        <w:ind w:firstLine="420" w:firstLineChars="200"/>
        <w:rPr>
          <w:sz w:val="21"/>
          <w:szCs w:val="21"/>
        </w:rPr>
      </w:pPr>
      <w:r>
        <w:rPr>
          <w:rFonts w:hint="eastAsia" w:ascii="方正书宋_GBK" w:hAnsi="方正书宋_GBK" w:eastAsia="方正书宋_GBK" w:cs="方正书宋_GBK"/>
          <w:sz w:val="21"/>
          <w:szCs w:val="21"/>
        </w:rPr>
        <w:t>6.由甲方承担费用的个性化需求：</w:t>
      </w:r>
      <w:r>
        <w:rPr>
          <w:rFonts w:hint="eastAsia" w:ascii="方正书宋_GBK" w:hAnsi="方正书宋_GBK" w:eastAsia="方正书宋_GBK" w:cs="方正书宋_GBK"/>
          <w:sz w:val="21"/>
          <w:szCs w:val="21"/>
          <w:u w:val="single"/>
        </w:rPr>
        <w:t xml:space="preserve">                                              </w:t>
      </w:r>
      <w:r>
        <w:rPr>
          <w:rFonts w:hint="eastAsia" w:ascii="方正书宋_GBK" w:hAnsi="方正书宋_GBK" w:eastAsia="方正书宋_GBK" w:cs="方正书宋_GBK"/>
          <w:sz w:val="21"/>
          <w:szCs w:val="21"/>
        </w:rPr>
        <w:t xml:space="preserve">。    </w:t>
      </w:r>
      <w:r>
        <w:rPr>
          <w:rFonts w:hint="eastAsia"/>
          <w:sz w:val="21"/>
          <w:szCs w:val="21"/>
        </w:rPr>
        <w:t xml:space="preserve">                                   </w:t>
      </w:r>
    </w:p>
    <w:p>
      <w:pPr>
        <w:adjustRightInd w:val="0"/>
        <w:snapToGrid w:val="0"/>
        <w:spacing w:line="220" w:lineRule="exact"/>
        <w:ind w:firstLine="420" w:firstLineChars="200"/>
        <w:rPr>
          <w:rFonts w:ascii="方正黑体_GBK" w:hAnsi="方正黑体_GBK" w:eastAsia="方正黑体_GBK" w:cs="方正黑体_GBK"/>
          <w:sz w:val="21"/>
          <w:szCs w:val="21"/>
        </w:rPr>
      </w:pPr>
      <w:r>
        <w:rPr>
          <w:rFonts w:hint="eastAsia" w:ascii="方正黑体_GBK" w:hAnsi="方正黑体_GBK" w:eastAsia="方正黑体_GBK" w:cs="方正黑体_GBK"/>
          <w:sz w:val="21"/>
          <w:szCs w:val="21"/>
        </w:rPr>
        <w:t>第二条  用气价格及结算方式</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1.价格：执行政府价格管理部门规定的燃气价格。本合同履行期间，如遇价格管理部门调整燃气价格，自批准文件规定之日起，按照新价格执行。</w:t>
      </w:r>
    </w:p>
    <w:p>
      <w:pPr>
        <w:adjustRightInd w:val="0"/>
        <w:snapToGrid w:val="0"/>
        <w:spacing w:line="220" w:lineRule="exact"/>
        <w:ind w:firstLine="420" w:firstLineChars="200"/>
        <w:rPr>
          <w:sz w:val="21"/>
          <w:szCs w:val="21"/>
        </w:rPr>
      </w:pPr>
      <w:r>
        <w:rPr>
          <w:rFonts w:hint="eastAsia" w:ascii="方正书宋_GBK" w:hAnsi="方正书宋_GBK" w:eastAsia="方正书宋_GBK" w:cs="方正书宋_GBK"/>
          <w:sz w:val="21"/>
          <w:szCs w:val="21"/>
        </w:rPr>
        <w:t>2.结算方式：</w:t>
      </w:r>
      <w:r>
        <w:rPr>
          <w:rFonts w:hint="eastAsia" w:ascii="方正书宋_GBK" w:hAnsi="方正书宋_GBK" w:eastAsia="方正书宋_GBK" w:cs="方正书宋_GBK"/>
          <w:sz w:val="21"/>
          <w:szCs w:val="21"/>
          <w:u w:val="single"/>
        </w:rPr>
        <w:t xml:space="preserve">                                                                    </w:t>
      </w:r>
      <w:r>
        <w:rPr>
          <w:rFonts w:hint="eastAsia" w:ascii="方正书宋_GBK" w:hAnsi="方正书宋_GBK" w:eastAsia="方正书宋_GBK" w:cs="方正书宋_GBK"/>
          <w:sz w:val="21"/>
          <w:szCs w:val="21"/>
        </w:rPr>
        <w:t xml:space="preserve">。   </w:t>
      </w:r>
      <w:r>
        <w:rPr>
          <w:rFonts w:hint="eastAsia"/>
          <w:sz w:val="21"/>
          <w:szCs w:val="21"/>
        </w:rPr>
        <w:t xml:space="preserve">                                     </w:t>
      </w:r>
    </w:p>
    <w:p>
      <w:pPr>
        <w:adjustRightInd w:val="0"/>
        <w:snapToGrid w:val="0"/>
        <w:spacing w:line="220" w:lineRule="exact"/>
        <w:ind w:firstLine="420" w:firstLineChars="200"/>
        <w:rPr>
          <w:rFonts w:ascii="方正黑体_GBK" w:hAnsi="方正黑体_GBK" w:eastAsia="方正黑体_GBK" w:cs="方正黑体_GBK"/>
          <w:sz w:val="21"/>
          <w:szCs w:val="21"/>
        </w:rPr>
      </w:pPr>
      <w:r>
        <w:rPr>
          <w:rFonts w:hint="eastAsia" w:ascii="方正黑体_GBK" w:hAnsi="方正黑体_GBK" w:eastAsia="方正黑体_GBK" w:cs="方正黑体_GBK"/>
          <w:sz w:val="21"/>
          <w:szCs w:val="21"/>
        </w:rPr>
        <w:t>第三条  合同的生效及变更</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本合同自甲方签字及乙方加盖公章之日起长期有效。甲、乙双方变更或甲方房屋产权、承租关系变更的应及时告知对方，并与对方解除本合同，燃气费用一并结清。</w:t>
      </w:r>
    </w:p>
    <w:p>
      <w:pPr>
        <w:adjustRightInd w:val="0"/>
        <w:snapToGrid w:val="0"/>
        <w:spacing w:line="220" w:lineRule="exact"/>
        <w:ind w:firstLine="420" w:firstLineChars="200"/>
        <w:rPr>
          <w:rFonts w:ascii="方正黑体_GBK" w:hAnsi="方正黑体_GBK" w:eastAsia="方正黑体_GBK" w:cs="方正黑体_GBK"/>
          <w:sz w:val="21"/>
          <w:szCs w:val="21"/>
        </w:rPr>
      </w:pPr>
      <w:r>
        <w:rPr>
          <w:rFonts w:hint="eastAsia" w:ascii="方正黑体_GBK" w:hAnsi="方正黑体_GBK" w:eastAsia="方正黑体_GBK" w:cs="方正黑体_GBK"/>
          <w:sz w:val="21"/>
          <w:szCs w:val="21"/>
        </w:rPr>
        <w:t>第四条  争议解决方式</w:t>
      </w:r>
    </w:p>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本合同项下发生的争议，由双方协商解决，也可以向属地消费者协会或其他人民调解组织申请调解；协商不成的，向</w:t>
      </w:r>
      <w:r>
        <w:rPr>
          <w:rFonts w:hint="eastAsia" w:ascii="方正书宋_GBK" w:hAnsi="方正书宋_GBK" w:eastAsia="方正书宋_GBK" w:cs="方正书宋_GBK"/>
          <w:sz w:val="21"/>
          <w:szCs w:val="21"/>
          <w:u w:val="single"/>
        </w:rPr>
        <w:t>      </w:t>
      </w:r>
      <w:r>
        <w:rPr>
          <w:rFonts w:hint="eastAsia" w:ascii="方正书宋_GBK" w:hAnsi="方正书宋_GBK" w:eastAsia="方正书宋_GBK" w:cs="方正书宋_GBK"/>
          <w:sz w:val="21"/>
          <w:szCs w:val="21"/>
        </w:rPr>
        <w:t>人民法院提起诉讼或根据双方另行达成的仲裁协议申请仲裁。</w:t>
      </w:r>
    </w:p>
    <w:p>
      <w:pPr>
        <w:numPr>
          <w:ilvl w:val="0"/>
          <w:numId w:val="1"/>
        </w:numPr>
        <w:adjustRightInd w:val="0"/>
        <w:snapToGrid w:val="0"/>
        <w:spacing w:line="220" w:lineRule="exact"/>
        <w:ind w:firstLine="420" w:firstLineChars="200"/>
        <w:rPr>
          <w:rFonts w:ascii="方正黑体_GBK" w:hAnsi="方正黑体_GBK" w:eastAsia="方正黑体_GBK" w:cs="方正黑体_GBK"/>
          <w:sz w:val="21"/>
          <w:szCs w:val="21"/>
        </w:rPr>
      </w:pPr>
      <w:r>
        <w:rPr>
          <w:rFonts w:hint="eastAsia" w:ascii="方正黑体_GBK" w:hAnsi="方正黑体_GBK" w:eastAsia="方正黑体_GBK" w:cs="方正黑体_GBK"/>
          <w:sz w:val="21"/>
          <w:szCs w:val="21"/>
        </w:rPr>
        <w:t xml:space="preserve"> 本合同一式两份，甲、乙双方各执一份，具有同等法律效力。</w:t>
      </w:r>
    </w:p>
    <w:p>
      <w:pPr>
        <w:adjustRightInd w:val="0"/>
        <w:snapToGrid w:val="0"/>
        <w:spacing w:line="220" w:lineRule="exact"/>
        <w:ind w:firstLine="420" w:firstLineChars="200"/>
        <w:jc w:val="left"/>
        <w:rPr>
          <w:rFonts w:ascii="方正书宋_GBK" w:hAnsi="方正书宋_GBK" w:eastAsia="方正书宋_GBK" w:cs="方正书宋_GBK"/>
          <w:b/>
          <w:bCs/>
          <w:color w:val="000000"/>
          <w:sz w:val="21"/>
          <w:szCs w:val="21"/>
          <w:u w:val="wave"/>
        </w:rPr>
      </w:pPr>
      <w:r>
        <w:rPr>
          <w:rFonts w:hint="eastAsia" w:ascii="方正书宋_GBK" w:hAnsi="方正书宋_GBK" w:eastAsia="方正书宋_GBK" w:cs="方正书宋_GBK"/>
          <w:b/>
          <w:bCs/>
          <w:color w:val="000000"/>
          <w:sz w:val="21"/>
          <w:szCs w:val="21"/>
          <w:u w:val="wave"/>
        </w:rPr>
        <w:t>请用气人仔细阅读通用条款及供气人提供的安全用气须知，再行签署本合同。</w:t>
      </w:r>
    </w:p>
    <w:p>
      <w:pPr>
        <w:adjustRightInd w:val="0"/>
        <w:snapToGrid w:val="0"/>
        <w:spacing w:line="220" w:lineRule="exact"/>
        <w:ind w:firstLine="420" w:firstLineChars="200"/>
        <w:jc w:val="left"/>
        <w:rPr>
          <w:rFonts w:ascii="方正书宋_GBK" w:hAnsi="方正书宋_GBK" w:eastAsia="方正书宋_GBK" w:cs="方正书宋_GBK"/>
          <w:sz w:val="21"/>
          <w:szCs w:val="21"/>
        </w:rPr>
      </w:pPr>
      <w:bookmarkStart w:id="0" w:name="_GoBack"/>
      <w:bookmarkEnd w:id="0"/>
      <w:r>
        <w:rPr>
          <w:rFonts w:hint="eastAsia" w:ascii="方正书宋_GBK" w:hAnsi="方正书宋_GBK" w:eastAsia="方正书宋_GBK" w:cs="方正书宋_GBK"/>
          <w:sz w:val="21"/>
          <w:szCs w:val="21"/>
        </w:rPr>
        <w:t>用气人（甲方）：                       供气人（乙方盖章）：</w:t>
      </w:r>
    </w:p>
    <w:p>
      <w:pPr>
        <w:adjustRightInd w:val="0"/>
        <w:snapToGrid w:val="0"/>
        <w:spacing w:line="220" w:lineRule="exact"/>
        <w:ind w:firstLine="420" w:firstLineChars="200"/>
        <w:rPr>
          <w:rFonts w:ascii="方正书宋_GBK" w:hAnsi="方正书宋_GBK" w:eastAsia="方正书宋_GBK" w:cs="方正书宋_GBK"/>
          <w:sz w:val="21"/>
          <w:szCs w:val="21"/>
        </w:rPr>
      </w:pPr>
    </w:p>
    <w:tbl>
      <w:tblPr>
        <w:tblStyle w:val="7"/>
        <w:tblW w:w="10080" w:type="dxa"/>
        <w:jc w:val="cente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Layout w:type="fixed"/>
        <w:tblCellMar>
          <w:top w:w="0" w:type="dxa"/>
          <w:left w:w="108" w:type="dxa"/>
          <w:bottom w:w="0" w:type="dxa"/>
          <w:right w:w="108" w:type="dxa"/>
        </w:tblCellMar>
      </w:tblPr>
      <w:tblGrid>
        <w:gridCol w:w="5040"/>
        <w:gridCol w:w="5040"/>
      </w:tblGrid>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324" w:hRule="atLeast"/>
          <w:jc w:val="center"/>
        </w:trPr>
        <w:tc>
          <w:tcPr>
            <w:tcW w:w="5040" w:type="dxa"/>
            <w:tcBorders>
              <w:tl2br w:val="nil"/>
              <w:tr2bl w:val="nil"/>
            </w:tcBorders>
          </w:tcPr>
          <w:p>
            <w:pPr>
              <w:adjustRightInd w:val="0"/>
              <w:snapToGrid w:val="0"/>
              <w:spacing w:line="220" w:lineRule="exact"/>
              <w:ind w:firstLine="934" w:firstLineChars="445"/>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 xml:space="preserve">公民身份号码：  </w:t>
            </w:r>
          </w:p>
        </w:tc>
        <w:tc>
          <w:tcPr>
            <w:tcW w:w="5040" w:type="dxa"/>
            <w:tcBorders>
              <w:tl2br w:val="nil"/>
              <w:tr2bl w:val="nil"/>
            </w:tcBorders>
          </w:tcPr>
          <w:p>
            <w:pPr>
              <w:adjustRightInd w:val="0"/>
              <w:snapToGrid w:val="0"/>
              <w:spacing w:line="220" w:lineRule="exact"/>
              <w:ind w:left="-275" w:leftChars="-86" w:firstLine="279" w:firstLineChars="133"/>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统一社会信用代码：</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trHeight w:val="324" w:hRule="atLeast"/>
          <w:jc w:val="center"/>
        </w:trPr>
        <w:tc>
          <w:tcPr>
            <w:tcW w:w="5040" w:type="dxa"/>
            <w:tcBorders>
              <w:tl2br w:val="nil"/>
              <w:tr2bl w:val="nil"/>
            </w:tcBorders>
          </w:tcPr>
          <w:p>
            <w:pPr>
              <w:adjustRightInd w:val="0"/>
              <w:snapToGrid w:val="0"/>
              <w:spacing w:line="220" w:lineRule="exact"/>
              <w:ind w:firstLine="934" w:firstLineChars="445"/>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手机号码：</w:t>
            </w:r>
          </w:p>
        </w:tc>
        <w:tc>
          <w:tcPr>
            <w:tcW w:w="5040" w:type="dxa"/>
            <w:tcBorders>
              <w:tl2br w:val="nil"/>
              <w:tr2bl w:val="nil"/>
            </w:tcBorders>
          </w:tcPr>
          <w:p>
            <w:pPr>
              <w:adjustRightInd w:val="0"/>
              <w:snapToGrid w:val="0"/>
              <w:spacing w:line="220" w:lineRule="exact"/>
              <w:ind w:left="-275" w:leftChars="-86" w:firstLine="279" w:firstLineChars="133"/>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服务电话：</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jc w:val="center"/>
        </w:trPr>
        <w:tc>
          <w:tcPr>
            <w:tcW w:w="5040" w:type="dxa"/>
            <w:tcBorders>
              <w:tl2br w:val="nil"/>
              <w:tr2bl w:val="nil"/>
            </w:tcBorders>
          </w:tcPr>
          <w:p>
            <w:pPr>
              <w:adjustRightInd w:val="0"/>
              <w:snapToGrid w:val="0"/>
              <w:spacing w:line="220" w:lineRule="exact"/>
              <w:ind w:firstLine="934" w:firstLineChars="445"/>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应急联系人姓名及电话：</w:t>
            </w:r>
          </w:p>
        </w:tc>
        <w:tc>
          <w:tcPr>
            <w:tcW w:w="5040" w:type="dxa"/>
            <w:tcBorders>
              <w:tl2br w:val="nil"/>
              <w:tr2bl w:val="nil"/>
            </w:tcBorders>
          </w:tcPr>
          <w:p>
            <w:pPr>
              <w:adjustRightInd w:val="0"/>
              <w:snapToGrid w:val="0"/>
              <w:spacing w:line="220" w:lineRule="exact"/>
              <w:ind w:left="-275" w:leftChars="-86" w:firstLine="279" w:firstLineChars="133"/>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24小时报修电话：</w:t>
            </w:r>
          </w:p>
        </w:tc>
      </w:tr>
      <w:tr>
        <w:tblPrEx>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Ex>
        <w:trPr>
          <w:jc w:val="center"/>
        </w:trPr>
        <w:tc>
          <w:tcPr>
            <w:tcW w:w="5040" w:type="dxa"/>
            <w:tcBorders>
              <w:tl2br w:val="nil"/>
              <w:tr2bl w:val="nil"/>
            </w:tcBorders>
          </w:tcPr>
          <w:p>
            <w:pPr>
              <w:adjustRightInd w:val="0"/>
              <w:snapToGrid w:val="0"/>
              <w:spacing w:line="220" w:lineRule="exact"/>
              <w:ind w:firstLine="934" w:firstLineChars="445"/>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电子邮件：</w:t>
            </w:r>
          </w:p>
        </w:tc>
        <w:tc>
          <w:tcPr>
            <w:tcW w:w="5040" w:type="dxa"/>
            <w:tcBorders>
              <w:tl2br w:val="nil"/>
              <w:tr2bl w:val="nil"/>
            </w:tcBorders>
          </w:tcPr>
          <w:p>
            <w:pPr>
              <w:adjustRightInd w:val="0"/>
              <w:snapToGrid w:val="0"/>
              <w:spacing w:line="220" w:lineRule="exact"/>
              <w:ind w:left="-275" w:leftChars="-86" w:firstLine="279" w:firstLineChars="133"/>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 xml:space="preserve">电子邮件：     </w:t>
            </w:r>
          </w:p>
        </w:tc>
      </w:tr>
    </w:tbl>
    <w:p>
      <w:pPr>
        <w:adjustRightInd w:val="0"/>
        <w:snapToGrid w:val="0"/>
        <w:spacing w:line="220" w:lineRule="exact"/>
        <w:ind w:firstLine="420" w:firstLineChars="200"/>
        <w:rPr>
          <w:rFonts w:ascii="方正书宋_GBK" w:hAnsi="方正书宋_GBK" w:eastAsia="方正书宋_GBK" w:cs="方正书宋_GBK"/>
          <w:sz w:val="21"/>
          <w:szCs w:val="21"/>
        </w:rPr>
      </w:pPr>
      <w:r>
        <w:rPr>
          <w:rFonts w:hint="eastAsia" w:ascii="方正书宋_GBK" w:hAnsi="方正书宋_GBK" w:eastAsia="方正书宋_GBK" w:cs="方正书宋_GBK"/>
          <w:sz w:val="21"/>
          <w:szCs w:val="21"/>
        </w:rPr>
        <w:t xml:space="preserve">                                                 签订时间：      年   月   日   </w:t>
      </w:r>
    </w:p>
    <w:p>
      <w:pPr>
        <w:adjustRightInd w:val="0"/>
        <w:snapToGrid w:val="0"/>
        <w:spacing w:line="420" w:lineRule="exact"/>
        <w:ind w:firstLine="560" w:firstLineChars="200"/>
        <w:jc w:val="center"/>
        <w:rPr>
          <w:rFonts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通 用 条 款</w:t>
      </w:r>
    </w:p>
    <w:p>
      <w:pPr>
        <w:adjustRightInd w:val="0"/>
        <w:snapToGrid w:val="0"/>
        <w:spacing w:line="260" w:lineRule="exact"/>
        <w:ind w:firstLine="400" w:firstLineChars="200"/>
        <w:rPr>
          <w:rFonts w:ascii="方正小标宋_GBK" w:hAnsi="方正小标宋_GBK" w:eastAsia="方正小标宋_GBK" w:cs="方正小标宋_GBK"/>
          <w:sz w:val="20"/>
          <w:szCs w:val="20"/>
        </w:rPr>
      </w:pPr>
      <w:r>
        <w:rPr>
          <w:rFonts w:hint="eastAsia" w:ascii="方正小标宋_GBK" w:hAnsi="方正小标宋_GBK" w:eastAsia="方正小标宋_GBK" w:cs="方正小标宋_GBK"/>
          <w:sz w:val="20"/>
          <w:szCs w:val="20"/>
        </w:rPr>
        <w:t>一、安全和服务责任</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1.甲方应了解燃气安全使用常识，对室(户)内燃气设施及燃气燃烧器具进行日常检查，配合乙方的入户安全检查，及时整改安全用气隐患。</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2.甲方发现室（户）内燃气设施或者燃气燃烧器具异常、燃气泄漏、意外停气等故障时，应及时向乙方报修；乙方提供24小时应急抢险服务，应不迟于甲方报修后</w:t>
      </w:r>
      <w:r>
        <w:rPr>
          <w:rFonts w:hint="eastAsia" w:ascii="方正书宋_GBK" w:hAnsi="方正书宋_GBK" w:eastAsia="方正书宋_GBK" w:cs="方正书宋_GBK"/>
          <w:sz w:val="20"/>
          <w:szCs w:val="20"/>
          <w:u w:val="single"/>
        </w:rPr>
        <w:t xml:space="preserve">    </w:t>
      </w:r>
      <w:r>
        <w:rPr>
          <w:rFonts w:hint="eastAsia" w:ascii="方正书宋_GBK" w:hAnsi="方正书宋_GBK" w:eastAsia="方正书宋_GBK" w:cs="方正书宋_GBK"/>
          <w:sz w:val="20"/>
          <w:szCs w:val="20"/>
        </w:rPr>
        <w:t>分钟上门检查，其中对燃气泄漏的报修要立即安排人员上门检修。</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3.甲方对外出租（借）房屋时，保证所提供的燃气设施和燃气燃烧器具符合安全要求，告知房屋使用人安全使用燃气的注意事项、配合乙方的入户安全检查作业并履行甲方在本合同中的安全用气义务。</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4.甲方拟连续半年以上不使用燃气的，应关闭燃气计量表前非公用阀门并告知乙方。</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5.甲方应安装带有燃气超压、欠压、过流切断保护功能的自闭阀，须及时更换超过使用年限的燃气燃烧器具，由乙方提供相应服务，配合乙方为排除用气安全隐患而开展的燃气表后至燃具前设施修理、材料更换。</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6.甲方专有部分燃气设施需要维修、安装、改装、移动或拆除的，应由乙方实施作业，乙方应在甲方提出要求的当日与甲方约定实施作业时间，按公示价格收取费用，并承担相应作业的质量责任。</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7.乙方免费对甲方室（户）内燃气设施进行入户安全检查，其中：通气20年以下的每两年不少于1次，通气20年以上的每年不少于1次；农村煤改气用户每年不少于2次，一次安排在采暖期前。甲方在承担费用的前提下，有权要求乙方增加入户安全检查频次，乙方应予以安排。</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8.甲方有义务配合乙方人员入户安全检查，因甲方原因未能按照乙方公示的时间进行入户安全巡检的，甲方应主动与乙方另行预约巡检时间。乙方安全检查后，应当就甲方存在的用气安全隐患提出整改建议，甲方应当及时整改。乙方应实时追踪隐患整改情况，直至整改完毕。甲方拒不整改安全隐患的，应当向甲方所在街道乡镇和城市执法部门书面报告。</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9.乙方提供24小时售气服务；在售气网点和营业场所等公示有关燃气安全、质量、收费标准和服务质量承诺。</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10.乙方因计划检修、更换设施等情况需临时调整供气量或暂停供气的，应提前48小时告知甲方。</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11.乙方应每季度通过手机、邮件、网络等形式提示甲方安全用气事项；乙方入户巡检时、甲方到售气网点购气时，乙方应向甲方发放安全用气须知。</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12.乙方可为甲方提供代办燃气综合保险的服务。</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13.甲方禁止实施下列行为：</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（1）操作公用燃气阀门、将燃气管道作为负重支架或接地引线；</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（2）使用不带熄火保护功能、超过使用年限（按照国家标准规定，燃气热水器、灶具、壁挂炉等自售出之日起，8年后不应再使用）的燃气燃烧器具；</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（3）自行或委托乙方以外的第三方改动室（户）内的燃气管线、阀门、燃气计量表等设施；</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（4）发现室（户）内燃气设施或者燃气燃烧器具异常、燃气泄漏、意外停气等故障时，在现场使用明火、开关电器、拨打电话；</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（5）实施影响燃气计量表正常使用的行为；</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（6）无理由拒绝入户安全检查或者拒不整改用气安全隐患。</w:t>
      </w:r>
    </w:p>
    <w:p>
      <w:pPr>
        <w:adjustRightInd w:val="0"/>
        <w:snapToGrid w:val="0"/>
        <w:spacing w:line="260" w:lineRule="exact"/>
        <w:ind w:firstLine="400" w:firstLineChars="200"/>
        <w:rPr>
          <w:rFonts w:ascii="方正小标宋_GBK" w:hAnsi="方正小标宋_GBK" w:eastAsia="方正小标宋_GBK" w:cs="方正小标宋_GBK"/>
          <w:sz w:val="20"/>
          <w:szCs w:val="20"/>
        </w:rPr>
      </w:pPr>
      <w:r>
        <w:rPr>
          <w:rFonts w:hint="eastAsia" w:ascii="方正小标宋_GBK" w:hAnsi="方正小标宋_GBK" w:eastAsia="方正小标宋_GBK" w:cs="方正小标宋_GBK"/>
          <w:sz w:val="20"/>
          <w:szCs w:val="20"/>
        </w:rPr>
        <w:t>二、违约责任</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1.甲方有下列情形并经劝阻无效的，乙方在履行书面告知义务后可采取限制或暂停供气措施。</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（1）存在盗用燃气行为；（2）拒绝乙方入户安全检查；（3）拒不整改危及公共安全的燃气隐患；（4）将生活用气擅自改为经营用气；（5）拖欠和拒绝支付燃气费用。</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2.甲方因擅自拆改室内燃气设施和操作公用阀门、使用不符合安全要求的燃气燃烧器具、拒绝乙方入户安全检查、拒绝乙方提出的安全隐患整改建议等行为，导致发生燃气安全事故，给其他方造成损失的，甲方应承担相应赔偿责任。</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3.除自然灾害和战争等不可抗力外，乙方停气、调整供气压力未按本合同约定提前公示而给甲方造成直接经济损失的，乙方应承担相应赔偿责任。</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4.乙方未按照约定周期及作业内容进行安全巡检、发现甲方燃气设施和燃气燃烧器具存在安全隐患未向甲方书面告知，导致发生燃气安全事故，给甲方和其他方造成损失的，乙方应承担相应赔偿责任。</w:t>
      </w:r>
    </w:p>
    <w:p>
      <w:pPr>
        <w:adjustRightInd w:val="0"/>
        <w:snapToGrid w:val="0"/>
        <w:spacing w:line="260" w:lineRule="exact"/>
        <w:ind w:firstLine="400" w:firstLineChars="200"/>
        <w:rPr>
          <w:rFonts w:ascii="方正书宋_GBK" w:hAnsi="方正书宋_GBK" w:eastAsia="方正书宋_GBK" w:cs="方正书宋_GBK"/>
          <w:sz w:val="20"/>
          <w:szCs w:val="20"/>
        </w:rPr>
      </w:pPr>
      <w:r>
        <w:rPr>
          <w:rFonts w:hint="eastAsia" w:ascii="方正书宋_GBK" w:hAnsi="方正书宋_GBK" w:eastAsia="方正书宋_GBK" w:cs="方正书宋_GBK"/>
          <w:sz w:val="20"/>
          <w:szCs w:val="20"/>
        </w:rPr>
        <w:t>5.甲方出租（借）房屋，没有证据证明已向房屋使用人告知安全使用燃气的注意事项及本合同有关内容，对燃气事故应承担连带责任。因乙方提供的燃气不符合国家标准，导致甲方在用气过程中产生安全事故，造成人身伤害或死亡的，由乙方承担全部责任，并赔偿相应损失。</w:t>
      </w:r>
    </w:p>
    <w:sectPr>
      <w:pgSz w:w="11906" w:h="16838"/>
      <w:pgMar w:top="1440" w:right="1474" w:bottom="1440"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方正书宋_GBK">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方正黑体_GBK">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FBC402"/>
    <w:multiLevelType w:val="singleLevel"/>
    <w:tmpl w:val="5FFBC402"/>
    <w:lvl w:ilvl="0" w:tentative="0">
      <w:start w:val="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2F4E4A6C"/>
    <w:rsid w:val="00003FB5"/>
    <w:rsid w:val="001437A1"/>
    <w:rsid w:val="03134B39"/>
    <w:rsid w:val="11220D2F"/>
    <w:rsid w:val="1FF66BA3"/>
    <w:rsid w:val="2F45E5C2"/>
    <w:rsid w:val="2F4E4A6C"/>
    <w:rsid w:val="FCDF84F4"/>
    <w:rsid w:val="FDCD9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宋体" w:hAnsi="宋体" w:eastAsia="仿宋_GB2312" w:cs="Times New Roman"/>
      <w:snapToGrid w:val="0"/>
      <w:kern w:val="32"/>
      <w:sz w:val="32"/>
      <w:szCs w:val="3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customStyle="1" w:styleId="2">
    <w:name w:val="PlainText"/>
    <w:next w:val="1"/>
    <w:qFormat/>
    <w:uiPriority w:val="0"/>
    <w:pPr>
      <w:widowControl w:val="0"/>
      <w:jc w:val="both"/>
    </w:pPr>
    <w:rPr>
      <w:rFonts w:ascii="宋体" w:hAnsi="宋体" w:eastAsia="Arial Unicode MS" w:cs="Arial Unicode MS"/>
      <w:color w:val="000000"/>
      <w:kern w:val="2"/>
      <w:sz w:val="21"/>
      <w:szCs w:val="21"/>
      <w:lang w:val="en-US" w:eastAsia="zh-CN" w:bidi="ar-SA"/>
    </w:rPr>
  </w:style>
  <w:style w:type="paragraph" w:styleId="3">
    <w:name w:val="Body Text"/>
    <w:basedOn w:val="1"/>
    <w:next w:val="4"/>
    <w:qFormat/>
    <w:uiPriority w:val="0"/>
    <w:pPr>
      <w:ind w:left="114"/>
    </w:pPr>
    <w:rPr>
      <w:rFonts w:hint="eastAsia" w:eastAsia="宋体"/>
      <w:sz w:val="30"/>
    </w:rPr>
  </w:style>
  <w:style w:type="paragraph" w:customStyle="1" w:styleId="4">
    <w:name w:val="toc 11"/>
    <w:next w:val="1"/>
    <w:qFormat/>
    <w:uiPriority w:val="0"/>
    <w:pPr>
      <w:wordWrap w:val="0"/>
      <w:jc w:val="both"/>
    </w:pPr>
    <w:rPr>
      <w:rFonts w:ascii="Times New Roman" w:hAnsi="Times New Roman" w:eastAsia="宋体" w:cs="Times New Roman"/>
      <w:sz w:val="21"/>
      <w:szCs w:val="22"/>
      <w:lang w:val="en-US" w:eastAsia="zh-CN" w:bidi="ar-SA"/>
    </w:rPr>
  </w:style>
  <w:style w:type="paragraph" w:styleId="5">
    <w:name w:val="Normal (Web)"/>
    <w:basedOn w:val="1"/>
    <w:qFormat/>
    <w:uiPriority w:val="0"/>
    <w:pPr>
      <w:widowControl/>
      <w:spacing w:before="100" w:beforeAutospacing="1"/>
      <w:jc w:val="center"/>
    </w:pPr>
    <w:rPr>
      <w:rFonts w:eastAsia="宋体"/>
      <w:snapToGrid/>
      <w:kern w:val="0"/>
      <w:sz w:val="24"/>
      <w:szCs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9">
    <w:name w:val="Heading #1|1"/>
    <w:qFormat/>
    <w:uiPriority w:val="0"/>
    <w:pPr>
      <w:widowControl w:val="0"/>
      <w:spacing w:after="260"/>
      <w:ind w:firstLine="660"/>
      <w:outlineLvl w:val="0"/>
    </w:pPr>
    <w:rPr>
      <w:rFonts w:ascii="宋体" w:hAnsi="宋体" w:eastAsia="宋体" w:cs="宋体"/>
      <w:color w:val="000000"/>
      <w:sz w:val="46"/>
      <w:szCs w:val="46"/>
      <w:lang w:val="zh-TW" w:eastAsia="zh-TW"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509</Words>
  <Characters>2904</Characters>
  <Lines>24</Lines>
  <Paragraphs>6</Paragraphs>
  <TotalTime>16</TotalTime>
  <ScaleCrop>false</ScaleCrop>
  <LinksUpToDate>false</LinksUpToDate>
  <CharactersWithSpaces>3407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2021-01-19T18:47:00Z</dcterms:created>
  <dc:creator>LRL</dc:creator>
  <cp:lastModifiedBy>WangWang</cp:lastModifiedBy>
  <dcterms:modified xsi:type="dcterms:W3CDTF">2023-04-21T08:13:31Z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FE267093215E4662AB56DADFEC0EE147_12</vt:lpwstr>
  </property>
</Properties>
</file>