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mbria" w:hAnsi="Cambria" w:eastAsia="仿宋" w:cs="Cambria"/>
          <w:b/>
          <w:sz w:val="28"/>
          <w:szCs w:val="28"/>
        </w:rPr>
      </w:pPr>
      <w:r>
        <w:rPr>
          <w:rFonts w:eastAsia="仿宋" w:cs="Cambria" w:ascii="Cambria" w:hAnsi="Cambria"/>
          <w:b/>
          <w:bCs/>
          <w:sz w:val="28"/>
          <w:szCs w:val="28"/>
        </w:rPr>
        <w:t>WF—2014—003</w:t>
      </w:r>
    </w:p>
    <w:p>
      <w:pPr>
        <w:pStyle w:val="Normal"/>
        <w:ind w:firstLine="482" w:end="0"/>
        <w:rPr>
          <w:rFonts w:ascii="仿宋" w:hAnsi="仿宋" w:eastAsia="仿宋" w:cs="仿宋"/>
          <w:b/>
          <w:sz w:val="24"/>
          <w:szCs w:val="28"/>
        </w:rPr>
      </w:pPr>
      <w:r>
        <w:rPr>
          <w:rFonts w:eastAsia="仿宋" w:cs="仿宋" w:ascii="仿宋" w:hAnsi="仿宋"/>
          <w:b/>
          <w:sz w:val="24"/>
          <w:szCs w:val="28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安徽省茶叶买卖合同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楷体_GBK" w:cs="方正楷体_GBK" w:ascii="方正楷体_GBK" w:hAnsi="方正楷体_GBK"/>
          <w:sz w:val="28"/>
          <w:szCs w:val="28"/>
          <w:lang w:eastAsia="zh-CN"/>
        </w:rPr>
        <w:t>(</w:t>
      </w:r>
      <w:r>
        <w:rPr>
          <w:rFonts w:ascii="方正楷体_GBK" w:hAnsi="方正楷体_GBK" w:cs="方正楷体_GBK" w:eastAsia="方正楷体_GBK"/>
          <w:sz w:val="28"/>
          <w:szCs w:val="28"/>
          <w:lang w:eastAsia="zh-CN"/>
        </w:rPr>
        <w:t>示范文本</w:t>
      </w:r>
      <w:r>
        <w:rPr>
          <w:rFonts w:eastAsia="方正楷体_GBK" w:cs="方正楷体_GBK" w:ascii="方正楷体_GBK" w:hAnsi="方正楷体_GBK"/>
          <w:sz w:val="28"/>
          <w:szCs w:val="28"/>
          <w:lang w:eastAsia="zh-CN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57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合同编号：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57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签订地点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: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both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甲方（出卖人）：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both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both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乙方（买受人）：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仿宋" w:hAnsi="仿宋" w:eastAsia="仿宋" w:cs="仿宋"/>
          <w:sz w:val="24"/>
          <w:szCs w:val="22"/>
        </w:rPr>
      </w:pPr>
      <w:r>
        <w:rPr>
          <w:rFonts w:eastAsia="仿宋" w:cs="仿宋" w:ascii="仿宋" w:hAnsi="仿宋"/>
          <w:sz w:val="24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根据《中华人民共和国合同法》、《中华人民共和国农产品质量安全法》及相关法律法规规定，经甲乙双方充分协商，订立本合同。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仿宋" w:hAnsi="仿宋" w:eastAsia="仿宋" w:cs="仿宋"/>
          <w:b/>
          <w:bCs/>
          <w:sz w:val="24"/>
        </w:rPr>
      </w:pPr>
      <w:r>
        <w:rPr>
          <w:rFonts w:ascii="仿宋" w:hAnsi="仿宋" w:cs="仿宋" w:eastAsia="仿宋"/>
          <w:b/>
          <w:bCs/>
          <w:sz w:val="24"/>
          <w:szCs w:val="22"/>
        </w:rPr>
        <w:t>第一条</w:t>
      </w:r>
      <w:r>
        <w:rPr>
          <w:rFonts w:ascii="仿宋" w:hAnsi="仿宋" w:cs="仿宋" w:eastAsia="仿宋"/>
          <w:b/>
          <w:bCs/>
          <w:sz w:val="24"/>
        </w:rPr>
        <w:t xml:space="preserve"> </w:t>
      </w:r>
      <w:r>
        <w:rPr>
          <w:rFonts w:ascii="仿宋" w:hAnsi="仿宋" w:cs="仿宋" w:eastAsia="仿宋"/>
          <w:b/>
          <w:bCs/>
          <w:sz w:val="24"/>
          <w:szCs w:val="22"/>
        </w:rPr>
        <w:t>标的及交（提）货时间</w:t>
      </w:r>
    </w:p>
    <w:tbl>
      <w:tblPr>
        <w:tblW w:w="858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64"/>
        <w:gridCol w:w="842"/>
        <w:gridCol w:w="722"/>
        <w:gridCol w:w="1074"/>
        <w:gridCol w:w="936"/>
        <w:gridCol w:w="1230"/>
        <w:gridCol w:w="1800"/>
        <w:gridCol w:w="913"/>
      </w:tblGrid>
      <w:tr>
        <w:trPr>
          <w:trHeight w:val="770" w:hRule="atLeast"/>
        </w:trPr>
        <w:tc>
          <w:tcPr>
            <w:tcW w:w="10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品种</w:t>
            </w:r>
          </w:p>
        </w:tc>
        <w:tc>
          <w:tcPr>
            <w:tcW w:w="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规格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等级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单位</w:t>
            </w:r>
          </w:p>
        </w:tc>
        <w:tc>
          <w:tcPr>
            <w:tcW w:w="10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数量</w:t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单价（元）</w:t>
            </w:r>
          </w:p>
        </w:tc>
        <w:tc>
          <w:tcPr>
            <w:tcW w:w="1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金额</w:t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交（提）货时间</w:t>
            </w:r>
          </w:p>
        </w:tc>
        <w:tc>
          <w:tcPr>
            <w:tcW w:w="9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备注</w:t>
            </w:r>
          </w:p>
        </w:tc>
      </w:tr>
      <w:tr>
        <w:trPr>
          <w:trHeight w:val="596" w:hRule="atLeast"/>
        </w:trPr>
        <w:tc>
          <w:tcPr>
            <w:tcW w:w="10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0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604" w:hRule="atLeast"/>
        </w:trPr>
        <w:tc>
          <w:tcPr>
            <w:tcW w:w="10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0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456" w:hRule="atLeast"/>
        </w:trPr>
        <w:tc>
          <w:tcPr>
            <w:tcW w:w="10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0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 </w:t>
            </w:r>
          </w:p>
        </w:tc>
      </w:tr>
      <w:tr>
        <w:trPr>
          <w:trHeight w:val="462" w:hRule="atLeast"/>
        </w:trPr>
        <w:tc>
          <w:tcPr>
            <w:tcW w:w="8581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合计人民币金额（大写）：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lang w:val="en-US" w:eastAsia="zh-CN"/>
              </w:rPr>
              <w:t xml:space="preserve">         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              （￥        元）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第二条</w:t>
      </w:r>
      <w:r>
        <w:rPr>
          <w:rFonts w:ascii="仿宋" w:hAnsi="仿宋" w:cs="仿宋" w:eastAsia="仿宋"/>
          <w:b/>
          <w:bCs/>
          <w:sz w:val="24"/>
        </w:rPr>
        <w:t xml:space="preserve"> </w:t>
      </w:r>
      <w:r>
        <w:rPr>
          <w:rFonts w:ascii="仿宋" w:hAnsi="仿宋" w:cs="仿宋" w:eastAsia="仿宋"/>
          <w:b w:val="false"/>
          <w:bCs w:val="false"/>
          <w:sz w:val="24"/>
        </w:rPr>
        <w:t xml:space="preserve"> 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质量要求：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、内在质量：茶叶符合各等级茶叶标准、符合《农产品质量安全法》的要求。双方应将样品封存保管，用于验收。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、外观质量：按样本提供的外观包装和设计。不退色、不沾污染物、光泽干净，整洁。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、其他要求：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 xml:space="preserve">第三条 </w:t>
      </w:r>
      <w:r>
        <w:rPr>
          <w:rFonts w:ascii="仿宋" w:hAnsi="仿宋" w:cs="仿宋" w:eastAsia="仿宋"/>
          <w:b/>
          <w:bCs/>
          <w:sz w:val="24"/>
        </w:rPr>
        <w:t xml:space="preserve"> 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交（提）货地点、方式：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）甲方送货到指定地点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并承担运费；（</w:t>
      </w: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）乙方自提；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）其他方式：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 xml:space="preserve">第四条 </w:t>
      </w:r>
      <w:r>
        <w:rPr>
          <w:rFonts w:ascii="方正书宋_GBK" w:hAnsi="方正书宋_GBK" w:cs="方正书宋_GBK" w:eastAsia="方正书宋_GBK"/>
          <w:b/>
          <w:bCs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验收方式：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仿宋" w:hAnsi="仿宋" w:eastAsia="仿宋" w:cs="仿宋"/>
          <w:sz w:val="24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按质量要求抽样验收，如有异议，乙方应在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</w:rPr>
        <w:t>天内书面提出。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仿宋" w:hAnsi="仿宋" w:eastAsia="仿宋" w:cs="仿宋"/>
          <w:b/>
          <w:bCs/>
          <w:sz w:val="24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第五条</w:t>
      </w:r>
      <w:r>
        <w:rPr>
          <w:rFonts w:ascii="仿宋" w:hAnsi="仿宋" w:cs="仿宋" w:eastAsia="仿宋"/>
          <w:b/>
          <w:bCs/>
          <w:sz w:val="24"/>
        </w:rPr>
        <w:t xml:space="preserve">  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结算方式：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仿宋" w:hAnsi="仿宋" w:eastAsia="仿宋" w:cs="仿宋"/>
          <w:b/>
          <w:bCs/>
          <w:sz w:val="24"/>
        </w:rPr>
      </w:pPr>
      <w:r>
        <w:rPr>
          <w:rFonts w:ascii="仿宋" w:hAnsi="仿宋" w:cs="仿宋" w:eastAsia="仿宋"/>
          <w:sz w:val="24"/>
          <w:u w:val="single"/>
        </w:rPr>
        <w:t xml:space="preserve">                                                    </w:t>
      </w:r>
      <w:r>
        <w:rPr>
          <w:rFonts w:ascii="仿宋" w:hAnsi="仿宋" w:cs="仿宋" w:eastAsia="仿宋"/>
          <w:bCs/>
          <w:sz w:val="24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 xml:space="preserve">第六条 </w:t>
      </w:r>
      <w:r>
        <w:rPr>
          <w:rFonts w:ascii="仿宋" w:hAnsi="仿宋" w:cs="仿宋" w:eastAsia="仿宋"/>
          <w:b/>
          <w:bCs/>
          <w:sz w:val="24"/>
        </w:rPr>
        <w:t xml:space="preserve"> 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违约责任：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eastAsia="方正书宋_GBK" w:cs="方正书宋_GBK" w:ascii="方正书宋_GBK" w:hAnsi="方正书宋_GBK"/>
          <w:b w:val="false"/>
          <w:bCs w:val="false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、任何一方迟延交货或迟延支付购货款，应当每日按照迟延部分价款的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  <w:u w:val="single"/>
        </w:rPr>
        <w:t xml:space="preserve">    </w:t>
      </w:r>
      <w:r>
        <w:rPr>
          <w:rFonts w:eastAsia="方正书宋_GBK" w:cs="方正书宋_GBK" w:ascii="方正书宋_GBK" w:hAnsi="方正书宋_GBK"/>
          <w:b w:val="false"/>
          <w:bCs w:val="false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标准向对方支付违约金。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eastAsia="方正书宋_GBK" w:cs="方正书宋_GBK" w:ascii="方正书宋_GBK" w:hAnsi="方正书宋_GBK"/>
          <w:b w:val="false"/>
          <w:bCs w:val="false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、一方如不履约或部分履约，应支付未履行价值的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  <w:u w:val="single"/>
        </w:rPr>
        <w:t xml:space="preserve">        </w:t>
      </w:r>
      <w:r>
        <w:rPr>
          <w:rFonts w:eastAsia="方正书宋_GBK" w:cs="方正书宋_GBK" w:ascii="方正书宋_GBK" w:hAnsi="方正书宋_GBK"/>
          <w:b w:val="false"/>
          <w:bCs w:val="false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作为违约金。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eastAsia="方正书宋_GBK" w:cs="方正书宋_GBK" w:ascii="方正书宋_GBK" w:hAnsi="方正书宋_GBK"/>
          <w:b w:val="false"/>
          <w:bCs w:val="false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、甲方如茶叶质量有问题，乙方有权拒收或要求补足、换货或退货；甲方承担违约责任，赔偿由此而造成的损失。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第七条</w:t>
      </w:r>
      <w:r>
        <w:rPr>
          <w:rFonts w:ascii="仿宋" w:hAnsi="仿宋" w:cs="仿宋" w:eastAsia="仿宋"/>
          <w:b/>
          <w:bCs/>
          <w:sz w:val="24"/>
        </w:rPr>
        <w:t xml:space="preserve">  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争议解决方式：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本合同在履行过程中发生的争议，由双方当事人协商解决，也可由当地有关部门进行调解；协商或调解不成的，按下列第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种方式解决。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b w:val="false"/>
          <w:bCs w:val="false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）提交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  <w:u w:val="single"/>
        </w:rPr>
        <w:t xml:space="preserve">             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仲裁委员会仲裁。（</w:t>
      </w:r>
      <w:r>
        <w:rPr>
          <w:rFonts w:eastAsia="方正书宋_GBK" w:cs="方正书宋_GBK" w:ascii="方正书宋_GBK" w:hAnsi="方正书宋_GBK"/>
          <w:b w:val="false"/>
          <w:bCs w:val="false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）依法向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  <w:u w:val="single"/>
        </w:rPr>
        <w:t xml:space="preserve">           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人民法院起诉。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仿宋" w:hAnsi="仿宋" w:eastAsia="仿宋" w:cs="仿宋"/>
          <w:b/>
          <w:sz w:val="24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 xml:space="preserve">第八条 </w:t>
      </w:r>
      <w:r>
        <w:rPr>
          <w:rFonts w:ascii="仿宋" w:hAnsi="仿宋" w:cs="仿宋" w:eastAsia="仿宋"/>
          <w:b/>
          <w:sz w:val="24"/>
        </w:rPr>
        <w:t xml:space="preserve"> 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其他约定事项：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仿宋" w:hAnsi="仿宋" w:eastAsia="仿宋" w:cs="仿宋"/>
          <w:sz w:val="24"/>
        </w:rPr>
      </w:pPr>
      <w:r>
        <w:rPr>
          <w:rFonts w:ascii="仿宋" w:hAnsi="仿宋" w:cs="仿宋" w:eastAsia="仿宋"/>
          <w:sz w:val="24"/>
          <w:u w:val="single"/>
        </w:rPr>
        <w:t xml:space="preserve">  </w:t>
      </w:r>
      <w:r>
        <w:rPr>
          <w:rFonts w:ascii="仿宋" w:hAnsi="仿宋" w:cs="仿宋" w:eastAsia="仿宋"/>
          <w:sz w:val="24"/>
          <w:u w:val="single"/>
        </w:rPr>
        <w:t xml:space="preserve">                                                              </w:t>
      </w:r>
      <w:r>
        <w:rPr>
          <w:rFonts w:ascii="仿宋" w:hAnsi="仿宋" w:cs="仿宋" w:eastAsia="仿宋"/>
          <w:sz w:val="24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本合同一式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份，双方各执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份，合同自双方签字盖章后生效。合同内容如有变更，应当采用书面形式作为本合同的附件；附件与本合同具有同等法律效力。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eastAsia="方正书宋_GBK" w:cs="方正书宋_GBK" w:ascii="方正书宋_GBK" w:hAnsi="方正书宋_GBK"/>
          <w:b w:val="false"/>
          <w:bCs w:val="false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eastAsia="方正书宋_GBK" w:cs="方正书宋_GBK" w:ascii="方正书宋_GBK" w:hAnsi="方正书宋_GBK"/>
          <w:b w:val="false"/>
          <w:bCs w:val="false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eastAsia="方正书宋_GBK" w:cs="方正书宋_GBK" w:ascii="方正书宋_GBK" w:hAnsi="方正书宋_GBK"/>
          <w:b w:val="false"/>
          <w:bCs w:val="false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甲方（章）：                       乙方（章）：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住所：                            住所：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法定代表人（或负责人）：           法定代表人（或负责人）：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 xml:space="preserve">委托代表人：                      委托代表人：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开户银行：                        开户银行：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帐    号：                        帐    号：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电    话：                        电    话：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邮政编码：                        邮政编码：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 xml:space="preserve">签订时间：                        签订时间：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 xml:space="preserve">                     </w:t>
      </w:r>
    </w:p>
    <w:p>
      <w:pPr>
        <w:pStyle w:val="Normal"/>
        <w:rPr>
          <w:rFonts w:ascii="仿宋" w:hAnsi="仿宋" w:eastAsia="仿宋" w:cs="仿宋"/>
          <w:b w:val="false"/>
          <w:bCs w:val="false"/>
          <w:sz w:val="24"/>
          <w:szCs w:val="22"/>
        </w:rPr>
      </w:pPr>
      <w:r>
        <w:rPr>
          <w:rFonts w:eastAsia="仿宋" w:cs="仿宋" w:ascii="仿宋" w:hAnsi="仿宋"/>
          <w:b w:val="false"/>
          <w:bCs w:val="false"/>
          <w:sz w:val="24"/>
          <w:szCs w:val="22"/>
        </w:rPr>
      </w:r>
    </w:p>
    <w:sectPr>
      <w:footerReference w:type="default" r:id="rId2"/>
      <w:type w:val="nextPage"/>
      <w:pgSz w:w="11906" w:h="16838"/>
      <w:pgMar w:left="1800" w:right="1800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altName w:val="Segoe Print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Cambria">
    <w:charset w:val="00" w:characterSet="windows-1252"/>
    <w:family w:val="auto"/>
    <w:pitch w:val="default"/>
  </w:font>
  <w:font w:name="仿宋">
    <w:charset w:val="86"/>
    <w:family w:val="modern"/>
    <w:pitch w:val="default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205.4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;Segoe Print" w:hAnsi="Times New Roman;Segoe Print" w:eastAsia="宋体" w:cs="Times New Roman;Segoe Print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33120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2014-05-27T14:48:00Z</dcterms:created>
  <dc:creator>Administrator</dc:creator>
  <dc:description/>
  <dc:language>zh-CN</dc:language>
  <cp:lastModifiedBy>赵军</cp:lastModifiedBy>
  <cp:lastPrinted>2014-06-10T15:09:00Z</cp:lastPrinted>
  <dcterms:modified xsi:type="dcterms:W3CDTF">2022-02-18T15:25:43Z</dcterms:modified>
  <cp:revision>11</cp:revision>
  <dc:subject/>
  <dc:title>WF—2014—003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50AB4E6354B74A4D8CB8A0D0CAADBB5B</vt:lpwstr>
  </property>
  <property fmtid="{D5CDD505-2E9C-101B-9397-08002B2CF9AE}" pid="3" name="KSOProductBuildVer">
    <vt:lpwstr>2052-11.1.0.11294</vt:lpwstr>
  </property>
</Properties>
</file>