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eastAsiaTheme="minorEastAsia"/>
          <w:kern w:val="0"/>
          <w:sz w:val="30"/>
          <w:szCs w:val="30"/>
        </w:rPr>
      </w:pPr>
    </w:p>
    <w:p>
      <w:pPr>
        <w:spacing w:line="360" w:lineRule="auto"/>
        <w:rPr>
          <w:rFonts w:hint="eastAsia" w:ascii="方正书宋_GBK" w:hAnsi="方正书宋_GBK" w:eastAsia="方正书宋_GBK" w:cs="方正书宋_GBK"/>
          <w:kern w:val="0"/>
          <w:sz w:val="28"/>
          <w:szCs w:val="28"/>
        </w:rPr>
      </w:pPr>
      <w:r>
        <w:rPr>
          <w:rFonts w:asciiTheme="minorEastAsia" w:hAnsiTheme="minorEastAsia" w:eastAsiaTheme="minorEastAsia"/>
          <w:kern w:val="0"/>
          <w:sz w:val="30"/>
          <w:szCs w:val="30"/>
        </w:rPr>
        <w:t> </w:t>
      </w:r>
      <w:r>
        <w:rPr>
          <w:rFonts w:hint="eastAsia" w:asciiTheme="minorEastAsia" w:hAnsiTheme="minorEastAsia" w:eastAsiaTheme="minorEastAsia"/>
          <w:kern w:val="0"/>
          <w:sz w:val="30"/>
          <w:szCs w:val="30"/>
        </w:rPr>
        <w:t xml:space="preserve">                         </w:t>
      </w:r>
      <w:r>
        <w:rPr>
          <w:rFonts w:hint="eastAsia" w:asciiTheme="minorEastAsia" w:hAnsiTheme="minorEastAsia" w:eastAsiaTheme="minorEastAsia"/>
          <w:kern w:val="0"/>
          <w:sz w:val="30"/>
          <w:szCs w:val="30"/>
          <w:lang w:val="en-US" w:eastAsia="zh-CN"/>
        </w:rPr>
        <w:t xml:space="preserve">  </w:t>
      </w:r>
      <w:r>
        <w:rPr>
          <w:rFonts w:hint="eastAsia" w:asciiTheme="minorEastAsia" w:hAnsiTheme="minorEastAsia" w:eastAsiaTheme="minorEastAsia"/>
          <w:kern w:val="0"/>
          <w:sz w:val="30"/>
          <w:szCs w:val="30"/>
        </w:rPr>
        <w:t xml:space="preserve">  </w:t>
      </w:r>
      <w:r>
        <w:rPr>
          <w:rFonts w:hint="eastAsia" w:ascii="方正书宋_GBK" w:hAnsi="方正书宋_GBK" w:eastAsia="方正书宋_GBK" w:cs="方正书宋_GBK"/>
          <w:kern w:val="0"/>
          <w:sz w:val="28"/>
          <w:szCs w:val="28"/>
        </w:rPr>
        <w:t xml:space="preserve"> 合同编号： </w:t>
      </w:r>
    </w:p>
    <w:p>
      <w:pPr>
        <w:spacing w:line="360" w:lineRule="auto"/>
        <w:rPr>
          <w:rFonts w:asciiTheme="minorEastAsia" w:hAnsiTheme="minorEastAsia" w:eastAsiaTheme="minorEastAsia"/>
          <w:kern w:val="0"/>
          <w:sz w:val="30"/>
          <w:szCs w:val="30"/>
        </w:rPr>
      </w:pPr>
    </w:p>
    <w:p>
      <w:pPr>
        <w:spacing w:line="360" w:lineRule="auto"/>
        <w:rPr>
          <w:rFonts w:asciiTheme="minorEastAsia" w:hAnsiTheme="minorEastAsia" w:eastAsiaTheme="minorEastAsia"/>
          <w:kern w:val="0"/>
          <w:sz w:val="30"/>
          <w:szCs w:val="30"/>
        </w:rPr>
      </w:pPr>
      <w:r>
        <w:rPr>
          <w:rFonts w:asciiTheme="minorEastAsia" w:hAnsiTheme="minorEastAsia" w:eastAsiaTheme="minorEastAsia"/>
          <w:kern w:val="0"/>
          <w:sz w:val="30"/>
          <w:szCs w:val="30"/>
        </w:rPr>
        <w:t> </w:t>
      </w:r>
    </w:p>
    <w:p>
      <w:pPr>
        <w:spacing w:line="360" w:lineRule="auto"/>
        <w:rPr>
          <w:rFonts w:asciiTheme="minorEastAsia" w:hAnsiTheme="minorEastAsia" w:eastAsiaTheme="minorEastAsia"/>
          <w:kern w:val="0"/>
          <w:sz w:val="30"/>
          <w:szCs w:val="30"/>
        </w:rPr>
      </w:pPr>
      <w:r>
        <w:rPr>
          <w:rFonts w:asciiTheme="minorEastAsia" w:hAnsiTheme="minorEastAsia" w:eastAsiaTheme="minorEastAsia"/>
          <w:kern w:val="0"/>
          <w:sz w:val="30"/>
          <w:szCs w:val="30"/>
        </w:rPr>
        <w:t> </w:t>
      </w:r>
    </w:p>
    <w:p>
      <w:pPr>
        <w:spacing w:line="360" w:lineRule="auto"/>
        <w:jc w:val="center"/>
        <w:rPr>
          <w:rFonts w:hint="eastAsia" w:ascii="方正小标宋_GBK" w:hAnsi="方正小标宋_GBK" w:eastAsia="方正小标宋_GBK" w:cs="方正小标宋_GBK"/>
          <w:b/>
          <w:kern w:val="0"/>
          <w:sz w:val="40"/>
          <w:szCs w:val="40"/>
        </w:rPr>
      </w:pPr>
      <w:r>
        <w:rPr>
          <w:rFonts w:hint="eastAsia" w:ascii="方正小标宋_GBK" w:hAnsi="方正小标宋_GBK" w:eastAsia="方正小标宋_GBK" w:cs="方正小标宋_GBK"/>
          <w:b/>
          <w:kern w:val="0"/>
          <w:sz w:val="40"/>
          <w:szCs w:val="40"/>
        </w:rPr>
        <w:t>杭州市前期物业服务合同</w:t>
      </w:r>
    </w:p>
    <w:p>
      <w:pPr>
        <w:spacing w:line="360" w:lineRule="auto"/>
        <w:jc w:val="center"/>
        <w:rPr>
          <w:rFonts w:hint="eastAsia" w:ascii="方正楷体_GBK" w:hAnsi="方正楷体_GBK" w:eastAsia="方正楷体_GBK" w:cs="方正楷体_GBK"/>
          <w:kern w:val="0"/>
          <w:sz w:val="28"/>
          <w:szCs w:val="28"/>
        </w:rPr>
      </w:pPr>
      <w:r>
        <w:rPr>
          <w:rFonts w:hint="eastAsia" w:ascii="方正楷体_GBK" w:hAnsi="方正楷体_GBK" w:eastAsia="方正楷体_GBK" w:cs="方正楷体_GBK"/>
          <w:kern w:val="0"/>
          <w:sz w:val="28"/>
          <w:szCs w:val="28"/>
        </w:rPr>
        <w:t>（示范文本）</w:t>
      </w:r>
    </w:p>
    <w:p>
      <w:pPr>
        <w:spacing w:line="360" w:lineRule="auto"/>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 </w:t>
      </w:r>
    </w:p>
    <w:p>
      <w:pPr>
        <w:spacing w:line="480" w:lineRule="auto"/>
        <w:rPr>
          <w:rFonts w:hint="eastAsia" w:ascii="方正书宋_GBK" w:hAnsi="方正书宋_GBK" w:eastAsia="方正书宋_GBK" w:cs="方正书宋_GBK"/>
          <w:sz w:val="28"/>
          <w:szCs w:val="28"/>
        </w:rPr>
      </w:pP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项目名称：</w:t>
      </w:r>
      <w:r>
        <w:rPr>
          <w:rFonts w:hint="eastAsia" w:ascii="方正书宋_GBK" w:hAnsi="方正书宋_GBK" w:eastAsia="方正书宋_GBK" w:cs="方正书宋_GBK"/>
          <w:sz w:val="28"/>
          <w:szCs w:val="28"/>
          <w:u w:val="single"/>
        </w:rPr>
        <w:t xml:space="preserve">                              </w:t>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项目地址：</w:t>
      </w:r>
      <w:r>
        <w:rPr>
          <w:rFonts w:hint="eastAsia" w:ascii="方正书宋_GBK" w:hAnsi="方正书宋_GBK" w:eastAsia="方正书宋_GBK" w:cs="方正书宋_GBK"/>
          <w:sz w:val="28"/>
          <w:szCs w:val="28"/>
          <w:u w:val="single"/>
        </w:rPr>
        <w:t xml:space="preserve">                              </w:t>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委 托 方：</w:t>
      </w:r>
      <w:r>
        <w:rPr>
          <w:rFonts w:hint="eastAsia" w:ascii="方正书宋_GBK" w:hAnsi="方正书宋_GBK" w:eastAsia="方正书宋_GBK" w:cs="方正书宋_GBK"/>
          <w:sz w:val="28"/>
          <w:szCs w:val="28"/>
          <w:u w:val="single"/>
        </w:rPr>
        <w:t xml:space="preserve">                              </w:t>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受 托 方:</w:t>
      </w:r>
      <w:r>
        <w:rPr>
          <w:rFonts w:hint="eastAsia" w:ascii="方正书宋_GBK" w:hAnsi="方正书宋_GBK" w:eastAsia="方正书宋_GBK" w:cs="方正书宋_GBK"/>
          <w:sz w:val="28"/>
          <w:szCs w:val="28"/>
          <w:u w:val="single"/>
        </w:rPr>
        <w:t xml:space="preserve">                               </w:t>
      </w:r>
    </w:p>
    <w:p>
      <w:pPr>
        <w:spacing w:line="480" w:lineRule="auto"/>
        <w:ind w:firstLine="560" w:firstLineChars="200"/>
        <w:rPr>
          <w:rFonts w:hint="eastAsia" w:ascii="方正书宋_GBK" w:hAnsi="方正书宋_GBK" w:eastAsia="方正书宋_GBK" w:cs="方正书宋_GBK"/>
          <w:sz w:val="28"/>
          <w:szCs w:val="28"/>
        </w:rPr>
      </w:pPr>
      <w:r>
        <w:rPr>
          <w:rFonts w:hint="eastAsia" w:ascii="方正书宋_GBK" w:hAnsi="方正书宋_GBK" w:eastAsia="方正书宋_GBK" w:cs="方正书宋_GBK"/>
          <w:sz w:val="28"/>
          <w:szCs w:val="28"/>
        </w:rPr>
        <w:t>签订日期：</w:t>
      </w:r>
      <w:r>
        <w:rPr>
          <w:rFonts w:hint="eastAsia" w:ascii="方正书宋_GBK" w:hAnsi="方正书宋_GBK" w:eastAsia="方正书宋_GBK" w:cs="方正书宋_GBK"/>
          <w:sz w:val="28"/>
          <w:szCs w:val="28"/>
          <w:u w:val="single"/>
        </w:rPr>
        <w:t xml:space="preserve">                              </w:t>
      </w:r>
    </w:p>
    <w:p>
      <w:pPr>
        <w:snapToGrid w:val="0"/>
        <w:spacing w:line="360" w:lineRule="auto"/>
        <w:rPr>
          <w:rFonts w:hint="eastAsia" w:ascii="方正书宋_GBK" w:hAnsi="方正书宋_GBK" w:eastAsia="方正书宋_GBK" w:cs="方正书宋_GBK"/>
          <w:spacing w:val="20"/>
          <w:kern w:val="0"/>
          <w:sz w:val="28"/>
          <w:szCs w:val="28"/>
        </w:rPr>
      </w:pPr>
    </w:p>
    <w:p>
      <w:pPr>
        <w:spacing w:line="360" w:lineRule="auto"/>
        <w:jc w:val="center"/>
        <w:rPr>
          <w:rFonts w:hint="eastAsia" w:ascii="方正书宋_GBK" w:hAnsi="方正书宋_GBK" w:eastAsia="方正书宋_GBK" w:cs="方正书宋_GBK"/>
          <w:b/>
          <w:kern w:val="0"/>
          <w:sz w:val="28"/>
          <w:szCs w:val="28"/>
        </w:rPr>
      </w:pPr>
      <w:r>
        <w:rPr>
          <w:rFonts w:hint="eastAsia" w:ascii="方正书宋_GBK" w:hAnsi="方正书宋_GBK" w:eastAsia="方正书宋_GBK" w:cs="方正书宋_GBK"/>
          <w:b/>
          <w:kern w:val="0"/>
          <w:sz w:val="28"/>
          <w:szCs w:val="28"/>
        </w:rPr>
        <w:t>  </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杭州市住房保障和房产管理局</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杭州市市场监督管理局</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杭州市消费者权益保护委员会</w:t>
      </w:r>
    </w:p>
    <w:p>
      <w:pPr>
        <w:spacing w:line="276" w:lineRule="auto"/>
        <w:jc w:val="center"/>
        <w:rPr>
          <w:rFonts w:hint="eastAsia" w:ascii="方正书宋_GBK" w:hAnsi="方正书宋_GBK" w:eastAsia="方正书宋_GBK" w:cs="方正书宋_GBK"/>
          <w:kern w:val="0"/>
          <w:sz w:val="28"/>
          <w:szCs w:val="28"/>
        </w:rPr>
      </w:pPr>
      <w:r>
        <w:rPr>
          <w:rFonts w:hint="eastAsia" w:ascii="方正书宋_GBK" w:hAnsi="方正书宋_GBK" w:eastAsia="方正书宋_GBK" w:cs="方正书宋_GBK"/>
          <w:kern w:val="0"/>
          <w:sz w:val="28"/>
          <w:szCs w:val="28"/>
        </w:rPr>
        <w:t>杭州市物业管理协会</w:t>
      </w:r>
    </w:p>
    <w:p>
      <w:pPr>
        <w:spacing w:line="276" w:lineRule="auto"/>
        <w:jc w:val="center"/>
        <w:rPr>
          <w:rFonts w:hint="eastAsia" w:ascii="方正书宋_GBK" w:hAnsi="方正书宋_GBK" w:eastAsia="方正书宋_GBK" w:cs="方正书宋_GBK"/>
          <w:kern w:val="0"/>
          <w:sz w:val="28"/>
          <w:szCs w:val="28"/>
        </w:rPr>
      </w:pPr>
    </w:p>
    <w:p>
      <w:pPr>
        <w:widowControl/>
        <w:jc w:val="left"/>
        <w:rPr>
          <w:rFonts w:asciiTheme="minorEastAsia" w:hAnsiTheme="minorEastAsia" w:eastAsiaTheme="minorEastAsia"/>
          <w:b/>
          <w:kern w:val="0"/>
          <w:sz w:val="30"/>
          <w:szCs w:val="30"/>
        </w:rPr>
      </w:pPr>
      <w:r>
        <w:rPr>
          <w:rFonts w:asciiTheme="minorEastAsia" w:hAnsiTheme="minorEastAsia" w:eastAsiaTheme="minorEastAsia"/>
          <w:b/>
          <w:kern w:val="0"/>
          <w:sz w:val="30"/>
          <w:szCs w:val="30"/>
        </w:rPr>
        <w:br w:type="page"/>
      </w:r>
    </w:p>
    <w:p>
      <w:pPr>
        <w:pageBreakBefore w:val="0"/>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val="0"/>
          <w:bCs/>
          <w:kern w:val="0"/>
          <w:sz w:val="22"/>
          <w:szCs w:val="22"/>
        </w:rPr>
      </w:pPr>
    </w:p>
    <w:p>
      <w:pPr>
        <w:pageBreakBefore w:val="0"/>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目   录</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合同当事人……………………………………………………1</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物业基本情况…………………………………………………2</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物业服务内容与服务标准……………………………………2</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物业服务费用…………………………………………………3</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双方的权利义务………………………………………………7</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物业专项维修资金及物业保修金……………………………9</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物业管理用房…………………………………………………11</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物业的经营与管理……………………………………………11</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前期物业服务期限……………………………………………13</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违约责任………………………………………………………14</w:t>
      </w:r>
    </w:p>
    <w:p>
      <w:pPr>
        <w:pStyle w:val="20"/>
        <w:pageBreakBefore w:val="0"/>
        <w:widowControl/>
        <w:numPr>
          <w:ilvl w:val="0"/>
          <w:numId w:val="1"/>
        </w:numPr>
        <w:kinsoku/>
        <w:overflowPunct/>
        <w:topLinePunct w:val="0"/>
        <w:autoSpaceDE/>
        <w:autoSpaceDN/>
        <w:bidi w:val="0"/>
        <w:adjustRightInd/>
        <w:spacing w:line="420" w:lineRule="exact"/>
        <w:ind w:firstLineChars="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其他事项……………………………………………………16</w:t>
      </w:r>
    </w:p>
    <w:p>
      <w:pPr>
        <w:pageBreakBefore w:val="0"/>
        <w:widowControl/>
        <w:kinsoku/>
        <w:overflowPunct/>
        <w:topLinePunct w:val="0"/>
        <w:autoSpaceDE/>
        <w:autoSpaceDN/>
        <w:bidi w:val="0"/>
        <w:adjustRightInd/>
        <w:spacing w:line="420" w:lineRule="exact"/>
        <w:textAlignment w:val="auto"/>
        <w:rPr>
          <w:rFonts w:hint="eastAsia" w:ascii="方正书宋_GBK" w:hAnsi="方正书宋_GBK" w:eastAsia="方正书宋_GBK" w:cs="方正书宋_GBK"/>
          <w:b w:val="0"/>
          <w:bCs/>
          <w:kern w:val="0"/>
          <w:sz w:val="22"/>
          <w:szCs w:val="22"/>
        </w:rPr>
        <w:sectPr>
          <w:footerReference r:id="rId3" w:type="default"/>
          <w:footerReference r:id="rId4" w:type="even"/>
          <w:pgSz w:w="11906" w:h="16838"/>
          <w:pgMar w:top="1440" w:right="1797" w:bottom="1440" w:left="1797" w:header="851" w:footer="992" w:gutter="0"/>
          <w:pgNumType w:start="1"/>
          <w:cols w:space="720" w:num="1"/>
          <w:docGrid w:linePitch="312" w:charSpace="0"/>
        </w:sectPr>
      </w:pPr>
      <w:r>
        <w:rPr>
          <w:rFonts w:hint="eastAsia" w:ascii="方正书宋_GBK" w:hAnsi="方正书宋_GBK" w:eastAsia="方正书宋_GBK" w:cs="方正书宋_GBK"/>
          <w:b w:val="0"/>
          <w:bCs/>
          <w:kern w:val="0"/>
          <w:sz w:val="22"/>
          <w:szCs w:val="22"/>
        </w:rPr>
        <w:t>附 件……………………………………………………………………17</w:t>
      </w:r>
    </w:p>
    <w:p>
      <w:pPr>
        <w:pageBreakBefore w:val="0"/>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kern w:val="0"/>
          <w:sz w:val="22"/>
          <w:szCs w:val="22"/>
        </w:rPr>
      </w:pPr>
    </w:p>
    <w:p>
      <w:pPr>
        <w:pageBreakBefore w:val="0"/>
        <w:widowControl/>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bCs/>
          <w:kern w:val="0"/>
          <w:sz w:val="22"/>
          <w:szCs w:val="22"/>
        </w:rPr>
      </w:pPr>
      <w:r>
        <w:rPr>
          <w:rFonts w:hint="eastAsia" w:ascii="方正书宋_GBK" w:hAnsi="方正书宋_GBK" w:eastAsia="方正书宋_GBK" w:cs="方正书宋_GBK"/>
          <w:b/>
          <w:bCs/>
          <w:kern w:val="0"/>
          <w:sz w:val="22"/>
          <w:szCs w:val="22"/>
        </w:rPr>
        <w:t>使用说明</w:t>
      </w:r>
    </w:p>
    <w:p>
      <w:pPr>
        <w:pageBreakBefore w:val="0"/>
        <w:widowControl/>
        <w:kinsoku/>
        <w:overflowPunct/>
        <w:topLinePunct w:val="0"/>
        <w:autoSpaceDE/>
        <w:autoSpaceDN/>
        <w:bidi w:val="0"/>
        <w:adjustRightInd/>
        <w:spacing w:line="420" w:lineRule="exact"/>
        <w:jc w:val="center"/>
        <w:textAlignment w:val="auto"/>
        <w:rPr>
          <w:rFonts w:hint="eastAsia" w:ascii="方正书宋_GBK" w:hAnsi="方正书宋_GBK" w:eastAsia="方正书宋_GBK" w:cs="方正书宋_GBK"/>
          <w:b/>
          <w:kern w:val="0"/>
          <w:sz w:val="22"/>
          <w:szCs w:val="22"/>
        </w:rPr>
      </w:pPr>
    </w:p>
    <w:p>
      <w:pPr>
        <w:pageBreakBefore w:val="0"/>
        <w:kinsoku/>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1.本示范文本仅供物业项目建设单位与其选聘的物业服务企业签订前期物业服务合同时参考使用。</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0"/>
          <w:sz w:val="22"/>
          <w:szCs w:val="22"/>
        </w:rPr>
        <w:t>2</w:t>
      </w:r>
      <w:r>
        <w:rPr>
          <w:rFonts w:hint="eastAsia" w:ascii="方正书宋_GBK" w:hAnsi="方正书宋_GBK" w:eastAsia="方正书宋_GBK" w:cs="方正书宋_GBK"/>
          <w:sz w:val="22"/>
          <w:szCs w:val="22"/>
        </w:rPr>
        <w:t>.本示范文本中相关条款的空白行，供双方自行约定或补充约定；</w:t>
      </w:r>
      <w:r>
        <w:rPr>
          <w:rFonts w:hint="eastAsia" w:ascii="方正书宋_GBK" w:hAnsi="方正书宋_GBK" w:eastAsia="方正书宋_GBK" w:cs="方正书宋_GBK"/>
          <w:color w:val="000000"/>
          <w:sz w:val="22"/>
          <w:szCs w:val="22"/>
        </w:rPr>
        <w:t>涉及选择性条款的，选项内容排序无先后。</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3.物业服务企业应在合同签订之日起15日内，将本物业服务合同报物业所在区、县（市）房产主管部门备案。</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4.普通住宅小区的建设单位应当在销售物业之前，拟定前期物业服务方案，确定物业服务标准，通过招标或与物业服务企业协议确定具体的收费标准，并在前期物业服务合同中明确。</w:t>
      </w:r>
    </w:p>
    <w:p>
      <w:pPr>
        <w:pageBreakBefore w:val="0"/>
        <w:kinsoku/>
        <w:overflowPunct/>
        <w:topLinePunct w:val="0"/>
        <w:autoSpaceDE/>
        <w:autoSpaceDN/>
        <w:bidi w:val="0"/>
        <w:adjustRightInd/>
        <w:spacing w:line="420" w:lineRule="exact"/>
        <w:ind w:firstLine="560"/>
        <w:jc w:val="center"/>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5.本合同条款由杭州市市场监督管理局、杭州市住房保障和房产</w:t>
      </w:r>
    </w:p>
    <w:p>
      <w:pPr>
        <w:pageBreakBefore w:val="0"/>
        <w:kinsoku/>
        <w:overflowPunct/>
        <w:topLinePunct w:val="0"/>
        <w:autoSpaceDE/>
        <w:autoSpaceDN/>
        <w:bidi w:val="0"/>
        <w:adjustRightIn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管理局、杭州市消费者权益保护委员会、杭州市物业管理协会负责解释</w:t>
      </w:r>
      <w:r>
        <w:rPr>
          <w:rFonts w:hint="eastAsia" w:ascii="方正书宋_GBK" w:hAnsi="方正书宋_GBK" w:eastAsia="方正书宋_GBK" w:cs="方正书宋_GBK"/>
          <w:kern w:val="0"/>
          <w:sz w:val="22"/>
          <w:szCs w:val="22"/>
        </w:rPr>
        <w:t>。</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p>
    <w:p>
      <w:pPr>
        <w:pageBreakBefore w:val="0"/>
        <w:widowControl/>
        <w:kinsoku/>
        <w:overflowPunct/>
        <w:topLinePunct w:val="0"/>
        <w:autoSpaceDE/>
        <w:autoSpaceDN/>
        <w:bidi w:val="0"/>
        <w:adjustRightInd/>
        <w:spacing w:line="420" w:lineRule="exact"/>
        <w:ind w:firstLine="480"/>
        <w:jc w:val="left"/>
        <w:textAlignment w:val="auto"/>
        <w:rPr>
          <w:rFonts w:eastAsia="Times New Roman"/>
          <w:kern w:val="0"/>
          <w:sz w:val="24"/>
        </w:rPr>
      </w:pPr>
    </w:p>
    <w:p>
      <w:pPr>
        <w:pageBreakBefore w:val="0"/>
        <w:kinsoku/>
        <w:overflowPunct/>
        <w:topLinePunct w:val="0"/>
        <w:autoSpaceDE/>
        <w:autoSpaceDN/>
        <w:bidi w:val="0"/>
        <w:adjustRightInd/>
        <w:snapToGrid w:val="0"/>
        <w:spacing w:line="420" w:lineRule="exact"/>
        <w:ind w:firstLine="560" w:firstLineChars="200"/>
        <w:textAlignment w:val="auto"/>
        <w:rPr>
          <w:rFonts w:asciiTheme="minorEastAsia" w:hAnsiTheme="minorEastAsia" w:eastAsiaTheme="minorEastAsia"/>
          <w:sz w:val="28"/>
          <w:szCs w:val="28"/>
        </w:rPr>
        <w:sectPr>
          <w:footerReference r:id="rId5" w:type="default"/>
          <w:pgSz w:w="11906" w:h="16838"/>
          <w:pgMar w:top="1440" w:right="1797" w:bottom="1440" w:left="1797" w:header="851" w:footer="992" w:gutter="0"/>
          <w:pgNumType w:start="1"/>
          <w:cols w:space="720" w:num="1"/>
          <w:docGrid w:linePitch="312" w:charSpace="0"/>
        </w:sectPr>
      </w:pPr>
    </w:p>
    <w:p>
      <w:pPr>
        <w:pStyle w:val="2"/>
        <w:pageBreakBefore w:val="0"/>
        <w:kinsoku/>
        <w:overflowPunct/>
        <w:topLinePunct w:val="0"/>
        <w:autoSpaceDE/>
        <w:autoSpaceDN/>
        <w:bidi w:val="0"/>
        <w:adjustRightInd/>
        <w:spacing w:line="420" w:lineRule="exact"/>
        <w:jc w:val="left"/>
        <w:textAlignment w:val="auto"/>
        <w:rPr>
          <w:rFonts w:hint="eastAsia" w:eastAsia="方正书宋_GBK" w:cs="Times New Roman"/>
          <w:b w:val="0"/>
          <w:bCs w:val="0"/>
          <w:color w:val="000000"/>
          <w:sz w:val="22"/>
          <w:szCs w:val="22"/>
          <w:lang w:val="en-US" w:eastAsia="zh-CN"/>
        </w:rPr>
      </w:pPr>
      <w:r>
        <w:rPr>
          <w:rFonts w:hint="eastAsia" w:eastAsia="方正书宋_GBK" w:cs="Times New Roman"/>
          <w:b w:val="0"/>
          <w:bCs w:val="0"/>
          <w:color w:val="000000"/>
          <w:sz w:val="22"/>
          <w:szCs w:val="22"/>
          <w:lang w:val="en-US" w:eastAsia="zh-CN"/>
        </w:rPr>
        <w:t>合同编号：</w:t>
      </w:r>
    </w:p>
    <w:p>
      <w:pPr>
        <w:pStyle w:val="2"/>
        <w:keepNext/>
        <w:keepLines/>
        <w:pageBreakBefore w:val="0"/>
        <w:widowControl w:val="0"/>
        <w:kinsoku/>
        <w:wordWrap/>
        <w:overflowPunct/>
        <w:topLinePunct w:val="0"/>
        <w:autoSpaceDE/>
        <w:autoSpaceDN/>
        <w:bidi w:val="0"/>
        <w:adjustRightInd/>
        <w:snapToGrid/>
        <w:spacing w:line="420" w:lineRule="exact"/>
        <w:jc w:val="center"/>
        <w:textAlignment w:val="auto"/>
        <w:rPr>
          <w:rFonts w:asciiTheme="minorEastAsia" w:hAnsiTheme="minorEastAsia" w:eastAsiaTheme="minorEastAsia"/>
          <w:b w:val="0"/>
          <w:bCs w:val="0"/>
          <w:kern w:val="0"/>
          <w:sz w:val="32"/>
          <w:szCs w:val="32"/>
        </w:rPr>
      </w:pPr>
      <w:r>
        <w:rPr>
          <w:rFonts w:hint="eastAsia" w:ascii="方正小标宋_GBK" w:hAnsi="方正小标宋_GBK" w:eastAsia="方正小标宋_GBK" w:cs="方正小标宋_GBK"/>
          <w:b w:val="0"/>
          <w:bCs w:val="0"/>
          <w:kern w:val="0"/>
          <w:sz w:val="40"/>
          <w:szCs w:val="40"/>
        </w:rPr>
        <w:t>前期物业</w:t>
      </w:r>
      <w:bookmarkStart w:id="13" w:name="_GoBack"/>
      <w:bookmarkEnd w:id="13"/>
      <w:r>
        <w:rPr>
          <w:rFonts w:hint="eastAsia" w:ascii="方正小标宋_GBK" w:hAnsi="方正小标宋_GBK" w:eastAsia="方正小标宋_GBK" w:cs="方正小标宋_GBK"/>
          <w:b w:val="0"/>
          <w:bCs w:val="0"/>
          <w:kern w:val="0"/>
          <w:sz w:val="40"/>
          <w:szCs w:val="40"/>
        </w:rPr>
        <w:t>服务合同</w:t>
      </w:r>
    </w:p>
    <w:p>
      <w:pPr>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根据《中华人民共和国合同法》、《中华人民共和国物权法》、国家、省、市《物业管理条例》等有关法律、法规的规定，</w:t>
      </w:r>
      <w:r>
        <w:rPr>
          <w:rFonts w:hint="eastAsia" w:ascii="方正书宋_GBK" w:hAnsi="方正书宋_GBK" w:eastAsia="方正书宋_GBK" w:cs="方正书宋_GBK"/>
          <w:kern w:val="0"/>
          <w:sz w:val="22"/>
          <w:szCs w:val="22"/>
        </w:rPr>
        <w:t>在自愿、平等、协商一致的基础上，</w:t>
      </w:r>
      <w:r>
        <w:rPr>
          <w:rFonts w:hint="eastAsia" w:ascii="方正书宋_GBK" w:hAnsi="方正书宋_GBK" w:eastAsia="方正书宋_GBK" w:cs="方正书宋_GBK"/>
          <w:sz w:val="22"/>
          <w:szCs w:val="22"/>
        </w:rPr>
        <w:t xml:space="preserve">甲方以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方式选聘乙方对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（物业项目名称）提供前期物业服务, 签订本合同。</w:t>
      </w:r>
    </w:p>
    <w:p>
      <w:pPr>
        <w:pStyle w:val="20"/>
        <w:pageBreakBefore w:val="0"/>
        <w:numPr>
          <w:ilvl w:val="0"/>
          <w:numId w:val="0"/>
        </w:numPr>
        <w:kinsoku/>
        <w:overflowPunct/>
        <w:topLinePunct w:val="0"/>
        <w:autoSpaceDE/>
        <w:autoSpaceDN/>
        <w:bidi w:val="0"/>
        <w:adjustRightInd/>
        <w:snapToGrid w:val="0"/>
        <w:spacing w:line="420" w:lineRule="exact"/>
        <w:ind w:leftChars="0"/>
        <w:jc w:val="both"/>
        <w:textAlignment w:val="auto"/>
        <w:rPr>
          <w:rFonts w:hint="eastAsia" w:ascii="方正黑体_GBK" w:hAnsi="方正黑体_GBK" w:eastAsia="方正黑体_GBK" w:cs="方正黑体_GBK"/>
          <w:b/>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第一章 合同当事人</w:t>
      </w:r>
    </w:p>
    <w:p>
      <w:pPr>
        <w:pageBreakBefore w:val="0"/>
        <w:kinsoku/>
        <w:overflowPunct/>
        <w:topLinePunct w:val="0"/>
        <w:autoSpaceDE/>
        <w:autoSpaceDN/>
        <w:bidi w:val="0"/>
        <w:adjustRightInd/>
        <w:snapToGrid w:val="0"/>
        <w:spacing w:line="420" w:lineRule="exact"/>
        <w:textAlignment w:val="auto"/>
        <w:rPr>
          <w:rFonts w:hint="eastAsia" w:asciiTheme="minorEastAsia" w:hAnsiTheme="minorEastAsia" w:eastAsiaTheme="minorEastAsia"/>
          <w:color w:val="000000"/>
          <w:spacing w:val="23"/>
          <w:kern w:val="0"/>
          <w:sz w:val="22"/>
          <w:szCs w:val="22"/>
        </w:rPr>
      </w:pP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3"/>
          <w:kern w:val="0"/>
          <w:sz w:val="22"/>
          <w:szCs w:val="22"/>
        </w:rPr>
        <w:t>甲方（开发建设单位）：</w:t>
      </w:r>
      <w:r>
        <w:rPr>
          <w:rFonts w:hint="eastAsia" w:asciiTheme="minorEastAsia" w:hAnsiTheme="minorEastAsia" w:eastAsiaTheme="minorEastAsia"/>
          <w:color w:val="000000"/>
          <w:spacing w:val="23"/>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3"/>
          <w:kern w:val="0"/>
          <w:sz w:val="22"/>
          <w:szCs w:val="22"/>
        </w:rPr>
        <w:t>营业执照注册号</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pacing w:val="23"/>
          <w:kern w:val="0"/>
          <w:sz w:val="22"/>
          <w:szCs w:val="22"/>
          <w:u w:val="single"/>
        </w:rPr>
      </w:pPr>
      <w:r>
        <w:rPr>
          <w:rFonts w:hint="eastAsia" w:asciiTheme="minorEastAsia" w:hAnsiTheme="minorEastAsia" w:eastAsiaTheme="minorEastAsia"/>
          <w:color w:val="000000"/>
          <w:spacing w:val="23"/>
          <w:kern w:val="0"/>
          <w:sz w:val="22"/>
          <w:szCs w:val="22"/>
        </w:rPr>
        <w:t>企业资质证书号：</w:t>
      </w:r>
      <w:r>
        <w:rPr>
          <w:rFonts w:hint="eastAsia" w:asciiTheme="minorEastAsia" w:hAnsiTheme="minorEastAsia" w:eastAsiaTheme="minorEastAsia"/>
          <w:color w:val="000000"/>
          <w:spacing w:val="23"/>
          <w:kern w:val="0"/>
          <w:sz w:val="22"/>
          <w:szCs w:val="22"/>
          <w:u w:val="single"/>
        </w:rPr>
        <w:t xml:space="preserve">       </w:t>
      </w:r>
      <w:r>
        <w:rPr>
          <w:rFonts w:hint="eastAsia" w:asciiTheme="minorEastAsia" w:hAnsiTheme="minorEastAsia" w:eastAsiaTheme="minorEastAsia"/>
          <w:color w:val="000000"/>
          <w:spacing w:val="23"/>
          <w:kern w:val="0"/>
          <w:sz w:val="22"/>
          <w:szCs w:val="22"/>
        </w:rPr>
        <w:t xml:space="preserve">  资质等级：</w:t>
      </w:r>
      <w:r>
        <w:rPr>
          <w:rFonts w:hint="eastAsia" w:asciiTheme="minorEastAsia" w:hAnsiTheme="minorEastAsia" w:eastAsiaTheme="minorEastAsia"/>
          <w:color w:val="000000"/>
          <w:spacing w:val="23"/>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sz w:val="22"/>
          <w:szCs w:val="22"/>
          <w:u w:val="single"/>
        </w:rPr>
      </w:pPr>
      <w:r>
        <w:rPr>
          <w:rFonts w:hint="eastAsia" w:asciiTheme="minorEastAsia" w:hAnsiTheme="minorEastAsia" w:eastAsiaTheme="minorEastAsia"/>
          <w:color w:val="000000"/>
          <w:spacing w:val="24"/>
          <w:kern w:val="0"/>
          <w:sz w:val="22"/>
          <w:szCs w:val="22"/>
        </w:rPr>
        <w:t>法定代表人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r>
        <w:rPr>
          <w:rFonts w:hint="eastAsia" w:asciiTheme="minorEastAsia" w:hAnsiTheme="minorEastAsia" w:eastAsiaTheme="minorEastAsia"/>
          <w:color w:val="000000"/>
          <w:kern w:val="0"/>
          <w:sz w:val="22"/>
          <w:szCs w:val="22"/>
        </w:rPr>
        <w:t xml:space="preserve">  </w:t>
      </w:r>
      <w:r>
        <w:rPr>
          <w:rFonts w:hint="eastAsia" w:asciiTheme="minorEastAsia" w:hAnsiTheme="minorEastAsia" w:eastAsiaTheme="minorEastAsia"/>
          <w:color w:val="000000"/>
          <w:kern w:val="0"/>
          <w:sz w:val="22"/>
          <w:szCs w:val="22"/>
          <w:lang w:val="en-US" w:eastAsia="zh-CN"/>
        </w:rPr>
        <w:t xml:space="preserve"> </w:t>
      </w:r>
      <w:r>
        <w:rPr>
          <w:rFonts w:hint="eastAsia" w:asciiTheme="minorEastAsia" w:hAnsiTheme="minorEastAsia" w:eastAsiaTheme="minorEastAsia"/>
          <w:color w:val="000000"/>
          <w:kern w:val="0"/>
          <w:sz w:val="22"/>
          <w:szCs w:val="22"/>
        </w:rPr>
        <w:t xml:space="preserve"> </w:t>
      </w:r>
      <w:r>
        <w:rPr>
          <w:rFonts w:hint="eastAsia" w:asciiTheme="minorEastAsia" w:hAnsiTheme="minorEastAsia" w:eastAsiaTheme="minorEastAsia"/>
          <w:color w:val="000000"/>
          <w:spacing w:val="25"/>
          <w:kern w:val="0"/>
          <w:sz w:val="22"/>
          <w:szCs w:val="22"/>
        </w:rPr>
        <w:t>联系电话</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kern w:val="0"/>
          <w:sz w:val="22"/>
          <w:szCs w:val="22"/>
        </w:rPr>
      </w:pPr>
      <w:r>
        <w:rPr>
          <w:rFonts w:hint="eastAsia" w:asciiTheme="minorEastAsia" w:hAnsiTheme="minorEastAsia" w:eastAsiaTheme="minorEastAsia"/>
          <w:color w:val="000000"/>
          <w:spacing w:val="24"/>
          <w:kern w:val="0"/>
          <w:sz w:val="22"/>
          <w:szCs w:val="22"/>
        </w:rPr>
        <w:t>委托代理人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r>
        <w:rPr>
          <w:rFonts w:hint="eastAsia" w:asciiTheme="minorEastAsia" w:hAnsiTheme="minorEastAsia" w:eastAsiaTheme="minorEastAsia"/>
          <w:color w:val="000000"/>
          <w:kern w:val="0"/>
          <w:sz w:val="22"/>
          <w:szCs w:val="22"/>
        </w:rPr>
        <w:t xml:space="preserve">  </w:t>
      </w:r>
      <w:r>
        <w:rPr>
          <w:rFonts w:hint="eastAsia" w:asciiTheme="minorEastAsia" w:hAnsiTheme="minorEastAsia" w:eastAsiaTheme="minorEastAsia"/>
          <w:color w:val="000000"/>
          <w:kern w:val="0"/>
          <w:sz w:val="22"/>
          <w:szCs w:val="22"/>
          <w:lang w:val="en-US" w:eastAsia="zh-CN"/>
        </w:rPr>
        <w:t xml:space="preserve"> </w:t>
      </w:r>
      <w:r>
        <w:rPr>
          <w:rFonts w:hint="eastAsia" w:asciiTheme="minorEastAsia" w:hAnsiTheme="minorEastAsia" w:eastAsiaTheme="minorEastAsia"/>
          <w:color w:val="000000"/>
          <w:kern w:val="0"/>
          <w:sz w:val="22"/>
          <w:szCs w:val="22"/>
        </w:rPr>
        <w:t xml:space="preserve"> </w:t>
      </w:r>
      <w:r>
        <w:rPr>
          <w:rFonts w:hint="eastAsia" w:asciiTheme="minorEastAsia" w:hAnsiTheme="minorEastAsia" w:eastAsiaTheme="minorEastAsia"/>
          <w:color w:val="000000"/>
          <w:spacing w:val="25"/>
          <w:kern w:val="0"/>
          <w:sz w:val="22"/>
          <w:szCs w:val="22"/>
        </w:rPr>
        <w:t>联系电话</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kern w:val="0"/>
          <w:sz w:val="22"/>
          <w:szCs w:val="22"/>
          <w:u w:val="single"/>
        </w:rPr>
      </w:pPr>
      <w:r>
        <w:rPr>
          <w:rFonts w:hint="eastAsia" w:asciiTheme="minorEastAsia" w:hAnsiTheme="minorEastAsia" w:eastAsiaTheme="minorEastAsia"/>
          <w:color w:val="000000"/>
          <w:spacing w:val="25"/>
          <w:kern w:val="0"/>
          <w:sz w:val="22"/>
          <w:szCs w:val="22"/>
        </w:rPr>
        <w:t>通讯地址</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kern w:val="0"/>
          <w:sz w:val="22"/>
          <w:szCs w:val="22"/>
          <w:u w:val="single"/>
        </w:rPr>
      </w:pPr>
      <w:r>
        <w:rPr>
          <w:rFonts w:hint="eastAsia" w:asciiTheme="minorEastAsia" w:hAnsiTheme="minorEastAsia" w:eastAsiaTheme="minorEastAsia"/>
          <w:color w:val="000000"/>
          <w:spacing w:val="25"/>
          <w:kern w:val="0"/>
          <w:sz w:val="22"/>
          <w:szCs w:val="22"/>
        </w:rPr>
        <w:t>邮政编码</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pacing w:val="23"/>
          <w:kern w:val="0"/>
          <w:sz w:val="22"/>
          <w:szCs w:val="22"/>
        </w:rPr>
      </w:pP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u w:val="single"/>
        </w:rPr>
      </w:pPr>
      <w:r>
        <w:rPr>
          <w:rFonts w:hint="eastAsia" w:asciiTheme="minorEastAsia" w:hAnsiTheme="minorEastAsia" w:eastAsiaTheme="minorEastAsia"/>
          <w:color w:val="000000"/>
          <w:spacing w:val="23"/>
          <w:kern w:val="0"/>
          <w:sz w:val="22"/>
          <w:szCs w:val="22"/>
        </w:rPr>
        <w:t>乙方（物业服务企业）：</w:t>
      </w:r>
      <w:r>
        <w:rPr>
          <w:rFonts w:hint="eastAsia" w:asciiTheme="minorEastAsia" w:hAnsiTheme="minorEastAsia" w:eastAsiaTheme="minorEastAsia"/>
          <w:color w:val="000000"/>
          <w:spacing w:val="23"/>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2"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3"/>
          <w:kern w:val="0"/>
          <w:sz w:val="22"/>
          <w:szCs w:val="22"/>
        </w:rPr>
        <w:t>营业执照注册号</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sz w:val="22"/>
          <w:szCs w:val="22"/>
          <w:u w:val="single"/>
        </w:rPr>
      </w:pPr>
      <w:r>
        <w:rPr>
          <w:rFonts w:hint="eastAsia" w:asciiTheme="minorEastAsia" w:hAnsiTheme="minorEastAsia" w:eastAsiaTheme="minorEastAsia"/>
          <w:color w:val="000000"/>
          <w:spacing w:val="24"/>
          <w:kern w:val="0"/>
          <w:sz w:val="22"/>
          <w:szCs w:val="22"/>
        </w:rPr>
        <w:t>法定代表人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r>
        <w:rPr>
          <w:rFonts w:hint="eastAsia" w:asciiTheme="minorEastAsia" w:hAnsiTheme="minorEastAsia" w:eastAsiaTheme="minorEastAsia"/>
          <w:color w:val="000000"/>
          <w:kern w:val="0"/>
          <w:sz w:val="22"/>
          <w:szCs w:val="22"/>
        </w:rPr>
        <w:t xml:space="preserve">   </w:t>
      </w:r>
      <w:r>
        <w:rPr>
          <w:rFonts w:hint="eastAsia" w:asciiTheme="minorEastAsia" w:hAnsiTheme="minorEastAsia" w:eastAsiaTheme="minorEastAsia"/>
          <w:color w:val="000000"/>
          <w:spacing w:val="25"/>
          <w:kern w:val="0"/>
          <w:sz w:val="22"/>
          <w:szCs w:val="22"/>
        </w:rPr>
        <w:t>联系电话</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36" w:firstLineChars="200"/>
        <w:textAlignment w:val="auto"/>
        <w:rPr>
          <w:rFonts w:asciiTheme="minorEastAsia" w:hAnsiTheme="minorEastAsia" w:eastAsiaTheme="minorEastAsia"/>
          <w:color w:val="000000"/>
          <w:kern w:val="0"/>
          <w:sz w:val="22"/>
          <w:szCs w:val="22"/>
        </w:rPr>
      </w:pPr>
      <w:r>
        <w:rPr>
          <w:rFonts w:hint="eastAsia" w:asciiTheme="minorEastAsia" w:hAnsiTheme="minorEastAsia" w:eastAsiaTheme="minorEastAsia"/>
          <w:color w:val="000000"/>
          <w:spacing w:val="24"/>
          <w:kern w:val="0"/>
          <w:sz w:val="22"/>
          <w:szCs w:val="22"/>
        </w:rPr>
        <w:t>委托代理人</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r>
        <w:rPr>
          <w:rFonts w:hint="eastAsia" w:asciiTheme="minorEastAsia" w:hAnsiTheme="minorEastAsia" w:eastAsiaTheme="minorEastAsia"/>
          <w:color w:val="000000"/>
          <w:kern w:val="0"/>
          <w:sz w:val="22"/>
          <w:szCs w:val="22"/>
        </w:rPr>
        <w:t xml:space="preserve">   </w:t>
      </w:r>
      <w:r>
        <w:rPr>
          <w:rFonts w:hint="eastAsia" w:asciiTheme="minorEastAsia" w:hAnsiTheme="minorEastAsia" w:eastAsiaTheme="minorEastAsia"/>
          <w:color w:val="000000"/>
          <w:spacing w:val="25"/>
          <w:kern w:val="0"/>
          <w:sz w:val="22"/>
          <w:szCs w:val="22"/>
        </w:rPr>
        <w:t>联系电话</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pacing w:val="25"/>
          <w:kern w:val="0"/>
          <w:sz w:val="22"/>
          <w:szCs w:val="22"/>
        </w:rPr>
        <w:t>通讯地址</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540" w:firstLineChars="200"/>
        <w:textAlignment w:val="auto"/>
        <w:rPr>
          <w:rFonts w:asciiTheme="minorEastAsia" w:hAnsiTheme="minorEastAsia" w:eastAsiaTheme="minorEastAsia"/>
          <w:color w:val="000000"/>
          <w:kern w:val="0"/>
          <w:sz w:val="22"/>
          <w:szCs w:val="22"/>
          <w:u w:val="single"/>
        </w:rPr>
      </w:pPr>
      <w:r>
        <w:rPr>
          <w:rFonts w:hint="eastAsia" w:asciiTheme="minorEastAsia" w:hAnsiTheme="minorEastAsia" w:eastAsiaTheme="minorEastAsia"/>
          <w:color w:val="000000"/>
          <w:spacing w:val="25"/>
          <w:kern w:val="0"/>
          <w:sz w:val="22"/>
          <w:szCs w:val="22"/>
        </w:rPr>
        <w:t>邮政编码</w:t>
      </w:r>
      <w:r>
        <w:rPr>
          <w:rFonts w:hint="eastAsia" w:asciiTheme="minorEastAsia" w:hAnsiTheme="minorEastAsia" w:eastAsiaTheme="minorEastAsia"/>
          <w:color w:val="000000"/>
          <w:kern w:val="0"/>
          <w:sz w:val="22"/>
          <w:szCs w:val="22"/>
        </w:rPr>
        <w:t>：</w:t>
      </w:r>
      <w:r>
        <w:rPr>
          <w:rFonts w:hint="eastAsia" w:asciiTheme="minorEastAsia" w:hAnsiTheme="minorEastAsia" w:eastAsiaTheme="minorEastAsia"/>
          <w:color w:val="000000"/>
          <w:kern w:val="0"/>
          <w:sz w:val="22"/>
          <w:szCs w:val="22"/>
          <w:u w:val="single"/>
        </w:rPr>
        <w:t xml:space="preserve">                 </w:t>
      </w:r>
    </w:p>
    <w:p>
      <w:pPr>
        <w:pageBreakBefore w:val="0"/>
        <w:kinsoku/>
        <w:overflowPunct/>
        <w:topLinePunct w:val="0"/>
        <w:autoSpaceDE/>
        <w:autoSpaceDN/>
        <w:bidi w:val="0"/>
        <w:adjustRightInd/>
        <w:snapToGrid w:val="0"/>
        <w:spacing w:line="420" w:lineRule="exact"/>
        <w:ind w:firstLine="440" w:firstLineChars="200"/>
        <w:textAlignment w:val="auto"/>
        <w:rPr>
          <w:rFonts w:asciiTheme="minorEastAsia" w:hAnsiTheme="minorEastAsia" w:eastAsiaTheme="minorEastAsia"/>
          <w:color w:val="000000"/>
          <w:sz w:val="22"/>
          <w:szCs w:val="22"/>
        </w:rPr>
      </w:pPr>
    </w:p>
    <w:p>
      <w:pPr>
        <w:pageBreakBefore w:val="0"/>
        <w:kinsoku/>
        <w:overflowPunct/>
        <w:topLinePunct w:val="0"/>
        <w:autoSpaceDE/>
        <w:autoSpaceDN/>
        <w:bidi w:val="0"/>
        <w:adjustRightInd/>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乙方依照本合同提供服务的受益人为本物业管理区域内的全体业主和</w:t>
      </w:r>
      <w:r>
        <w:rPr>
          <w:rFonts w:asciiTheme="minorEastAsia" w:hAnsiTheme="minorEastAsia" w:eastAsiaTheme="minorEastAsia"/>
          <w:sz w:val="22"/>
          <w:szCs w:val="22"/>
        </w:rPr>
        <w:t>物业使用人</w:t>
      </w:r>
      <w:r>
        <w:rPr>
          <w:rFonts w:hint="eastAsia" w:asciiTheme="minorEastAsia" w:hAnsiTheme="minorEastAsia" w:eastAsiaTheme="minorEastAsia"/>
          <w:sz w:val="22"/>
          <w:szCs w:val="22"/>
        </w:rPr>
        <w:t>，全体业主和</w:t>
      </w:r>
      <w:r>
        <w:rPr>
          <w:rFonts w:asciiTheme="minorEastAsia" w:hAnsiTheme="minorEastAsia" w:eastAsiaTheme="minorEastAsia"/>
          <w:sz w:val="22"/>
          <w:szCs w:val="22"/>
        </w:rPr>
        <w:t>物业使用人</w:t>
      </w:r>
      <w:r>
        <w:rPr>
          <w:rFonts w:hint="eastAsia" w:asciiTheme="minorEastAsia" w:hAnsiTheme="minorEastAsia" w:eastAsiaTheme="minorEastAsia"/>
          <w:sz w:val="22"/>
          <w:szCs w:val="22"/>
        </w:rPr>
        <w:t>享受</w:t>
      </w:r>
      <w:r>
        <w:rPr>
          <w:rFonts w:hint="eastAsia" w:asciiTheme="minorEastAsia" w:hAnsiTheme="minorEastAsia" w:eastAsiaTheme="minorEastAsia"/>
          <w:color w:val="000000"/>
          <w:sz w:val="22"/>
          <w:szCs w:val="22"/>
        </w:rPr>
        <w:t>本合同提供的服务并承担按本合同规定及时交纳物业费用等义务。</w:t>
      </w:r>
    </w:p>
    <w:p>
      <w:pPr>
        <w:pageBreakBefore w:val="0"/>
        <w:kinsoku/>
        <w:overflowPunct/>
        <w:topLinePunct w:val="0"/>
        <w:autoSpaceDE/>
        <w:autoSpaceDN/>
        <w:bidi w:val="0"/>
        <w:adjustRightInd/>
        <w:spacing w:line="420" w:lineRule="exact"/>
        <w:textAlignment w:val="auto"/>
        <w:rPr>
          <w:rFonts w:asciiTheme="minorEastAsia" w:hAnsiTheme="minorEastAsia" w:eastAsiaTheme="minorEastAsia"/>
          <w:b/>
          <w:color w:val="00000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 xml:space="preserve"> 第二章</w:t>
      </w:r>
      <w:r>
        <w:rPr>
          <w:rFonts w:hint="eastAsia" w:ascii="方正黑体_GBK" w:hAnsi="方正黑体_GBK" w:eastAsia="方正黑体_GBK" w:cs="方正黑体_GBK"/>
          <w:b w:val="0"/>
          <w:bCs/>
          <w:kern w:val="0"/>
          <w:sz w:val="28"/>
          <w:szCs w:val="28"/>
          <w:lang w:val="en-US" w:eastAsia="zh-CN"/>
        </w:rPr>
        <w:t xml:space="preserve"> </w:t>
      </w:r>
      <w:r>
        <w:rPr>
          <w:rFonts w:hint="eastAsia" w:ascii="方正黑体_GBK" w:hAnsi="方正黑体_GBK" w:eastAsia="方正黑体_GBK" w:cs="方正黑体_GBK"/>
          <w:b w:val="0"/>
          <w:bCs/>
          <w:kern w:val="0"/>
          <w:sz w:val="28"/>
          <w:szCs w:val="28"/>
          <w:lang w:eastAsia="zh-CN"/>
        </w:rPr>
        <w:t>物业基本情况</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第一条</w:t>
      </w:r>
      <w:r>
        <w:rPr>
          <w:rFonts w:hint="eastAsia" w:ascii="方正书宋_GBK" w:hAnsi="方正书宋_GBK" w:eastAsia="方正书宋_GBK" w:cs="方正书宋_GBK"/>
          <w:b w:val="0"/>
          <w:bCs/>
          <w:kern w:val="0"/>
          <w:sz w:val="22"/>
          <w:szCs w:val="22"/>
        </w:rPr>
        <w:t xml:space="preserve"> 物业基本情况 </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物业项目名称：</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物业类型：</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（住宅、非住宅、综合）；</w:t>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交付时间：       年     月     日；</w:t>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座落位置：杭州市</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区</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街道</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路</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号；</w:t>
      </w:r>
    </w:p>
    <w:p>
      <w:pPr>
        <w:pageBreakBefore w:val="0"/>
        <w:widowControl/>
        <w:kinsoku/>
        <w:overflowPunct/>
        <w:topLinePunct w:val="0"/>
        <w:autoSpaceDE/>
        <w:autoSpaceDN/>
        <w:bidi w:val="0"/>
        <w:adjustRightInd/>
        <w:snapToGrid w:val="0"/>
        <w:spacing w:line="420" w:lineRule="exact"/>
        <w:ind w:firstLine="48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物业管理区域四至范围（规划平面图）：</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东至</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u w:val="single"/>
        </w:rPr>
      </w:pPr>
      <w:r>
        <w:rPr>
          <w:rFonts w:hint="eastAsia" w:ascii="方正书宋_GBK" w:hAnsi="方正书宋_GBK" w:eastAsia="方正书宋_GBK" w:cs="方正书宋_GBK"/>
          <w:b w:val="0"/>
          <w:bCs/>
          <w:kern w:val="0"/>
          <w:sz w:val="22"/>
          <w:szCs w:val="22"/>
        </w:rPr>
        <w:t>南至</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西至</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北至</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 xml:space="preserve">；  </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占地面积：</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总建筑面积：</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平方米；其中住宅</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平方米，非住宅</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w:t>
      </w:r>
    </w:p>
    <w:p>
      <w:pPr>
        <w:pageBreakBefore w:val="0"/>
        <w:widowControl/>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sz w:val="22"/>
          <w:szCs w:val="22"/>
        </w:rPr>
        <w:t>分期建设的项目，具体情况为：</w:t>
      </w:r>
      <w:r>
        <w:rPr>
          <w:rFonts w:hint="eastAsia" w:ascii="方正书宋_GBK" w:hAnsi="方正书宋_GBK" w:eastAsia="方正书宋_GBK" w:cs="方正书宋_GBK"/>
          <w:b w:val="0"/>
          <w:bCs/>
          <w:sz w:val="22"/>
          <w:szCs w:val="22"/>
          <w:u w:val="single"/>
        </w:rPr>
        <w:t xml:space="preserve">                           </w:t>
      </w:r>
      <w:r>
        <w:rPr>
          <w:rFonts w:hint="eastAsia" w:ascii="方正书宋_GBK" w:hAnsi="方正书宋_GBK" w:eastAsia="方正书宋_GBK" w:cs="方正书宋_GBK"/>
          <w:b w:val="0"/>
          <w:bCs/>
          <w:sz w:val="22"/>
          <w:szCs w:val="22"/>
          <w:u w:val="single"/>
          <w:lang w:val="en-US" w:eastAsia="zh-CN"/>
        </w:rPr>
        <w:t xml:space="preserve">       </w:t>
      </w:r>
      <w:r>
        <w:rPr>
          <w:rFonts w:hint="eastAsia" w:ascii="方正书宋_GBK" w:hAnsi="方正书宋_GBK" w:eastAsia="方正书宋_GBK" w:cs="方正书宋_GBK"/>
          <w:b w:val="0"/>
          <w:bCs/>
          <w:sz w:val="22"/>
          <w:szCs w:val="22"/>
          <w:u w:val="single"/>
        </w:rPr>
        <w:t xml:space="preserve">   </w:t>
      </w:r>
      <w:r>
        <w:rPr>
          <w:rFonts w:hint="eastAsia" w:ascii="方正书宋_GBK" w:hAnsi="方正书宋_GBK" w:eastAsia="方正书宋_GBK" w:cs="方正书宋_GBK"/>
          <w:b w:val="0"/>
          <w:bCs/>
          <w:sz w:val="22"/>
          <w:szCs w:val="22"/>
        </w:rPr>
        <w:t>。</w:t>
      </w:r>
    </w:p>
    <w:p>
      <w:pPr>
        <w:pageBreakBefore w:val="0"/>
        <w:kinsoku/>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color w:val="000000"/>
          <w:sz w:val="22"/>
          <w:szCs w:val="22"/>
        </w:rPr>
        <w:t xml:space="preserve">   </w:t>
      </w:r>
      <w:r>
        <w:rPr>
          <w:rFonts w:hint="eastAsia" w:ascii="方正书宋_GBK" w:hAnsi="方正书宋_GBK" w:eastAsia="方正书宋_GBK" w:cs="方正书宋_GBK"/>
          <w:b w:val="0"/>
          <w:bCs/>
          <w:kern w:val="0"/>
          <w:sz w:val="22"/>
          <w:szCs w:val="22"/>
        </w:rPr>
        <w:t>（物业管理区域划分意见书或规划平面图见附件一，物业构成明细见附件二）</w:t>
      </w:r>
    </w:p>
    <w:p>
      <w:pPr>
        <w:pStyle w:val="20"/>
        <w:pageBreakBefore w:val="0"/>
        <w:kinsoku/>
        <w:overflowPunct/>
        <w:topLinePunct w:val="0"/>
        <w:autoSpaceDE/>
        <w:autoSpaceDN/>
        <w:bidi w:val="0"/>
        <w:adjustRightInd/>
        <w:snapToGrid w:val="0"/>
        <w:spacing w:line="420" w:lineRule="exact"/>
        <w:ind w:left="980" w:firstLine="0" w:firstLineChars="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 xml:space="preserve"> 第三章</w:t>
      </w:r>
      <w:r>
        <w:rPr>
          <w:rFonts w:hint="eastAsia" w:ascii="方正黑体_GBK" w:hAnsi="方正黑体_GBK" w:eastAsia="方正黑体_GBK" w:cs="方正黑体_GBK"/>
          <w:b w:val="0"/>
          <w:bCs/>
          <w:kern w:val="0"/>
          <w:sz w:val="28"/>
          <w:szCs w:val="28"/>
          <w:lang w:val="en-US" w:eastAsia="zh-CN"/>
        </w:rPr>
        <w:t xml:space="preserve"> </w:t>
      </w:r>
      <w:r>
        <w:rPr>
          <w:rFonts w:hint="eastAsia" w:ascii="方正黑体_GBK" w:hAnsi="方正黑体_GBK" w:eastAsia="方正黑体_GBK" w:cs="方正黑体_GBK"/>
          <w:b w:val="0"/>
          <w:bCs/>
          <w:kern w:val="0"/>
          <w:sz w:val="28"/>
          <w:szCs w:val="28"/>
          <w:lang w:eastAsia="zh-CN"/>
        </w:rPr>
        <w:t>物业服务内容与服务标准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第二条</w:t>
      </w:r>
      <w:r>
        <w:rPr>
          <w:rFonts w:hint="eastAsia" w:ascii="方正书宋_GBK" w:hAnsi="方正书宋_GBK" w:eastAsia="方正书宋_GBK" w:cs="方正书宋_GBK"/>
          <w:b w:val="0"/>
          <w:bCs/>
          <w:kern w:val="0"/>
          <w:sz w:val="22"/>
          <w:szCs w:val="22"/>
        </w:rPr>
        <w:t xml:space="preserve"> 乙方提供的物业服务包括以下内容：</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（一）物业共用部位、共用设施设备的日常维修、养护和管理；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（二）物业共用部位、公共区域的清洁卫生、垃圾的收集清理和化粪池清理；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（三）公共绿地、景观和花草树木的养护管理；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（四）秩序维护以及车辆停放管理；</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（五）协助做好安全防范工作；</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 xml:space="preserve">（六）物业维修、更新费用的账目管理和物业档案资料管理； </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 xml:space="preserve">（七）本合同及附件约定的其他公共性服务内容。 </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建筑幕墙（包括但不限于幕墙、干挂石材、砖面等）的安全维护责任人为全体业主，业主可以依据法律规定委托乙方对本物业区域内建筑幕墙进行日常维护、检修。维修和检修的内容、方式、费用及双方的权利和义务由双方另行签订书面协议。</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若单个业主委托乙方对其物业的专有部分提供维修养护等服务，服务内容和费用由双方另行商定。</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第三条</w:t>
      </w:r>
      <w:r>
        <w:rPr>
          <w:rFonts w:hint="eastAsia" w:ascii="方正书宋_GBK" w:hAnsi="方正书宋_GBK" w:eastAsia="方正书宋_GBK" w:cs="方正书宋_GBK"/>
          <w:b w:val="0"/>
          <w:bCs/>
          <w:kern w:val="0"/>
          <w:sz w:val="22"/>
          <w:szCs w:val="22"/>
        </w:rPr>
        <w:t xml:space="preserve"> 按照“质价相符”原则，乙方提供的物业服务质量应达到约定的标准（前期物业服务内容与服务标准详见附件三）。该附件为本合同有效组成部分。</w:t>
      </w:r>
    </w:p>
    <w:p>
      <w:pPr>
        <w:pageBreakBefore w:val="0"/>
        <w:kinsoku/>
        <w:overflowPunct/>
        <w:topLinePunct w:val="0"/>
        <w:autoSpaceDE/>
        <w:autoSpaceDN/>
        <w:bidi w:val="0"/>
        <w:adjustRightInd/>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第四章 物业服务费用</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第四条</w:t>
      </w:r>
      <w:r>
        <w:rPr>
          <w:rFonts w:hint="eastAsia" w:ascii="方正书宋_GBK" w:hAnsi="方正书宋_GBK" w:eastAsia="方正书宋_GBK" w:cs="方正书宋_GBK"/>
          <w:b w:val="0"/>
          <w:bCs/>
          <w:kern w:val="0"/>
          <w:sz w:val="22"/>
          <w:szCs w:val="22"/>
        </w:rPr>
        <w:t> 本物业管理区域物业服务收费选择以下第    种方式：</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（一）包干制</w:t>
      </w:r>
    </w:p>
    <w:p>
      <w:pPr>
        <w:pageBreakBefore w:val="0"/>
        <w:kinsoku/>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本物业管理区域前期物业服务收费采用包干制方式，具体收费标准如下表：</w:t>
      </w:r>
    </w:p>
    <w:tbl>
      <w:tblPr>
        <w:tblStyle w:val="11"/>
        <w:tblW w:w="814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888"/>
        <w:gridCol w:w="3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4156" w:type="dxa"/>
            <w:gridSpan w:val="2"/>
            <w:vAlign w:val="center"/>
          </w:tcPr>
          <w:p>
            <w:pPr>
              <w:adjustRightInd w:val="0"/>
              <w:snapToGrid w:val="0"/>
              <w:spacing w:line="360" w:lineRule="auto"/>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物业类型</w:t>
            </w:r>
          </w:p>
        </w:tc>
        <w:tc>
          <w:tcPr>
            <w:tcW w:w="3985" w:type="dxa"/>
            <w:vAlign w:val="center"/>
          </w:tcPr>
          <w:p>
            <w:pPr>
              <w:adjustRightInd w:val="0"/>
              <w:snapToGrid w:val="0"/>
              <w:spacing w:line="360" w:lineRule="auto"/>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2268" w:type="dxa"/>
            <w:vMerge w:val="restart"/>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住 宅</w:t>
            </w: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多层住宅：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小高层住宅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高层住宅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排屋</w:t>
            </w:r>
          </w:p>
        </w:tc>
        <w:tc>
          <w:tcPr>
            <w:tcW w:w="3985" w:type="dxa"/>
            <w:vAlign w:val="center"/>
          </w:tcPr>
          <w:p>
            <w:pPr>
              <w:tabs>
                <w:tab w:val="left" w:pos="600"/>
              </w:tabs>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268" w:type="dxa"/>
            <w:vMerge w:val="continue"/>
            <w:vAlign w:val="center"/>
          </w:tcPr>
          <w:p>
            <w:pPr>
              <w:adjustRightInd w:val="0"/>
              <w:snapToGrid w:val="0"/>
              <w:spacing w:line="360" w:lineRule="auto"/>
              <w:jc w:val="center"/>
              <w:rPr>
                <w:rFonts w:hint="eastAsia" w:ascii="方正书宋_GBK" w:hAnsi="方正书宋_GBK" w:eastAsia="方正书宋_GBK" w:cs="方正书宋_GBK"/>
                <w:kern w:val="0"/>
                <w:sz w:val="18"/>
                <w:szCs w:val="18"/>
                <w:lang w:eastAsia="en-US"/>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别墅</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商业用房</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办公用房</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幼儿园</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会所</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6" w:type="dxa"/>
            <w:gridSpan w:val="2"/>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酒店式公寓</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268" w:type="dxa"/>
            <w:vMerge w:val="restart"/>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其他相关服务费</w:t>
            </w: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平面车位</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268" w:type="dxa"/>
            <w:vMerge w:val="continue"/>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机械式车位</w:t>
            </w: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元/月·个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26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p>
        </w:tc>
        <w:tc>
          <w:tcPr>
            <w:tcW w:w="1888" w:type="dxa"/>
            <w:vAlign w:val="center"/>
          </w:tcPr>
          <w:p>
            <w:pPr>
              <w:adjustRightInd w:val="0"/>
              <w:snapToGrid w:val="0"/>
              <w:spacing w:line="360" w:lineRule="auto"/>
              <w:jc w:val="left"/>
              <w:rPr>
                <w:rFonts w:hint="eastAsia" w:ascii="方正书宋_GBK" w:hAnsi="方正书宋_GBK" w:eastAsia="方正书宋_GBK" w:cs="方正书宋_GBK"/>
                <w:kern w:val="0"/>
                <w:sz w:val="18"/>
                <w:szCs w:val="18"/>
              </w:rPr>
            </w:pPr>
          </w:p>
        </w:tc>
        <w:tc>
          <w:tcPr>
            <w:tcW w:w="3985" w:type="dxa"/>
            <w:vAlign w:val="center"/>
          </w:tcPr>
          <w:p>
            <w:pPr>
              <w:adjustRightInd w:val="0"/>
              <w:snapToGrid w:val="0"/>
              <w:spacing w:line="360" w:lineRule="auto"/>
              <w:jc w:val="right"/>
              <w:rPr>
                <w:rFonts w:hint="eastAsia" w:ascii="方正书宋_GBK" w:hAnsi="方正书宋_GBK" w:eastAsia="方正书宋_GBK" w:cs="方正书宋_GBK"/>
                <w:kern w:val="0"/>
                <w:sz w:val="18"/>
                <w:szCs w:val="18"/>
              </w:rPr>
            </w:pPr>
          </w:p>
        </w:tc>
      </w:tr>
    </w:tbl>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 xml:space="preserve">上述机械车位服务费包含的服务内容：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依法将住宅变更为其他用途的，按照变更后物业的相应收费标准收取物业服务费。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物业服务费按照房屋的法定产权建筑面积计算。已办理不动产权证的，以不动产权证记载的建筑面积为准；未办理不动产权证或不动产权证未记载建筑面积的，以物业买卖合同中约定的建筑面积为准。</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其他：</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（1）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（2）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（二）酬金制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548640</wp:posOffset>
                </wp:positionV>
                <wp:extent cx="114300" cy="198120"/>
                <wp:effectExtent l="0" t="2540" r="0" b="2540"/>
                <wp:wrapNone/>
                <wp:docPr id="6" name="文本框 6"/>
                <wp:cNvGraphicFramePr/>
                <a:graphic xmlns:a="http://schemas.openxmlformats.org/drawingml/2006/main">
                  <a:graphicData uri="http://schemas.microsoft.com/office/word/2010/wordprocessingShape">
                    <wps:wsp>
                      <wps:cNvSpPr txBox="true">
                        <a:spLocks noChangeArrowheads="true"/>
                      </wps:cNvSpPr>
                      <wps:spPr bwMode="auto">
                        <a:xfrm>
                          <a:off x="0" y="0"/>
                          <a:ext cx="114300" cy="198120"/>
                        </a:xfrm>
                        <a:prstGeom prst="rect">
                          <a:avLst/>
                        </a:prstGeom>
                        <a:noFill/>
                        <a:ln>
                          <a:noFill/>
                        </a:ln>
                      </wps:spPr>
                      <wps:txbx>
                        <w:txbxContent>
                          <w:p>
                            <w:pPr>
                              <w:pStyle w:val="5"/>
                              <w:rPr>
                                <w:rStyle w:val="13"/>
                                <w:sz w:val="28"/>
                                <w:szCs w:val="28"/>
                              </w:rPr>
                            </w:pPr>
                            <w:r>
                              <w:rPr>
                                <w:rStyle w:val="13"/>
                                <w:kern w:val="0"/>
                                <w:sz w:val="28"/>
                                <w:szCs w:val="28"/>
                              </w:rPr>
                              <w:t>- 6 -</w:t>
                            </w:r>
                          </w:p>
                          <w:p>
                            <w:pPr>
                              <w:rPr>
                                <w:rFonts w:ascii="宋体" w:hAnsi="宋体"/>
                                <w:b/>
                              </w:rPr>
                            </w:pPr>
                          </w:p>
                        </w:txbxContent>
                      </wps:txbx>
                      <wps:bodyPr rot="0" vert="horz" wrap="square" lIns="91440" tIns="45720" rIns="91440" bIns="45720" anchor="t" anchorCtr="false" upright="true">
                        <a:noAutofit/>
                      </wps:bodyPr>
                    </wps:wsp>
                  </a:graphicData>
                </a:graphic>
              </wp:anchor>
            </w:drawing>
          </mc:Choice>
          <mc:Fallback>
            <w:pict>
              <v:shape id="_x0000_s1026" o:spid="_x0000_s1026" o:spt="202" type="#_x0000_t202" style="position:absolute;left:0pt;margin-left:-135pt;margin-top:43.2pt;height:15.6pt;width:9pt;z-index:251662336;mso-width-relative:page;mso-height-relative:page;" filled="f" stroked="f" coordsize="21600,21600" o:gfxdata="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DBKo8P2QAAAAwBAAAP&#10;AAAAAAAAAAEAIAAAADgAAABkcnMvZG93bnJldi54bWxQSwECFAAUAAAACACHTuJANfWlcwECAADT&#10;AwAADgAAAAAAAAABACAAAAA+AQAAZHJzL2Uyb0RvYy54bWxQSwUGAAAAAAYABgBZAQAAsQUAAAAA&#10;">
                <v:fill on="f" focussize="0,0"/>
                <v:stroke on="f"/>
                <v:imagedata o:title=""/>
                <o:lock v:ext="edit" aspectratio="f"/>
                <v:textbox>
                  <w:txbxContent>
                    <w:p>
                      <w:pPr>
                        <w:pStyle w:val="5"/>
                        <w:rPr>
                          <w:rStyle w:val="13"/>
                          <w:sz w:val="28"/>
                          <w:szCs w:val="28"/>
                        </w:rPr>
                      </w:pPr>
                      <w:r>
                        <w:rPr>
                          <w:rStyle w:val="13"/>
                          <w:kern w:val="0"/>
                          <w:sz w:val="28"/>
                          <w:szCs w:val="28"/>
                        </w:rPr>
                        <w:t>- 6 -</w:t>
                      </w:r>
                    </w:p>
                    <w:p>
                      <w:pPr>
                        <w:rPr>
                          <w:rFonts w:ascii="宋体" w:hAnsi="宋体"/>
                          <w:b/>
                        </w:rPr>
                      </w:pPr>
                    </w:p>
                  </w:txbxContent>
                </v:textbox>
              </v:shape>
            </w:pict>
          </mc:Fallback>
        </mc:AlternateContent>
      </w:r>
      <w:r>
        <w:rPr>
          <w:rFonts w:hint="eastAsia" w:ascii="方正书宋_GBK" w:hAnsi="方正书宋_GBK" w:eastAsia="方正书宋_GBK" w:cs="方正书宋_GBK"/>
          <w:b w:val="0"/>
          <w:bCs/>
          <w:kern w:val="0"/>
          <w:sz w:val="22"/>
          <w:szCs w:val="22"/>
        </w:rPr>
        <w:t>在预收的物业服务资金中按约定比例或者约定数额提取酬金支付给乙方，其余全部用于物业服务合同约定的支出，结余或不足均由业主享有或者承担的物业服务计费方式。</w:t>
      </w:r>
    </w:p>
    <w:p>
      <w:pPr>
        <w:keepNext w:val="0"/>
        <w:keepLines w:val="0"/>
        <w:pageBreakBefore w:val="0"/>
        <w:numPr>
          <w:ilvl w:val="0"/>
          <w:numId w:val="2"/>
        </w:numPr>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物业服务收费标准如下：</w:t>
      </w:r>
      <w:r>
        <w:rPr>
          <w:rFonts w:hint="eastAsia" w:ascii="方正书宋_GBK" w:hAnsi="方正书宋_GBK" w:eastAsia="方正书宋_GBK" w:cs="方正书宋_GBK"/>
          <w:b w:val="0"/>
          <w:bCs/>
          <w:kern w:val="0"/>
          <w:sz w:val="22"/>
          <w:szCs w:val="22"/>
          <w:u w:val="single"/>
          <w:lang w:val="en-US" w:eastAsia="zh-CN"/>
        </w:rPr>
        <w:t xml:space="preserve">                       </w:t>
      </w:r>
      <w:r>
        <w:rPr>
          <w:rFonts w:hint="eastAsia" w:ascii="方正书宋_GBK" w:hAnsi="方正书宋_GBK" w:eastAsia="方正书宋_GBK" w:cs="方正书宋_GBK"/>
          <w:b w:val="0"/>
          <w:bCs/>
          <w:kern w:val="0"/>
          <w:sz w:val="22"/>
          <w:szCs w:val="22"/>
        </w:rPr>
        <w:t xml:space="preserve"> ；</w:t>
      </w:r>
    </w:p>
    <w:p>
      <w:pPr>
        <w:keepNext w:val="0"/>
        <w:keepLines w:val="0"/>
        <w:pageBreakBefore w:val="0"/>
        <w:numPr>
          <w:ilvl w:val="0"/>
          <w:numId w:val="2"/>
        </w:numPr>
        <w:kinsoku/>
        <w:overflowPunct/>
        <w:topLinePunct w:val="0"/>
        <w:autoSpaceDE/>
        <w:autoSpaceDN/>
        <w:bidi w:val="0"/>
        <w:snapToGrid w:val="0"/>
        <w:spacing w:line="420" w:lineRule="exact"/>
        <w:ind w:left="0" w:leftChars="0" w:firstLine="440" w:firstLineChars="200"/>
        <w:textAlignment w:val="auto"/>
        <w:rPr>
          <w:rFonts w:hint="eastAsia" w:ascii="方正书宋_GBK" w:hAnsi="方正书宋_GBK" w:eastAsia="方正书宋_GBK" w:cs="方正书宋_GBK"/>
          <w:b w:val="0"/>
          <w:bCs/>
          <w:kern w:val="0"/>
          <w:sz w:val="22"/>
          <w:szCs w:val="22"/>
          <w:u w:val="none"/>
          <w:lang w:val="en-US" w:eastAsia="zh-CN"/>
        </w:rPr>
      </w:pPr>
      <w:r>
        <w:rPr>
          <w:rFonts w:hint="eastAsia" w:ascii="方正书宋_GBK" w:hAnsi="方正书宋_GBK" w:eastAsia="方正书宋_GBK" w:cs="方正书宋_GBK"/>
          <w:b w:val="0"/>
          <w:bCs/>
          <w:kern w:val="0"/>
          <w:sz w:val="22"/>
          <w:szCs w:val="22"/>
        </w:rPr>
        <w:t>物业服务资金包括物业服务支出和物业服务企业的酬金。其中物业服务支出构成一般包括：</w:t>
      </w:r>
      <w:r>
        <w:rPr>
          <w:rFonts w:hint="eastAsia" w:ascii="方正书宋_GBK" w:hAnsi="方正书宋_GBK" w:eastAsia="方正书宋_GBK" w:cs="方正书宋_GBK"/>
          <w:b w:val="0"/>
          <w:bCs/>
          <w:kern w:val="0"/>
          <w:sz w:val="22"/>
          <w:szCs w:val="22"/>
          <w:u w:val="single"/>
          <w:lang w:val="en-US" w:eastAsia="zh-CN"/>
        </w:rPr>
        <w:t xml:space="preserve">                                </w:t>
      </w:r>
      <w:r>
        <w:rPr>
          <w:rFonts w:hint="eastAsia" w:ascii="方正书宋_GBK" w:hAnsi="方正书宋_GBK" w:eastAsia="方正书宋_GBK" w:cs="方正书宋_GBK"/>
          <w:b w:val="0"/>
          <w:bCs/>
          <w:kern w:val="0"/>
          <w:sz w:val="22"/>
          <w:szCs w:val="22"/>
          <w:u w:val="none"/>
          <w:lang w:val="en-US" w:eastAsia="zh-CN"/>
        </w:rPr>
        <w:t>。</w:t>
      </w:r>
    </w:p>
    <w:p>
      <w:pPr>
        <w:keepNext w:val="0"/>
        <w:keepLines w:val="0"/>
        <w:pageBreakBefore w:val="0"/>
        <w:numPr>
          <w:ilvl w:val="0"/>
          <w:numId w:val="0"/>
        </w:numPr>
        <w:kinsoku/>
        <w:overflowPunct/>
        <w:topLinePunct w:val="0"/>
        <w:autoSpaceDE/>
        <w:autoSpaceDN/>
        <w:bidi w:val="0"/>
        <w:snapToGrid w:val="0"/>
        <w:spacing w:line="420" w:lineRule="exact"/>
        <w:ind w:left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（1）物业服务人员的工资、社会保险和按规定提取的福利费等；</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（2）物业共用部位、共用设施设备的日常运行、维护费用；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（3）物业管理区域清洁卫生、绿化养护、秩序维护费用；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（4）办公费用；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（5）乙方实施管理必备的固定资产折旧；</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（6）物业共用部位、共用设施设备及公众责任保险费用；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（7）法定税费；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（8）其他 ：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3.预收的物业服务费属于代管性质，为所交纳的全体业主所有，乙方不得将其用于物业服务合同约定以外的支出。乙方应当于每年         （具体时间）公布物业服务费的收支情况。</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第五条</w:t>
      </w:r>
      <w:r>
        <w:rPr>
          <w:rFonts w:hint="eastAsia" w:ascii="方正书宋_GBK" w:hAnsi="方正书宋_GBK" w:eastAsia="方正书宋_GBK" w:cs="方正书宋_GBK"/>
          <w:b w:val="0"/>
          <w:bCs/>
          <w:kern w:val="0"/>
          <w:sz w:val="22"/>
          <w:szCs w:val="22"/>
        </w:rPr>
        <w:t xml:space="preserve"> 共用电梯、增压水泵、水系景观、中央空调等高能耗设施设备运行所需的能耗费用，采取下列第     种方式结算：</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（一）按实际消耗向业主分摊，乙方代收代缴（具体分摊办法详见附件四）；</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（二）公共能耗费含在物业服务费中缴纳；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（三）其他：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第六条</w:t>
      </w:r>
      <w:r>
        <w:rPr>
          <w:rFonts w:hint="eastAsia" w:ascii="方正书宋_GBK" w:hAnsi="方正书宋_GBK" w:eastAsia="方正书宋_GBK" w:cs="方正书宋_GBK"/>
          <w:b w:val="0"/>
          <w:bCs/>
          <w:kern w:val="0"/>
          <w:sz w:val="22"/>
          <w:szCs w:val="22"/>
        </w:rPr>
        <w:t xml:space="preserve"> 物业交付后，物业服务费及相关费用由业主承担，自物业交付通知书约定的最后交付日之次月1日起计收。除对交付日期另行达成书面协议或司法裁定对交付日期另行作出确认外，业主不得以房屋质量或以未领房等理由拒交物业服务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已竣工但未出售或已出售但未交付使用的物业，由甲方支付物业服务费及相关费用。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已交付但业主尚未使用的物业，其物业服务费由业主交纳。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业主约定由物业使用人交纳物业服务费、车位服务费、</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等费用的，从其约定，业主负连带交纳责任。业主与物业使用人之间的交费约定，业主应及时书面告知乙方。物业产权或者租赁关系变更时，相关业主、物业使用人应当结清物业服务费、车位服务费、</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等相关费用。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第七条</w:t>
      </w:r>
      <w:r>
        <w:rPr>
          <w:rFonts w:hint="eastAsia" w:ascii="方正书宋_GBK" w:hAnsi="方正书宋_GBK" w:eastAsia="方正书宋_GBK" w:cs="方正书宋_GBK"/>
          <w:b w:val="0"/>
          <w:bCs/>
          <w:kern w:val="0"/>
          <w:sz w:val="22"/>
          <w:szCs w:val="22"/>
        </w:rPr>
        <w:t xml:space="preserve"> 物业服务费、公共能耗费及专用车位管理费等相关费用按     （季度、半年、年度）交纳，业主或物业使用人应在          （每次交费的具体时间）前交纳。</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物业服务费可预收，但预收期限不得超过12个月，本合同的剩余期限不足12个月的，预收期限不得超过合同的剩余期限。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第八条</w:t>
      </w:r>
      <w:r>
        <w:rPr>
          <w:rFonts w:hint="eastAsia" w:ascii="方正书宋_GBK" w:hAnsi="方正书宋_GBK" w:eastAsia="方正书宋_GBK" w:cs="方正书宋_GBK"/>
          <w:b w:val="0"/>
          <w:bCs/>
          <w:kern w:val="0"/>
          <w:sz w:val="22"/>
          <w:szCs w:val="22"/>
        </w:rPr>
        <w:t xml:space="preserve"> 乙方进驻所需的开办设施设备由乙方购置，费用由甲方承担。具体品牌、型号及费用，乙方在采购前应与甲方协商后确定；乙方提前进驻的人员费用（   个月     人薪资费用，共计       元）由甲方承担。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第九条</w:t>
      </w:r>
      <w:r>
        <w:rPr>
          <w:rFonts w:hint="eastAsia" w:ascii="方正书宋_GBK" w:hAnsi="方正书宋_GBK" w:eastAsia="方正书宋_GBK" w:cs="方正书宋_GBK"/>
          <w:b w:val="0"/>
          <w:bCs/>
          <w:kern w:val="0"/>
          <w:sz w:val="22"/>
          <w:szCs w:val="22"/>
        </w:rPr>
        <w:t xml:space="preserve"> 在前期物业服务期限内，如因当地物价指数、􏰸􏳝最低人工工资（包括社保、公积金）等调整导致物业服务企业成本大幅度上涨，乙方需提高物业服务费的收费标准的，须经甲乙双方协商一致，并应征得专有部分占建筑物总面积1/2以上的业主且占总人数过半数以上的业主同意。</w:t>
      </w:r>
    </w:p>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keepNext w:val="0"/>
        <w:keepLines w:val="0"/>
        <w:pageBreakBefore w:val="0"/>
        <w:numPr>
          <w:ilvl w:val="0"/>
          <w:numId w:val="0"/>
        </w:numPr>
        <w:kinsoku/>
        <w:overflowPunct/>
        <w:topLinePunct w:val="0"/>
        <w:autoSpaceDE/>
        <w:autoSpaceDN/>
        <w:bidi w:val="0"/>
        <w:snapToGrid w:val="0"/>
        <w:spacing w:line="420" w:lineRule="exact"/>
        <w:ind w:leftChars="0"/>
        <w:jc w:val="center"/>
        <w:textAlignment w:val="auto"/>
        <w:rPr>
          <w:rFonts w:hint="eastAsia" w:ascii="方正黑体_GBK" w:hAnsi="方正黑体_GBK" w:eastAsia="方正黑体_GBK" w:cs="方正黑体_GBK"/>
          <w:b/>
          <w:kern w:val="0"/>
          <w:sz w:val="28"/>
          <w:szCs w:val="28"/>
          <w:lang w:eastAsia="zh-CN"/>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第五章   双方的权利义务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第十条</w:t>
      </w:r>
      <w:r>
        <w:rPr>
          <w:rFonts w:hint="eastAsia" w:ascii="方正书宋_GBK" w:hAnsi="方正书宋_GBK" w:eastAsia="方正书宋_GBK" w:cs="方正书宋_GBK"/>
          <w:b w:val="0"/>
          <w:bCs/>
          <w:kern w:val="0"/>
          <w:sz w:val="22"/>
          <w:szCs w:val="22"/>
        </w:rPr>
        <w:t xml:space="preserve"> 甲方作为未出售或者已经出售但未交付物业的实际业主，同时作为开发建设单位，享有并承担以下权利和义务：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（一）负责制定《临时管理规约》，在物业销售时应将规约内容向物业买受人明示和说明，并要求物业买受人对遵守《临时管理规约》进行书面承诺。</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甲方与物业买受人签订商品房买卖合同时，应要求物业买受人签订业主承诺书（见附件五），承诺在本物业交付后全面履行本合同约定的业主方义务，或者协助乙方与物业买受人直接签订《前期物业服务协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（三）在物业销售前向物业买受人明示物业服务收费标准和停车位租赁费等相关收费标准，督促业主按时缴纳物业服务费等相关费用。</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（四）完善本物业管理区域内的标识系统，以及包括公共垃圾桶、垃圾中转站、垃圾房等配套设施和配套工程，同时按相关规定及标准完成共用设施设备用房的装修。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（五）应在签订设施设备购买或安装协议时，约定由生产厂家、安装单位负责乙方技术人员的操作培训，并督促、协调前述单位共同配合乙方开展有关工作。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（六）按照相关规定履行保修期内共用部位、共用设施设备的维修保养义务，负责处理项目开发建设过程中的遗留问题，并承担因此产生的责任。</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（七）审定乙方制定的物业服务方案，监督检查乙方制定的前期物业服务方案和计划的实施情况。</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（八）本物业具备成立业主大会条件后，按规定向物业所在地街道办事处、乡（镇）人民政府提出成立业主大会的书面报告。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（九）法律法规、本合同及管理规约等规定甲方享有和承担的其他权利义务。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第十一条 </w:t>
      </w:r>
      <w:r>
        <w:rPr>
          <w:rFonts w:hint="eastAsia" w:ascii="方正书宋_GBK" w:hAnsi="方正书宋_GBK" w:eastAsia="方正书宋_GBK" w:cs="方正书宋_GBK"/>
          <w:b w:val="0"/>
          <w:bCs/>
          <w:kern w:val="0"/>
          <w:sz w:val="22"/>
          <w:szCs w:val="22"/>
        </w:rPr>
        <w:t>乙方作为本物业管理区域内的服务机构，享有并承担以下权利和义务：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（一）设立专门服务机构负责本物业的日常管理工作，并委派相应专业的物业服务人员按相关规定及本合同约定提供物业服务。</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（二）根据相关规定建立健全信息公开制度，对物业管理区域内所有收费项目、收费标准在收费场所明码标价。</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（三）按照《物业承接查验办法》的规定完成项目承接查验工作，对未经查验或查验不合格的物业，乙方有权拒绝接收。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（四）有权将物业管理区域内电梯、空调、监控、消防等特种设施设备维保及绿化养护等其他专业服务业务委托给专业性服务企业，但不得将该区域内的全部物业管理一并委托给第三方。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（五）维护本物业管理区域内公共区域秩序，协助公安机关做好本物业管理区域内的安全防范工作。发生安全事故时，应及时采取应急措施，协助做好救助工作。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（六）开展对本物业的共用部位、共用设施设备的年度安全检查工作，发现安全隐患应及时予以整改或通知协调主管单位及时整改，但如在保修期范围内的，则应通知甲方整改。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（七）不得擅自占用和改变本物业管理区域内的共用部分的用途，不得擅自占用、挖掘物业管理区域内的道路、场地。</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（八）不得以业主、物业使用人未缴物业服务费、违反管理规约等为由，采取限制进入小区、停水停电等损害业主、物业使用人合法权益的行为。</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（九）按规定审核业主、物业使用人的装修方案，对业主、物业使用人、施工单位的装修行为进行管理，监督业主、物业使用人、施工单位在指定的适宜位置堆放装修垃圾，并督促其及时清运。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（十）对业主或物业使用人违反临时管理规约的行为进行劝阻制止，但不得超越法律法规规定及本合同约定的管理权限。</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一）对本物业管理区域内的共用消防设施进行维护管理，提供消防安全防范服务。严格贯彻、执行消防法规，落实各项防火安全制度和措施；负责消防控制室的日常值班；管理好物业管理区域内的各种消防设备、设施和器具，定期进行检查、维护、更新，确保它们始终处于完好状态。</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（十二）引导业主、物业使用人进行生活垃圾分类投放，对不符合分类投放要求的行为进行指导、劝告。</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（十三）法律法规、本合同及管理规约等规定乙方享有和承担的其他权利义务。</w:t>
      </w:r>
    </w:p>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第六章 物业专项维修资金及物业保修金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第十二条 </w:t>
      </w:r>
      <w:r>
        <w:rPr>
          <w:rFonts w:hint="eastAsia" w:ascii="方正书宋_GBK" w:hAnsi="方正书宋_GBK" w:eastAsia="方正书宋_GBK" w:cs="方正书宋_GBK"/>
          <w:b w:val="0"/>
          <w:bCs/>
          <w:kern w:val="0"/>
          <w:sz w:val="22"/>
          <w:szCs w:val="22"/>
        </w:rPr>
        <w:t>物业专项维修资金专项用于物业共用部位、共用设施设备保修期满后的维修、更新和改造。</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第十三条</w:t>
      </w:r>
      <w:r>
        <w:rPr>
          <w:rFonts w:hint="eastAsia" w:ascii="方正书宋_GBK" w:hAnsi="方正书宋_GBK" w:eastAsia="方正书宋_GBK" w:cs="方正书宋_GBK"/>
          <w:b w:val="0"/>
          <w:bCs/>
          <w:kern w:val="0"/>
          <w:sz w:val="22"/>
          <w:szCs w:val="22"/>
        </w:rPr>
        <w:t xml:space="preserve"> 使用物业专项维修资金的，按照《杭州市物业管理条例》第五十五条、第五十六条的规定执行。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第十四条 </w:t>
      </w:r>
      <w:r>
        <w:rPr>
          <w:rFonts w:hint="eastAsia" w:ascii="方正书宋_GBK" w:hAnsi="方正书宋_GBK" w:eastAsia="方正书宋_GBK" w:cs="方正书宋_GBK"/>
          <w:b w:val="0"/>
          <w:bCs/>
          <w:kern w:val="0"/>
          <w:sz w:val="22"/>
          <w:szCs w:val="22"/>
        </w:rPr>
        <w:t>乙方应每年在主管部门公布物业专项维修资金缴交及使用情况后，在物业管理区域内公告物业维修资金的缴交及使用情况，接受业主的监督。</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第十五条</w:t>
      </w:r>
      <w:r>
        <w:rPr>
          <w:rFonts w:hint="eastAsia" w:ascii="方正书宋_GBK" w:hAnsi="方正书宋_GBK" w:eastAsia="方正书宋_GBK" w:cs="方正书宋_GBK"/>
          <w:b w:val="0"/>
          <w:bCs/>
          <w:kern w:val="0"/>
          <w:sz w:val="22"/>
          <w:szCs w:val="22"/>
        </w:rPr>
        <w:t xml:space="preserve"> 物业保修金（以下简称保修金）是由甲方交存，作为</w:t>
      </w:r>
      <w:bookmarkStart w:id="0" w:name="OLE_LINK3"/>
      <w:r>
        <w:rPr>
          <w:rFonts w:hint="eastAsia" w:ascii="方正书宋_GBK" w:hAnsi="方正书宋_GBK" w:eastAsia="方正书宋_GBK" w:cs="方正书宋_GBK"/>
          <w:b w:val="0"/>
          <w:bCs/>
          <w:kern w:val="0"/>
          <w:sz w:val="22"/>
          <w:szCs w:val="22"/>
        </w:rPr>
        <w:t>保修期内物业维修</w:t>
      </w:r>
      <w:bookmarkEnd w:id="0"/>
      <w:r>
        <w:rPr>
          <w:rFonts w:hint="eastAsia" w:ascii="方正书宋_GBK" w:hAnsi="方正书宋_GBK" w:eastAsia="方正书宋_GBK" w:cs="方正书宋_GBK"/>
          <w:b w:val="0"/>
          <w:bCs/>
          <w:kern w:val="0"/>
          <w:sz w:val="22"/>
          <w:szCs w:val="22"/>
        </w:rPr>
        <w:t>费用保证的资金。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物业保修期内，甲方自行组织保修的，乙方应做好以下工作：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bookmarkStart w:id="1" w:name="OLE_LINK13"/>
      <w:r>
        <w:rPr>
          <w:rFonts w:hint="eastAsia" w:ascii="方正书宋_GBK" w:hAnsi="方正书宋_GBK" w:eastAsia="方正书宋_GBK" w:cs="方正书宋_GBK"/>
          <w:b w:val="0"/>
          <w:bCs/>
          <w:kern w:val="0"/>
          <w:sz w:val="22"/>
          <w:szCs w:val="22"/>
        </w:rPr>
        <w:t>（一）</w:t>
      </w:r>
      <w:bookmarkEnd w:id="1"/>
      <w:r>
        <w:rPr>
          <w:rFonts w:hint="eastAsia" w:ascii="方正书宋_GBK" w:hAnsi="方正书宋_GBK" w:eastAsia="方正书宋_GBK" w:cs="方正书宋_GBK"/>
          <w:b w:val="0"/>
          <w:bCs/>
          <w:kern w:val="0"/>
          <w:sz w:val="22"/>
          <w:szCs w:val="22"/>
        </w:rPr>
        <w:t>及时将业主、物业使用人报修的保修项目、内容等以书面形式提供给甲方并由甲方实施保修工作;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（二）督促甲方做好保修工作，并协助反映人做好保修质量的检查、验收；</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w:t>
      </w:r>
      <w:bookmarkStart w:id="2" w:name="OLE_LINK6"/>
      <w:r>
        <w:rPr>
          <w:rFonts w:hint="eastAsia" w:ascii="方正书宋_GBK" w:hAnsi="方正书宋_GBK" w:eastAsia="方正书宋_GBK" w:cs="方正书宋_GBK"/>
          <w:b w:val="0"/>
          <w:bCs/>
          <w:kern w:val="0"/>
          <w:sz w:val="22"/>
          <w:szCs w:val="22"/>
        </w:rPr>
        <w:t>其他：                               。</w:t>
      </w:r>
      <w:bookmarkEnd w:id="2"/>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甲方委托乙方保修的，乙方应按签订的物业委托保修协议开展相应的保修工作，履行相应的保修责任。</w:t>
      </w:r>
      <w:bookmarkStart w:id="3" w:name="OLE_LINK9"/>
    </w:p>
    <w:bookmarkEnd w:id="3"/>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第十六条</w:t>
      </w:r>
      <w:r>
        <w:rPr>
          <w:rFonts w:hint="eastAsia" w:ascii="方正书宋_GBK" w:hAnsi="方正书宋_GBK" w:eastAsia="方正书宋_GBK" w:cs="方正书宋_GBK"/>
          <w:b w:val="0"/>
          <w:bCs/>
          <w:kern w:val="0"/>
          <w:sz w:val="22"/>
          <w:szCs w:val="22"/>
        </w:rPr>
        <w:t xml:space="preserve"> 在各保修项目保修期满前1个月内,应按以下第    种方式对</w:t>
      </w:r>
      <w:bookmarkStart w:id="4" w:name="OLE_LINK15"/>
      <w:r>
        <w:rPr>
          <w:rFonts w:hint="eastAsia" w:ascii="方正书宋_GBK" w:hAnsi="方正书宋_GBK" w:eastAsia="方正书宋_GBK" w:cs="方正书宋_GBK"/>
          <w:b w:val="0"/>
          <w:bCs/>
          <w:kern w:val="0"/>
          <w:sz w:val="22"/>
          <w:szCs w:val="22"/>
        </w:rPr>
        <w:t>保修项目进行查验</w:t>
      </w:r>
      <w:bookmarkEnd w:id="4"/>
      <w:r>
        <w:rPr>
          <w:rFonts w:hint="eastAsia" w:ascii="方正书宋_GBK" w:hAnsi="方正书宋_GBK" w:eastAsia="方正书宋_GBK" w:cs="方正书宋_GBK"/>
          <w:b w:val="0"/>
          <w:bCs/>
          <w:kern w:val="0"/>
          <w:sz w:val="22"/>
          <w:szCs w:val="22"/>
        </w:rPr>
        <w:t>，记录查验结果，</w:t>
      </w:r>
      <w:bookmarkStart w:id="5" w:name="OLE_LINK16"/>
      <w:r>
        <w:rPr>
          <w:rFonts w:hint="eastAsia" w:ascii="方正书宋_GBK" w:hAnsi="方正书宋_GBK" w:eastAsia="方正书宋_GBK" w:cs="方正书宋_GBK"/>
          <w:b w:val="0"/>
          <w:bCs/>
          <w:kern w:val="0"/>
          <w:sz w:val="22"/>
          <w:szCs w:val="22"/>
        </w:rPr>
        <w:t>查验中发现的问题经</w:t>
      </w:r>
      <w:bookmarkEnd w:id="5"/>
      <w:r>
        <w:rPr>
          <w:rFonts w:hint="eastAsia" w:ascii="方正书宋_GBK" w:hAnsi="方正书宋_GBK" w:eastAsia="方正书宋_GBK" w:cs="方正书宋_GBK"/>
          <w:b w:val="0"/>
          <w:bCs/>
          <w:kern w:val="0"/>
          <w:sz w:val="22"/>
          <w:szCs w:val="22"/>
        </w:rPr>
        <w:t>甲方</w:t>
      </w:r>
      <w:bookmarkStart w:id="6" w:name="OLE_LINK17"/>
      <w:r>
        <w:rPr>
          <w:rFonts w:hint="eastAsia" w:ascii="方正书宋_GBK" w:hAnsi="方正书宋_GBK" w:eastAsia="方正书宋_GBK" w:cs="方正书宋_GBK"/>
          <w:b w:val="0"/>
          <w:bCs/>
          <w:kern w:val="0"/>
          <w:sz w:val="22"/>
          <w:szCs w:val="22"/>
        </w:rPr>
        <w:t>确认并按照相关规定及协议实施保修工作</w:t>
      </w:r>
      <w:bookmarkEnd w:id="6"/>
      <w:r>
        <w:rPr>
          <w:rFonts w:hint="eastAsia" w:ascii="方正书宋_GBK" w:hAnsi="方正书宋_GBK" w:eastAsia="方正书宋_GBK" w:cs="方正书宋_GBK"/>
          <w:b w:val="0"/>
          <w:bCs/>
          <w:kern w:val="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（一）由乙方制定查验方案、组织甲方及社区居民委员会（业主大会成立后，为业主委员会）等各方开展</w:t>
      </w:r>
      <w:bookmarkStart w:id="7" w:name="OLE_LINK18"/>
      <w:r>
        <w:rPr>
          <w:rFonts w:hint="eastAsia" w:ascii="方正书宋_GBK" w:hAnsi="方正书宋_GBK" w:eastAsia="方正书宋_GBK" w:cs="方正书宋_GBK"/>
          <w:b w:val="0"/>
          <w:bCs/>
          <w:kern w:val="0"/>
          <w:sz w:val="22"/>
          <w:szCs w:val="22"/>
        </w:rPr>
        <w:t>查验相关</w:t>
      </w:r>
      <w:bookmarkEnd w:id="7"/>
      <w:r>
        <w:rPr>
          <w:rFonts w:hint="eastAsia" w:ascii="方正书宋_GBK" w:hAnsi="方正书宋_GBK" w:eastAsia="方正书宋_GBK" w:cs="方正书宋_GBK"/>
          <w:b w:val="0"/>
          <w:bCs/>
          <w:kern w:val="0"/>
          <w:sz w:val="22"/>
          <w:szCs w:val="22"/>
        </w:rPr>
        <w:t>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bookmarkStart w:id="8" w:name="OLE_LINK19"/>
      <w:r>
        <w:rPr>
          <w:rFonts w:hint="eastAsia" w:ascii="方正书宋_GBK" w:hAnsi="方正书宋_GBK" w:eastAsia="方正书宋_GBK" w:cs="方正书宋_GBK"/>
          <w:b w:val="0"/>
          <w:bCs/>
          <w:kern w:val="0"/>
          <w:sz w:val="22"/>
          <w:szCs w:val="22"/>
        </w:rPr>
        <w:t>（二）其他：                               。</w:t>
      </w:r>
    </w:p>
    <w:bookmarkEnd w:id="8"/>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 xml:space="preserve"> 第十七条</w:t>
      </w:r>
      <w:r>
        <w:rPr>
          <w:rFonts w:hint="eastAsia" w:ascii="方正书宋_GBK" w:hAnsi="方正书宋_GBK" w:eastAsia="方正书宋_GBK" w:cs="方正书宋_GBK"/>
          <w:b w:val="0"/>
          <w:bCs/>
          <w:kern w:val="0"/>
          <w:sz w:val="22"/>
          <w:szCs w:val="22"/>
        </w:rPr>
        <w:t xml:space="preserve"> 保修金拟退还公示等相关保修金事项公示期内，乙方应做好以下工作：</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（一）做好小区内公示张贴工作，并开展张贴情况的日常巡查，保障业主知情权；</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（二）将已掌握的甲方未履行保修责任情况以书面形式</w:t>
      </w:r>
      <w:bookmarkStart w:id="9" w:name="OLE_LINK11"/>
      <w:r>
        <w:rPr>
          <w:rFonts w:hint="eastAsia" w:ascii="方正书宋_GBK" w:hAnsi="方正书宋_GBK" w:eastAsia="方正书宋_GBK" w:cs="方正书宋_GBK"/>
          <w:b w:val="0"/>
          <w:bCs/>
          <w:kern w:val="0"/>
          <w:sz w:val="22"/>
          <w:szCs w:val="22"/>
        </w:rPr>
        <w:t>向保修金管理机构</w:t>
      </w:r>
      <w:bookmarkEnd w:id="9"/>
      <w:r>
        <w:rPr>
          <w:rFonts w:hint="eastAsia" w:ascii="方正书宋_GBK" w:hAnsi="方正书宋_GBK" w:eastAsia="方正书宋_GBK" w:cs="方正书宋_GBK"/>
          <w:b w:val="0"/>
          <w:bCs/>
          <w:kern w:val="0"/>
          <w:sz w:val="22"/>
          <w:szCs w:val="22"/>
        </w:rPr>
        <w:t>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（三）</w:t>
      </w:r>
      <w:bookmarkStart w:id="10" w:name="OLE_LINK10"/>
      <w:r>
        <w:rPr>
          <w:rFonts w:hint="eastAsia" w:ascii="方正书宋_GBK" w:hAnsi="方正书宋_GBK" w:eastAsia="方正书宋_GBK" w:cs="方正书宋_GBK"/>
          <w:b w:val="0"/>
          <w:bCs/>
          <w:kern w:val="0"/>
          <w:sz w:val="22"/>
          <w:szCs w:val="22"/>
        </w:rPr>
        <w:t>收集</w:t>
      </w:r>
      <w:bookmarkEnd w:id="10"/>
      <w:r>
        <w:rPr>
          <w:rFonts w:hint="eastAsia" w:ascii="方正书宋_GBK" w:hAnsi="方正书宋_GBK" w:eastAsia="方正书宋_GBK" w:cs="方正书宋_GBK"/>
          <w:b w:val="0"/>
          <w:bCs/>
          <w:kern w:val="0"/>
          <w:sz w:val="22"/>
          <w:szCs w:val="22"/>
        </w:rPr>
        <w:t>整理业主、社区居委会等相关各方的异议并以书面形式向保修金管理机构提交；</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（四）组织做好甲方履行保修责任后的查验、确认，并向保修金管理机构书面撤销相关异议；</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（五）其他：                               。</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第十八条</w:t>
      </w:r>
      <w:r>
        <w:rPr>
          <w:rFonts w:hint="eastAsia" w:ascii="方正书宋_GBK" w:hAnsi="方正书宋_GBK" w:eastAsia="方正书宋_GBK" w:cs="方正书宋_GBK"/>
          <w:b w:val="0"/>
          <w:bCs/>
          <w:kern w:val="0"/>
          <w:sz w:val="22"/>
          <w:szCs w:val="22"/>
        </w:rPr>
        <w:t xml:space="preserve"> 乙方应建立物业专项维修资金申请及保修期内报修、维修等情况的台帐，</w:t>
      </w:r>
      <w:bookmarkStart w:id="11" w:name="OLE_LINK22"/>
      <w:r>
        <w:rPr>
          <w:rFonts w:hint="eastAsia" w:ascii="方正书宋_GBK" w:hAnsi="方正书宋_GBK" w:eastAsia="方正书宋_GBK" w:cs="方正书宋_GBK"/>
          <w:b w:val="0"/>
          <w:bCs/>
          <w:kern w:val="0"/>
          <w:sz w:val="22"/>
          <w:szCs w:val="22"/>
        </w:rPr>
        <w:t>接受</w:t>
      </w:r>
      <w:bookmarkStart w:id="12" w:name="OLE_LINK21"/>
      <w:r>
        <w:rPr>
          <w:rFonts w:hint="eastAsia" w:ascii="方正书宋_GBK" w:hAnsi="方正书宋_GBK" w:eastAsia="方正书宋_GBK" w:cs="方正书宋_GBK"/>
          <w:b w:val="0"/>
          <w:bCs/>
          <w:kern w:val="0"/>
          <w:sz w:val="22"/>
          <w:szCs w:val="22"/>
        </w:rPr>
        <w:t>相关方</w:t>
      </w:r>
      <w:bookmarkEnd w:id="12"/>
      <w:r>
        <w:rPr>
          <w:rFonts w:hint="eastAsia" w:ascii="方正书宋_GBK" w:hAnsi="方正书宋_GBK" w:eastAsia="方正书宋_GBK" w:cs="方正书宋_GBK"/>
          <w:b w:val="0"/>
          <w:bCs/>
          <w:kern w:val="0"/>
          <w:sz w:val="22"/>
          <w:szCs w:val="22"/>
        </w:rPr>
        <w:t>查询</w:t>
      </w:r>
      <w:bookmarkEnd w:id="11"/>
      <w:r>
        <w:rPr>
          <w:rFonts w:hint="eastAsia" w:ascii="方正书宋_GBK" w:hAnsi="方正书宋_GBK" w:eastAsia="方正书宋_GBK" w:cs="方正书宋_GBK"/>
          <w:b w:val="0"/>
          <w:bCs/>
          <w:kern w:val="0"/>
          <w:sz w:val="22"/>
          <w:szCs w:val="22"/>
        </w:rPr>
        <w:t>。</w:t>
      </w:r>
    </w:p>
    <w:p>
      <w:pPr>
        <w:keepNext w:val="0"/>
        <w:keepLines w:val="0"/>
        <w:pageBreakBefore w:val="0"/>
        <w:kinsoku/>
        <w:overflowPunct/>
        <w:topLinePunct w:val="0"/>
        <w:autoSpaceDE/>
        <w:autoSpaceDN/>
        <w:bidi w:val="0"/>
        <w:snapToGrid w:val="0"/>
        <w:spacing w:line="420" w:lineRule="exact"/>
        <w:ind w:firstLine="560" w:firstLineChars="200"/>
        <w:textAlignment w:val="auto"/>
        <w:rPr>
          <w:rFonts w:asciiTheme="minorEastAsia" w:hAnsiTheme="minorEastAsia" w:eastAsiaTheme="minorEastAsia"/>
          <w:kern w:val="0"/>
          <w:sz w:val="28"/>
          <w:szCs w:val="28"/>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第七章 物业管理用房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第十九条</w:t>
      </w:r>
      <w:r>
        <w:rPr>
          <w:rFonts w:hint="eastAsia" w:ascii="方正书宋_GBK" w:hAnsi="方正书宋_GBK" w:eastAsia="方正书宋_GBK" w:cs="方正书宋_GBK"/>
          <w:b w:val="0"/>
          <w:bCs/>
          <w:kern w:val="0"/>
          <w:sz w:val="22"/>
          <w:szCs w:val="22"/>
        </w:rPr>
        <w:t xml:space="preserve"> 物业管理用房建筑面积</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平方米，其中包括：办公用房</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平方米，位于</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；经营用房</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平方米，位于</w:t>
      </w:r>
      <w:r>
        <w:rPr>
          <w:rFonts w:hint="eastAsia" w:ascii="方正书宋_GBK" w:hAnsi="方正书宋_GBK" w:eastAsia="方正书宋_GBK" w:cs="方正书宋_GBK"/>
          <w:b w:val="0"/>
          <w:bCs/>
          <w:kern w:val="0"/>
          <w:sz w:val="22"/>
          <w:szCs w:val="22"/>
          <w:u w:val="single"/>
        </w:rPr>
        <w:t xml:space="preserve">                        </w:t>
      </w:r>
      <w:r>
        <w:rPr>
          <w:rFonts w:hint="eastAsia" w:ascii="方正书宋_GBK" w:hAnsi="方正书宋_GBK" w:eastAsia="方正书宋_GBK" w:cs="方正书宋_GBK"/>
          <w:b w:val="0"/>
          <w:bCs/>
          <w:kern w:val="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val="0"/>
          <w:bCs/>
          <w:kern w:val="0"/>
          <w:sz w:val="22"/>
          <w:szCs w:val="22"/>
        </w:rPr>
      </w:pPr>
      <w:r>
        <w:rPr>
          <w:rFonts w:hint="eastAsia" w:ascii="方正黑体_GBK" w:hAnsi="方正黑体_GBK" w:eastAsia="方正黑体_GBK" w:cs="方正黑体_GBK"/>
          <w:b w:val="0"/>
          <w:bCs/>
          <w:kern w:val="0"/>
          <w:sz w:val="22"/>
          <w:szCs w:val="22"/>
        </w:rPr>
        <w:t>第二十条</w:t>
      </w:r>
      <w:r>
        <w:rPr>
          <w:rFonts w:hint="eastAsia" w:ascii="方正书宋_GBK" w:hAnsi="方正书宋_GBK" w:eastAsia="方正书宋_GBK" w:cs="方正书宋_GBK"/>
          <w:b w:val="0"/>
          <w:bCs/>
          <w:kern w:val="0"/>
          <w:sz w:val="22"/>
          <w:szCs w:val="22"/>
        </w:rPr>
        <w:t xml:space="preserve"> 本物业管理区域内物业管理用房的所有权依法属于业主。在合同期限内，甲方需向乙方提供符合法律、法规要求的物业办公用房，供乙方无偿使用，乙方不得擅自改变其用途。</w:t>
      </w:r>
    </w:p>
    <w:p>
      <w:pPr>
        <w:keepNext w:val="0"/>
        <w:keepLines w:val="0"/>
        <w:pageBreakBefore w:val="0"/>
        <w:kinsoku/>
        <w:overflowPunct/>
        <w:topLinePunct w:val="0"/>
        <w:autoSpaceDE/>
        <w:autoSpaceDN/>
        <w:bidi w:val="0"/>
        <w:snapToGrid w:val="0"/>
        <w:spacing w:line="420" w:lineRule="exact"/>
        <w:ind w:firstLine="600"/>
        <w:textAlignment w:val="auto"/>
        <w:rPr>
          <w:rFonts w:hint="eastAsia" w:ascii="方正书宋_GBK" w:hAnsi="方正书宋_GBK" w:eastAsia="方正书宋_GBK" w:cs="方正书宋_GBK"/>
          <w:b w:val="0"/>
          <w:bCs/>
          <w:kern w:val="0"/>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第八章 物业的经营与管理</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color w:val="000000"/>
          <w:sz w:val="22"/>
          <w:szCs w:val="22"/>
        </w:rPr>
      </w:pPr>
      <w:r>
        <w:rPr>
          <w:rFonts w:hint="eastAsia" w:ascii="方正黑体_GBK" w:hAnsi="方正黑体_GBK" w:eastAsia="方正黑体_GBK" w:cs="方正黑体_GBK"/>
          <w:b w:val="0"/>
          <w:bCs/>
          <w:kern w:val="0"/>
          <w:sz w:val="22"/>
          <w:szCs w:val="22"/>
        </w:rPr>
        <w:t xml:space="preserve">第二十一条 </w:t>
      </w:r>
      <w:r>
        <w:rPr>
          <w:rFonts w:hint="eastAsia" w:asciiTheme="minorEastAsia" w:hAnsiTheme="minorEastAsia" w:eastAsiaTheme="minorEastAsia"/>
          <w:color w:val="000000"/>
          <w:sz w:val="22"/>
          <w:szCs w:val="22"/>
        </w:rPr>
        <w:t>本物业管理区域内的物业经营用房、停车场及其他物业共用部位、共用设施设备等，委托乙方代为经营或管理服务的，具体收费及管理费约定如下：</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outlineLvl w:val="0"/>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（一）物业经营用房</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物业经营用房的出租标准不得</w:t>
      </w:r>
      <w:r>
        <w:rPr>
          <w:rFonts w:hint="eastAsia" w:asciiTheme="minorEastAsia" w:hAnsiTheme="minorEastAsia" w:eastAsiaTheme="minorEastAsia"/>
          <w:sz w:val="22"/>
          <w:szCs w:val="22"/>
        </w:rPr>
        <w:t>不合理低</w:t>
      </w:r>
      <w:r>
        <w:rPr>
          <w:rFonts w:hint="eastAsia" w:asciiTheme="minorEastAsia" w:hAnsiTheme="minorEastAsia" w:eastAsiaTheme="minorEastAsia"/>
          <w:color w:val="000000"/>
          <w:sz w:val="22"/>
          <w:szCs w:val="22"/>
        </w:rPr>
        <w:t>于周边同期同类出租标准，且租赁期限最长不超过业主委员会成立后十二个月。乙方代为出租物业经营用房的，经双方约定，乙方收取其总收入额的</w:t>
      </w: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%为管理费用。</w:t>
      </w:r>
    </w:p>
    <w:p>
      <w:pPr>
        <w:keepNext w:val="0"/>
        <w:keepLines w:val="0"/>
        <w:pageBreakBefore w:val="0"/>
        <w:kinsoku/>
        <w:overflowPunct/>
        <w:topLinePunct w:val="0"/>
        <w:autoSpaceDE/>
        <w:autoSpaceDN/>
        <w:bidi w:val="0"/>
        <w:snapToGrid w:val="0"/>
        <w:spacing w:line="420" w:lineRule="exact"/>
        <w:ind w:firstLine="440" w:firstLineChars="200"/>
        <w:textAlignment w:val="auto"/>
        <w:outlineLvl w:val="0"/>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（二）规划内的停车场（库）</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sz w:val="22"/>
          <w:szCs w:val="22"/>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1678940</wp:posOffset>
                </wp:positionV>
                <wp:extent cx="228600" cy="99060"/>
                <wp:effectExtent l="0" t="2540" r="0" b="0"/>
                <wp:wrapNone/>
                <wp:docPr id="4" name="文本框 5"/>
                <wp:cNvGraphicFramePr/>
                <a:graphic xmlns:a="http://schemas.openxmlformats.org/drawingml/2006/main">
                  <a:graphicData uri="http://schemas.microsoft.com/office/word/2010/wordprocessingShape">
                    <wps:wsp>
                      <wps:cNvSpPr txBox="true">
                        <a:spLocks noChangeArrowheads="true"/>
                      </wps:cNvSpPr>
                      <wps:spPr bwMode="auto">
                        <a:xfrm>
                          <a:off x="0" y="0"/>
                          <a:ext cx="228600" cy="99060"/>
                        </a:xfrm>
                        <a:prstGeom prst="rect">
                          <a:avLst/>
                        </a:prstGeom>
                        <a:noFill/>
                        <a:ln>
                          <a:noFill/>
                        </a:ln>
                      </wps:spPr>
                      <wps:txbx>
                        <w:txbxContent>
                          <w:p>
                            <w:pPr>
                              <w:pStyle w:val="5"/>
                              <w:rPr>
                                <w:rStyle w:val="13"/>
                                <w:sz w:val="28"/>
                                <w:szCs w:val="28"/>
                              </w:rPr>
                            </w:pPr>
                            <w:r>
                              <w:rPr>
                                <w:rStyle w:val="13"/>
                                <w:kern w:val="0"/>
                                <w:sz w:val="28"/>
                                <w:szCs w:val="28"/>
                              </w:rPr>
                              <w:t>- 8 -</w:t>
                            </w:r>
                          </w:p>
                          <w:p>
                            <w:pPr>
                              <w:rPr>
                                <w:rFonts w:ascii="宋体" w:hAnsi="宋体"/>
                                <w:b/>
                              </w:rPr>
                            </w:pPr>
                          </w:p>
                        </w:txbxContent>
                      </wps:txbx>
                      <wps:bodyPr rot="0" vert="horz" wrap="square" lIns="91440" tIns="45720" rIns="91440" bIns="45720" anchor="t" anchorCtr="false" upright="true">
                        <a:noAutofit/>
                      </wps:bodyPr>
                    </wps:wsp>
                  </a:graphicData>
                </a:graphic>
              </wp:anchor>
            </w:drawing>
          </mc:Choice>
          <mc:Fallback>
            <w:pict>
              <v:shape id="文本框 5" o:spid="_x0000_s1026" o:spt="202" type="#_x0000_t202" style="position:absolute;left:0pt;margin-left:-126pt;margin-top:132.2pt;height:7.8pt;width:18pt;z-index:251660288;mso-width-relative:page;mso-height-relative:page;" filled="f" stroked="f" coordsize="21600,21600" o:gfxdata="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EgeUevZAAAADQEAAA8A&#10;AAAAAAAAAQAgAAAAOAAAAGRycy9kb3ducmV2LnhtbFBLAQIUABQAAAAIAIdO4kBwm5dNAAIAANID&#10;AAAOAAAAAAAAAAEAIAAAAD4BAABkcnMvZTJvRG9jLnhtbFBLBQYAAAAABgAGAFkBAACwBQAAAAA=&#10;">
                <v:fill on="f" focussize="0,0"/>
                <v:stroke on="f"/>
                <v:imagedata o:title=""/>
                <o:lock v:ext="edit" aspectratio="f"/>
                <v:textbox>
                  <w:txbxContent>
                    <w:p>
                      <w:pPr>
                        <w:pStyle w:val="5"/>
                        <w:rPr>
                          <w:rStyle w:val="13"/>
                          <w:sz w:val="28"/>
                          <w:szCs w:val="28"/>
                        </w:rPr>
                      </w:pPr>
                      <w:r>
                        <w:rPr>
                          <w:rStyle w:val="13"/>
                          <w:kern w:val="0"/>
                          <w:sz w:val="28"/>
                          <w:szCs w:val="28"/>
                        </w:rPr>
                        <w:t>- 8 -</w:t>
                      </w:r>
                    </w:p>
                    <w:p>
                      <w:pPr>
                        <w:rPr>
                          <w:rFonts w:ascii="宋体" w:hAnsi="宋体"/>
                          <w:b/>
                        </w:rPr>
                      </w:pPr>
                    </w:p>
                  </w:txbxContent>
                </v:textbox>
              </v:shape>
            </w:pict>
          </mc:Fallback>
        </mc:AlternateContent>
      </w:r>
      <w:r>
        <w:rPr>
          <w:rFonts w:hint="eastAsia" w:asciiTheme="minorEastAsia" w:hAnsiTheme="minorEastAsia" w:eastAsiaTheme="minorEastAsia"/>
          <w:color w:val="000000"/>
          <w:sz w:val="22"/>
          <w:szCs w:val="22"/>
        </w:rPr>
        <w:t>1.车库（位）属于全体业主共有的，其收益归全体业主所有。委托乙方代为经营的，乙方收取其收入额的</w:t>
      </w: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%为管理费。</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sz w:val="22"/>
          <w:szCs w:val="22"/>
        </w:rPr>
      </w:pPr>
      <w:r>
        <w:rPr>
          <w:rFonts w:hint="eastAsia" w:asciiTheme="minorEastAsia" w:hAnsiTheme="minorEastAsia" w:eastAsiaTheme="minorEastAsia"/>
          <w:color w:val="000000"/>
          <w:sz w:val="22"/>
          <w:szCs w:val="22"/>
        </w:rPr>
        <w:t>2.车库（位）属于甲方或其他业主所有的，其收益归甲方或其他业主所有。委托乙方代为经营的，</w:t>
      </w:r>
      <w:r>
        <w:rPr>
          <w:rFonts w:hint="eastAsia" w:asciiTheme="minorEastAsia" w:hAnsiTheme="minorEastAsia" w:eastAsiaTheme="minorEastAsia"/>
          <w:sz w:val="22"/>
          <w:szCs w:val="22"/>
        </w:rPr>
        <w:t>由所有人与乙方自行约定经营管理事项。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sz w:val="22"/>
          <w:szCs w:val="22"/>
        </w:rPr>
        <w:t>3.新能源电动车共用充电桩服务收费标准：</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color w:val="000000"/>
          <w:sz w:val="22"/>
          <w:szCs w:val="22"/>
          <w:u w:val="single"/>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（三）占用共有道路或者其他场地用于停放车辆的车位，属于业主共有。</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具体收费标准为：</w:t>
      </w: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color w:val="000000"/>
          <w:sz w:val="22"/>
          <w:szCs w:val="22"/>
        </w:rPr>
      </w:pPr>
      <w:r>
        <w:rPr>
          <w:rFonts w:hint="eastAsia" w:asciiTheme="minorEastAsia" w:hAnsiTheme="minorEastAsia" w:eastAsiaTheme="minorEastAsia"/>
          <w:color w:val="000000"/>
          <w:sz w:val="22"/>
          <w:szCs w:val="22"/>
        </w:rPr>
        <w:t>乙方提取的管理费为：</w:t>
      </w: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jc w:val="left"/>
        <w:textAlignment w:val="auto"/>
        <w:rPr>
          <w:rFonts w:asciiTheme="minorEastAsia" w:hAnsiTheme="minorEastAsia" w:eastAsiaTheme="minorEastAsia"/>
          <w:sz w:val="22"/>
          <w:szCs w:val="22"/>
        </w:rPr>
      </w:pPr>
      <w:r>
        <w:rPr>
          <w:rFonts w:hint="eastAsia" w:asciiTheme="minorEastAsia" w:hAnsiTheme="minorEastAsia" w:eastAsiaTheme="minorEastAsia"/>
          <w:color w:val="000000"/>
          <w:sz w:val="22"/>
          <w:szCs w:val="22"/>
        </w:rPr>
        <w:t>（四）利用共用部位、设施设备进行广告或相关场地进行摆摊设点、</w:t>
      </w:r>
      <w:r>
        <w:rPr>
          <w:rFonts w:hint="eastAsia" w:asciiTheme="minorEastAsia" w:hAnsiTheme="minorEastAsia" w:eastAsiaTheme="minorEastAsia"/>
          <w:color w:val="000000"/>
          <w:sz w:val="22"/>
          <w:szCs w:val="22"/>
          <w:u w:val="single"/>
        </w:rPr>
        <w:t xml:space="preserve">           </w:t>
      </w:r>
      <w:r>
        <w:rPr>
          <w:rFonts w:hint="eastAsia" w:asciiTheme="minorEastAsia" w:hAnsiTheme="minorEastAsia" w:eastAsiaTheme="minorEastAsia"/>
          <w:color w:val="000000"/>
          <w:sz w:val="22"/>
          <w:szCs w:val="22"/>
        </w:rPr>
        <w:t xml:space="preserve"> 等经营活动的，具体收费金额由甲乙双方商定</w:t>
      </w:r>
      <w:r>
        <w:rPr>
          <w:rFonts w:hint="eastAsia" w:asciiTheme="minorEastAsia" w:hAnsiTheme="minorEastAsia" w:eastAsiaTheme="minorEastAsia"/>
          <w:sz w:val="22"/>
          <w:szCs w:val="22"/>
        </w:rPr>
        <w:t>或由乙方制定相关出租、使用、经营和管理方案并在方案实施前10日在本物业管理区域内公示。乙方可从该收费中提取其收入额的</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%为管理费。</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Theme="minorEastAsia" w:hAnsiTheme="minorEastAsia" w:eastAsiaTheme="minorEastAsia"/>
          <w:color w:val="000000"/>
          <w:sz w:val="22"/>
          <w:szCs w:val="22"/>
        </w:rPr>
        <w:t>（五）</w:t>
      </w:r>
      <w:r>
        <w:rPr>
          <w:rFonts w:hint="eastAsia" w:asciiTheme="minorEastAsia" w:hAnsiTheme="minorEastAsia" w:eastAsiaTheme="minorEastAsia"/>
          <w:sz w:val="22"/>
          <w:szCs w:val="22"/>
        </w:rPr>
        <w:t>按照上述约定比例提取的管理费归乙方支配，与管理费相关的税费由乙方承担。</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color w:val="000000"/>
          <w:sz w:val="22"/>
          <w:szCs w:val="22"/>
        </w:rPr>
      </w:pPr>
      <w:r>
        <w:rPr>
          <w:rFonts w:hint="eastAsia" w:ascii="方正黑体_GBK" w:hAnsi="方正黑体_GBK" w:eastAsia="方正黑体_GBK" w:cs="方正黑体_GBK"/>
          <w:b w:val="0"/>
          <w:bCs/>
          <w:kern w:val="0"/>
          <w:sz w:val="22"/>
          <w:szCs w:val="22"/>
        </w:rPr>
        <w:t>第二十二条</w:t>
      </w:r>
      <w:r>
        <w:rPr>
          <w:rFonts w:asciiTheme="minorEastAsia" w:hAnsiTheme="minorEastAsia" w:eastAsiaTheme="minorEastAsia"/>
          <w:color w:val="000000"/>
          <w:sz w:val="22"/>
          <w:szCs w:val="22"/>
        </w:rPr>
        <w:t> </w:t>
      </w:r>
      <w:r>
        <w:rPr>
          <w:rFonts w:hint="eastAsia" w:asciiTheme="minorEastAsia" w:hAnsiTheme="minorEastAsia" w:eastAsiaTheme="minorEastAsia"/>
          <w:color w:val="000000"/>
          <w:sz w:val="22"/>
          <w:szCs w:val="22"/>
        </w:rPr>
        <w:t xml:space="preserve"> 本物业管理区域内的会所以及泳池（馆）、篮球场、网球场等文体场地的相关费用约定如下（如暂无法确定的也可在投入使用前确定后公示）： </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Theme="minorEastAsia" w:hAnsiTheme="minorEastAsia" w:eastAsiaTheme="minorEastAsia"/>
          <w:color w:val="000000"/>
          <w:sz w:val="22"/>
          <w:szCs w:val="22"/>
        </w:rPr>
        <w:t>（</w:t>
      </w:r>
      <w:r>
        <w:rPr>
          <w:rFonts w:hint="eastAsia" w:ascii="方正书宋_GBK" w:hAnsi="方正书宋_GBK" w:eastAsia="方正书宋_GBK" w:cs="方正书宋_GBK"/>
          <w:color w:val="000000"/>
          <w:sz w:val="22"/>
          <w:szCs w:val="22"/>
        </w:rPr>
        <w:t>一）会所：</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（二）泳池（馆）：</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（三）篮球场：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（四）网球场：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（五）其他：</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黑体_GBK" w:hAnsi="方正黑体_GBK" w:eastAsia="方正黑体_GBK" w:cs="方正黑体_GBK"/>
          <w:b w:val="0"/>
          <w:bCs/>
          <w:kern w:val="0"/>
          <w:sz w:val="22"/>
          <w:szCs w:val="22"/>
        </w:rPr>
        <w:t xml:space="preserve">第二十三条 </w:t>
      </w:r>
      <w:r>
        <w:rPr>
          <w:rFonts w:hint="eastAsia" w:ascii="方正书宋_GBK" w:hAnsi="方正书宋_GBK" w:eastAsia="方正书宋_GBK" w:cs="方正书宋_GBK"/>
          <w:color w:val="000000"/>
          <w:sz w:val="22"/>
          <w:szCs w:val="22"/>
        </w:rPr>
        <w:t>属于全体业主所有的经营性收益（扣除管理费、</w:t>
      </w:r>
      <w:r>
        <w:rPr>
          <w:rFonts w:hint="eastAsia" w:ascii="方正书宋_GBK" w:hAnsi="方正书宋_GBK" w:eastAsia="方正书宋_GBK" w:cs="方正书宋_GBK"/>
          <w:kern w:val="0"/>
          <w:sz w:val="22"/>
          <w:szCs w:val="22"/>
        </w:rPr>
        <w:t>税费等</w:t>
      </w:r>
      <w:r>
        <w:rPr>
          <w:rFonts w:hint="eastAsia" w:ascii="方正书宋_GBK" w:hAnsi="方正书宋_GBK" w:eastAsia="方正书宋_GBK" w:cs="方正书宋_GBK"/>
          <w:color w:val="000000"/>
          <w:sz w:val="22"/>
          <w:szCs w:val="22"/>
        </w:rPr>
        <w:t>经营成本后的收入）由乙方代管并单独列账。双方同意，经营性收益的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％可专项用于共用部位、共用设施设备的维修、更新、改造，或配套设施经营亏损的弥补等事项，但依法应由建设单位承担保修责任的除外。如超过该比例的，经营性收益的使用应征得甲方或业主委员会的同意。</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中约定的经营性收益使用管理事项，由甲方在物业交付使用时向业主公示告知。本合同终止时，甲方或业主委员会可要求乙方对经营性收益收支情况进行审计，并将审计结果在物业管理区域内公示。审计费用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（全体业主承担并从经营性收益中列支、甲方承担、乙方承担）。</w:t>
      </w:r>
    </w:p>
    <w:p>
      <w:pPr>
        <w:keepNext w:val="0"/>
        <w:keepLines w:val="0"/>
        <w:pageBreakBefore w:val="0"/>
        <w:kinsoku/>
        <w:overflowPunct/>
        <w:topLinePunct w:val="0"/>
        <w:autoSpaceDE/>
        <w:autoSpaceDN/>
        <w:bidi w:val="0"/>
        <w:snapToGri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乙方应每半年公布一次物业共用部位、共用设施设备以及相关场地经营所得的收支情况。</w:t>
      </w:r>
    </w:p>
    <w:p>
      <w:pPr>
        <w:keepNext w:val="0"/>
        <w:keepLines w:val="0"/>
        <w:pageBreakBefore w:val="0"/>
        <w:kinsoku/>
        <w:overflowPunct/>
        <w:topLinePunct w:val="0"/>
        <w:autoSpaceDE/>
        <w:autoSpaceDN/>
        <w:bidi w:val="0"/>
        <w:snapToGrid w:val="0"/>
        <w:spacing w:line="420" w:lineRule="exact"/>
        <w:ind w:firstLine="560" w:firstLineChars="200"/>
        <w:jc w:val="left"/>
        <w:textAlignment w:val="auto"/>
        <w:rPr>
          <w:rFonts w:asciiTheme="minorEastAsia" w:hAnsiTheme="minorEastAsia" w:eastAsiaTheme="minorEastAsia"/>
          <w:sz w:val="28"/>
          <w:szCs w:val="28"/>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第九章 前期物业服务期限</w:t>
      </w:r>
    </w:p>
    <w:p>
      <w:pPr>
        <w:keepNext w:val="0"/>
        <w:keepLines w:val="0"/>
        <w:pageBreakBefore w:val="0"/>
        <w:kinsoku/>
        <w:wordWrap w:val="0"/>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第二十四条 </w:t>
      </w:r>
      <w:r>
        <w:rPr>
          <w:rFonts w:hint="eastAsia" w:ascii="方正书宋_GBK" w:hAnsi="方正书宋_GBK" w:eastAsia="方正书宋_GBK" w:cs="方正书宋_GBK"/>
          <w:sz w:val="22"/>
          <w:szCs w:val="22"/>
        </w:rPr>
        <w:t xml:space="preserve"> 前期物业服务期限为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年。前期物业服务起始日期暂定为本项目交付日期×年×月×日，即自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日起至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日止。若实际交付时间有调整的，前期物业服务起止日期自动随之调整。</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本合同期限未满，业主委员会与业主大会选聘的物业服务企业签订的物业服务合同生效之日起，本合同自动终止。</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期满前三个月，未召开业主大会成立业主委员会的，甲乙双方应就延长本合同期限达成协议；本合同期限届满前双方仍未能达成协议的，合同期限自动延长至业主委员会与业主大会选聘的物业服务企业签订的物业服务合同生效之日止。</w:t>
      </w:r>
    </w:p>
    <w:p>
      <w:pPr>
        <w:keepNext w:val="0"/>
        <w:keepLines w:val="0"/>
        <w:pageBreakBefore w:val="0"/>
        <w:kinsoku/>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若自业主委员会成立之日起六个月，仍未选聘物业服务企业或签订《物业服务合同》的，乙方有权终止本合同。</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黑体_GBK" w:hAnsi="方正黑体_GBK" w:eastAsia="方正黑体_GBK" w:cs="方正黑体_GBK"/>
          <w:b w:val="0"/>
          <w:bCs/>
          <w:color w:val="auto"/>
          <w:kern w:val="0"/>
          <w:sz w:val="22"/>
          <w:szCs w:val="22"/>
          <w:lang w:val="en-US" w:eastAsia="zh-CN" w:bidi="ar-SA"/>
        </w:rPr>
        <w:t>第二十五条</w:t>
      </w:r>
      <w:r>
        <w:rPr>
          <w:rFonts w:hint="eastAsia" w:ascii="方正书宋_GBK" w:hAnsi="方正书宋_GBK" w:eastAsia="方正书宋_GBK" w:cs="方正书宋_GBK"/>
          <w:color w:val="auto"/>
          <w:sz w:val="22"/>
          <w:szCs w:val="22"/>
        </w:rPr>
        <w:t xml:space="preserve"> 本合同终止时，乙方应当将业主资料、物业管理用房和下列资料交还给业主委员会：</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（一）竣工总平面图，单体建筑、结构、设备竣工图，配套设施、地下管网工程竣工图等竣工验收资料；</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（二）设施设备的安装、使用和维护保养等技术资料；</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（三）物业质量保修文件和物业使用说明文件；</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（四）物业管理所必需的其他资料。</w:t>
      </w:r>
    </w:p>
    <w:p>
      <w:pPr>
        <w:pStyle w:val="8"/>
        <w:keepNext w:val="0"/>
        <w:keepLines w:val="0"/>
        <w:pageBreakBefore w:val="0"/>
        <w:kinsoku/>
        <w:overflowPunct/>
        <w:topLinePunct w:val="0"/>
        <w:autoSpaceDE/>
        <w:autoSpaceDN/>
        <w:bidi w:val="0"/>
        <w:spacing w:before="0" w:beforeAutospacing="0" w:after="0" w:afterAutospacing="0" w:line="420" w:lineRule="exact"/>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本合同终止时，业主大会选聘了新的物业服务企业的，乙方应当与新的物业服务企业做好交接工作。</w:t>
      </w:r>
    </w:p>
    <w:p>
      <w:pPr>
        <w:pStyle w:val="8"/>
        <w:keepNext w:val="0"/>
        <w:keepLines w:val="0"/>
        <w:pageBreakBefore w:val="0"/>
        <w:kinsoku/>
        <w:overflowPunct/>
        <w:topLinePunct w:val="0"/>
        <w:autoSpaceDE/>
        <w:autoSpaceDN/>
        <w:bidi w:val="0"/>
        <w:spacing w:before="0" w:beforeAutospacing="0" w:after="0" w:afterAutospacing="0" w:line="420" w:lineRule="exact"/>
        <w:ind w:firstLine="480"/>
        <w:textAlignment w:val="auto"/>
        <w:rPr>
          <w:rFonts w:hint="eastAsia" w:ascii="方正书宋_GBK" w:hAnsi="方正书宋_GBK" w:eastAsia="方正书宋_GBK" w:cs="方正书宋_GBK"/>
          <w:b/>
          <w:color w:val="auto"/>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w:t>第十章 违约责任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第二十六条 </w:t>
      </w:r>
      <w:r>
        <w:rPr>
          <w:rFonts w:hint="eastAsia" w:ascii="方正书宋_GBK" w:hAnsi="方正书宋_GBK" w:eastAsia="方正书宋_GBK" w:cs="方正书宋_GBK"/>
          <w:sz w:val="22"/>
          <w:szCs w:val="22"/>
        </w:rPr>
        <w:t>任何一方无法律依据或合同约定提前解除合同的，违约方应支付对方计人民币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元）的违约金。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第二十七条 </w:t>
      </w:r>
      <w:r>
        <w:rPr>
          <w:rFonts w:hint="eastAsia" w:ascii="方正书宋_GBK" w:hAnsi="方正书宋_GBK" w:eastAsia="方正书宋_GBK" w:cs="方正书宋_GBK"/>
          <w:sz w:val="22"/>
          <w:szCs w:val="22"/>
        </w:rPr>
        <w:t>甲方违反本合同约定的义务，致使乙方不能完成本合同第二条、第三条约定的服务内容和质量标准的，乙方有权依法解除本合同；甲方应以本合同未履行期限物业服务费总额为基数，按照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%的比例向乙方支付违约金。</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rPr>
        <w:t>合同未履行期限按照本合同第二十四条第一款约定的期限减去已履约期间计算。</w:t>
      </w:r>
    </w:p>
    <w:p>
      <w:pPr>
        <w:keepNext w:val="0"/>
        <w:keepLines w:val="0"/>
        <w:pageBreakBefore w:val="0"/>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    第二十八条</w:t>
      </w:r>
      <w:r>
        <w:rPr>
          <w:rFonts w:hint="eastAsia" w:ascii="方正书宋_GBK" w:hAnsi="方正书宋_GBK" w:eastAsia="方正书宋_GBK" w:cs="方正书宋_GBK"/>
          <w:b/>
          <w:bCs/>
          <w:sz w:val="22"/>
          <w:szCs w:val="22"/>
        </w:rPr>
        <w:t xml:space="preserve"> </w:t>
      </w:r>
      <w:r>
        <w:rPr>
          <w:rFonts w:hint="eastAsia" w:ascii="方正书宋_GBK" w:hAnsi="方正书宋_GBK" w:eastAsia="方正书宋_GBK" w:cs="方正书宋_GBK"/>
          <w:sz w:val="22"/>
          <w:szCs w:val="22"/>
        </w:rPr>
        <w:t>乙方的服务达不到本合同约定的质量标准的，应按已履约期间物业服务费总额为基数，按照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%的比例向甲方支付违约金。甲方同时有权要求乙方对其服务进行整改，若经整改仍无法达到合同约定的质量标准，甲方有权依法解除本合同。</w:t>
      </w: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甲乙双方对物业服务是否达到质量标准存在争议且无法解决的，由上级物业主管部门、社区或有资质的第三方机构进行评判。</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第二十九条 </w:t>
      </w:r>
      <w:r>
        <w:rPr>
          <w:rFonts w:hint="eastAsia" w:ascii="方正书宋_GBK" w:hAnsi="方正书宋_GBK" w:eastAsia="方正书宋_GBK" w:cs="方正书宋_GBK"/>
          <w:sz w:val="22"/>
          <w:szCs w:val="22"/>
        </w:rPr>
        <w:t>乙方未按法律规定和本合同约定移交相关资料并办理交接手续的，应向甲方支付人民币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元）违约金。违约金不足以弥补损失，甲方还有权要求乙方赔偿相应损失。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乙方未能履行或者未适当履行本合同的约定，导致业主人身、财产安全受到损害的，应当依法承担相应的法律责任。</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第三十条 </w:t>
      </w:r>
      <w:r>
        <w:rPr>
          <w:rFonts w:hint="eastAsia" w:ascii="方正书宋_GBK" w:hAnsi="方正书宋_GBK" w:eastAsia="方正书宋_GBK" w:cs="方正书宋_GBK"/>
          <w:sz w:val="22"/>
          <w:szCs w:val="22"/>
        </w:rPr>
        <w:t>甲方、业主或物业使用人违反本合同约定，逾期支付前期物业服务费及相关费用的，乙方有权要求甲方、业主或物业使用人支付，并在未付金额的基础上按日加收万分之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的滞纳金。</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业主、物业使用人不得以未享受或者无需接受相关物业服务为由拒绝缴纳物业服务费及相关费用。</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黑体_GBK" w:hAnsi="方正黑体_GBK" w:eastAsia="方正黑体_GBK" w:cs="方正黑体_GBK"/>
          <w:b w:val="0"/>
          <w:bCs/>
          <w:kern w:val="0"/>
          <w:sz w:val="22"/>
          <w:szCs w:val="22"/>
        </w:rPr>
        <w:t xml:space="preserve">第三十一条 </w:t>
      </w:r>
      <w:r>
        <w:rPr>
          <w:rFonts w:hint="eastAsia" w:ascii="方正书宋_GBK" w:hAnsi="方正书宋_GBK" w:eastAsia="方正书宋_GBK" w:cs="方正书宋_GBK"/>
          <w:sz w:val="22"/>
          <w:szCs w:val="22"/>
        </w:rPr>
        <w:t>乙方违反本合同约定，擅自提高收费标准的，甲方、业主、物业使用人有权要求乙方返还；并在多收金额的基础上按日加收万分之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的违约金。</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第三十二条 </w:t>
      </w:r>
      <w:r>
        <w:rPr>
          <w:rFonts w:hint="eastAsia" w:ascii="方正书宋_GBK" w:hAnsi="方正书宋_GBK" w:eastAsia="方正书宋_GBK" w:cs="方正书宋_GBK"/>
          <w:sz w:val="22"/>
          <w:szCs w:val="22"/>
        </w:rPr>
        <w:t>未经乙方同意，甲方为自身利益擅自向物业买受人承诺降低物业服务收费标准或免除物业服务费的，由甲方全额承担。</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kern w:val="0"/>
          <w:sz w:val="22"/>
          <w:szCs w:val="22"/>
        </w:rPr>
        <w:t xml:space="preserve">    第三十三条 </w:t>
      </w:r>
      <w:r>
        <w:rPr>
          <w:rFonts w:hint="eastAsia" w:ascii="方正书宋_GBK" w:hAnsi="方正书宋_GBK" w:eastAsia="方正书宋_GBK" w:cs="方正书宋_GBK"/>
          <w:sz w:val="22"/>
          <w:szCs w:val="22"/>
        </w:rPr>
        <w:t>在物业管理服务过程中发生下列事由，乙方不承担责任。</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（一）因不可抗力因素导致物业管理服务中断的；</w:t>
      </w:r>
    </w:p>
    <w:p>
      <w:pPr>
        <w:keepNext w:val="0"/>
        <w:keepLines w:val="0"/>
        <w:pageBreakBefore w:val="0"/>
        <w:widowControl/>
        <w:kinsoku/>
        <w:overflowPunct/>
        <w:topLinePunct w:val="0"/>
        <w:autoSpaceDE/>
        <w:autoSpaceDN/>
        <w:bidi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（二）因维修、养护物业共用部位、共用设施设备需要，且事先已告知和提醒业主和物业使用人，暂时停水、停电、停止共用设施设备使用等所造成的损失；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（三）非乙方原因出现供水、供电、供气、供热、通讯、有线电视及其他共用设施设备运行障碍造成的损失；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（四）乙方已适当履行本合同约定义务，但因物业本身固有瑕疵所造成的损失；</w:t>
      </w:r>
    </w:p>
    <w:p>
      <w:pPr>
        <w:keepNext w:val="0"/>
        <w:keepLines w:val="0"/>
        <w:pageBreakBefore w:val="0"/>
        <w:kinsoku/>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（五）乙方有证据证明其已适当履行本合同约定义务的其他情形。</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jc w:val="center"/>
        <w:textAlignment w:val="auto"/>
        <w:rPr>
          <w:rFonts w:hint="eastAsia" w:ascii="方正书宋_GBK" w:hAnsi="方正书宋_GBK" w:eastAsia="方正书宋_GBK" w:cs="方正书宋_GBK"/>
          <w:sz w:val="22"/>
          <w:szCs w:val="22"/>
        </w:rPr>
      </w:pPr>
    </w:p>
    <w:p>
      <w:pPr>
        <w:pStyle w:val="20"/>
        <w:pageBreakBefore w:val="0"/>
        <w:numPr>
          <w:ilvl w:val="0"/>
          <w:numId w:val="0"/>
        </w:numPr>
        <w:kinsoku/>
        <w:overflowPunct/>
        <w:topLinePunct w:val="0"/>
        <w:autoSpaceDE/>
        <w:autoSpaceDN/>
        <w:bidi w:val="0"/>
        <w:adjustRightInd/>
        <w:snapToGrid w:val="0"/>
        <w:spacing w:line="420" w:lineRule="exact"/>
        <w:ind w:leftChars="0"/>
        <w:jc w:val="center"/>
        <w:textAlignment w:val="auto"/>
        <w:rPr>
          <w:rFonts w:hint="eastAsia" w:ascii="方正黑体_GBK" w:hAnsi="方正黑体_GBK" w:eastAsia="方正黑体_GBK" w:cs="方正黑体_GBK"/>
          <w:b w:val="0"/>
          <w:bCs/>
          <w:kern w:val="0"/>
          <w:sz w:val="28"/>
          <w:szCs w:val="28"/>
          <w:lang w:eastAsia="zh-CN"/>
        </w:rPr>
      </w:pPr>
      <w:r>
        <w:rPr>
          <w:rFonts w:hint="eastAsia" w:ascii="方正黑体_GBK" w:hAnsi="方正黑体_GBK" w:eastAsia="方正黑体_GBK" w:cs="方正黑体_GBK"/>
          <w:b w:val="0"/>
          <w:bCs/>
          <w:kern w:val="0"/>
          <w:sz w:val="28"/>
          <w:szCs w:val="28"/>
          <w:lang w:eastAsia="zh-CN"/>
        </w:rPr>
        <mc:AlternateContent>
          <mc:Choice Requires="wps">
            <w:drawing>
              <wp:anchor distT="0" distB="0" distL="114300" distR="114300" simplePos="0" relativeHeight="251656192" behindDoc="0" locked="0" layoutInCell="1" allowOverlap="1">
                <wp:simplePos x="0" y="0"/>
                <wp:positionH relativeFrom="column">
                  <wp:posOffset>-1600200</wp:posOffset>
                </wp:positionH>
                <wp:positionV relativeFrom="paragraph">
                  <wp:posOffset>772160</wp:posOffset>
                </wp:positionV>
                <wp:extent cx="114300" cy="198120"/>
                <wp:effectExtent l="0" t="0" r="0" b="0"/>
                <wp:wrapNone/>
                <wp:docPr id="2" name="文本框 6"/>
                <wp:cNvGraphicFramePr/>
                <a:graphic xmlns:a="http://schemas.openxmlformats.org/drawingml/2006/main">
                  <a:graphicData uri="http://schemas.microsoft.com/office/word/2010/wordprocessingShape">
                    <wps:wsp>
                      <wps:cNvSpPr txBox="true">
                        <a:spLocks noChangeArrowheads="true"/>
                      </wps:cNvSpPr>
                      <wps:spPr bwMode="auto">
                        <a:xfrm>
                          <a:off x="0" y="0"/>
                          <a:ext cx="114300" cy="198120"/>
                        </a:xfrm>
                        <a:prstGeom prst="rect">
                          <a:avLst/>
                        </a:prstGeom>
                        <a:noFill/>
                        <a:ln>
                          <a:noFill/>
                        </a:ln>
                      </wps:spPr>
                      <wps:txbx>
                        <w:txbxContent>
                          <w:p>
                            <w:pPr>
                              <w:pStyle w:val="5"/>
                              <w:rPr>
                                <w:rStyle w:val="13"/>
                                <w:sz w:val="28"/>
                                <w:szCs w:val="28"/>
                              </w:rPr>
                            </w:pPr>
                            <w:r>
                              <w:rPr>
                                <w:rStyle w:val="13"/>
                                <w:kern w:val="0"/>
                                <w:sz w:val="28"/>
                                <w:szCs w:val="28"/>
                              </w:rPr>
                              <w:t>- 12 -</w:t>
                            </w:r>
                          </w:p>
                          <w:p>
                            <w:pPr>
                              <w:rPr>
                                <w:rFonts w:ascii="宋体" w:hAnsi="宋体"/>
                                <w:b/>
                              </w:rPr>
                            </w:pPr>
                          </w:p>
                        </w:txbxContent>
                      </wps:txbx>
                      <wps:bodyPr rot="0" vert="horz" wrap="square" lIns="91440" tIns="45720" rIns="91440" bIns="45720" anchor="t" anchorCtr="false" upright="true">
                        <a:noAutofit/>
                      </wps:bodyPr>
                    </wps:wsp>
                  </a:graphicData>
                </a:graphic>
              </wp:anchor>
            </w:drawing>
          </mc:Choice>
          <mc:Fallback>
            <w:pict>
              <v:shape id="文本框 6" o:spid="_x0000_s1026" o:spt="202" type="#_x0000_t202" style="position:absolute;left:0pt;margin-left:-126pt;margin-top:60.8pt;height:15.6pt;width:9pt;z-index:251656192;mso-width-relative:page;mso-height-relative:page;" filled="f" stroked="f" coordsize="21600,21600" o:gfxdata="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L4ILVvYAAAADQEAAA8A&#10;AAAAAAAAAQAgAAAAOAAAAGRycy9kb3ducmV2LnhtbFBLAQIUABQAAAAIAIdO4kCmq0KLAQIAANMD&#10;AAAOAAAAAAAAAAEAIAAAAD0BAABkcnMvZTJvRG9jLnhtbFBLBQYAAAAABgAGAFkBAACwBQAAAAA=&#10;">
                <v:fill on="f" focussize="0,0"/>
                <v:stroke on="f"/>
                <v:imagedata o:title=""/>
                <o:lock v:ext="edit" aspectratio="f"/>
                <v:textbox>
                  <w:txbxContent>
                    <w:p>
                      <w:pPr>
                        <w:pStyle w:val="5"/>
                        <w:rPr>
                          <w:rStyle w:val="13"/>
                          <w:sz w:val="28"/>
                          <w:szCs w:val="28"/>
                        </w:rPr>
                      </w:pPr>
                      <w:r>
                        <w:rPr>
                          <w:rStyle w:val="13"/>
                          <w:kern w:val="0"/>
                          <w:sz w:val="28"/>
                          <w:szCs w:val="28"/>
                        </w:rPr>
                        <w:t>- 12 -</w:t>
                      </w:r>
                    </w:p>
                    <w:p>
                      <w:pPr>
                        <w:rPr>
                          <w:rFonts w:ascii="宋体" w:hAnsi="宋体"/>
                          <w:b/>
                        </w:rPr>
                      </w:pPr>
                    </w:p>
                  </w:txbxContent>
                </v:textbox>
              </v:shape>
            </w:pict>
          </mc:Fallback>
        </mc:AlternateContent>
      </w:r>
      <w:r>
        <w:rPr>
          <w:rFonts w:hint="eastAsia" w:ascii="方正黑体_GBK" w:hAnsi="方正黑体_GBK" w:eastAsia="方正黑体_GBK" w:cs="方正黑体_GBK"/>
          <w:b w:val="0"/>
          <w:bCs/>
          <w:kern w:val="0"/>
          <w:sz w:val="28"/>
          <w:szCs w:val="28"/>
          <w:lang w:eastAsia="zh-CN"/>
        </w:rPr>
        <w:t>第十一章 其他事项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方正黑体_GBK" w:hAnsi="方正黑体_GBK" w:eastAsia="方正黑体_GBK" w:cs="方正黑体_GBK"/>
          <w:b w:val="0"/>
          <w:bCs/>
          <w:kern w:val="0"/>
          <w:sz w:val="22"/>
          <w:szCs w:val="22"/>
        </w:rPr>
        <w:t xml:space="preserve">第三十四条 </w:t>
      </w:r>
      <w:r>
        <w:rPr>
          <w:rFonts w:hint="eastAsia" w:asciiTheme="minorEastAsia" w:hAnsiTheme="minorEastAsia" w:eastAsiaTheme="minorEastAsia"/>
          <w:sz w:val="22"/>
          <w:szCs w:val="22"/>
        </w:rPr>
        <w:t>本合同自双方签字或盖章之日起生效。合同的附件与合同具有同等法律效力。</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asciiTheme="minorEastAsia" w:hAnsiTheme="minorEastAsia" w:eastAsiaTheme="minorEastAsia"/>
          <w:sz w:val="22"/>
          <w:szCs w:val="22"/>
        </w:rPr>
      </w:pPr>
      <w:r>
        <w:rPr>
          <w:rFonts w:hint="eastAsia" w:ascii="方正黑体_GBK" w:hAnsi="方正黑体_GBK" w:eastAsia="方正黑体_GBK" w:cs="方正黑体_GBK"/>
          <w:b w:val="0"/>
          <w:bCs/>
          <w:kern w:val="0"/>
          <w:sz w:val="22"/>
          <w:szCs w:val="22"/>
        </w:rPr>
        <w:t>第三十五条</w:t>
      </w:r>
      <w:r>
        <w:rPr>
          <w:rFonts w:hint="eastAsia" w:ascii="方正黑体_GBK" w:hAnsi="方正黑体_GBK" w:eastAsia="方正黑体_GBK" w:cs="方正黑体_GBK"/>
          <w:b w:val="0"/>
          <w:bCs/>
          <w:kern w:val="0"/>
          <w:sz w:val="22"/>
          <w:szCs w:val="22"/>
        </w:rPr>
        <mc:AlternateContent>
          <mc:Choice Requires="wps">
            <w:drawing>
              <wp:anchor distT="0" distB="0" distL="114300" distR="114300" simplePos="0" relativeHeight="251658240" behindDoc="0" locked="0" layoutInCell="1" allowOverlap="1">
                <wp:simplePos x="0" y="0"/>
                <wp:positionH relativeFrom="column">
                  <wp:posOffset>9601200</wp:posOffset>
                </wp:positionH>
                <wp:positionV relativeFrom="paragraph">
                  <wp:posOffset>116840</wp:posOffset>
                </wp:positionV>
                <wp:extent cx="228600" cy="365760"/>
                <wp:effectExtent l="0" t="2540" r="0" b="0"/>
                <wp:wrapNone/>
                <wp:docPr id="1" name="文本框 7"/>
                <wp:cNvGraphicFramePr/>
                <a:graphic xmlns:a="http://schemas.openxmlformats.org/drawingml/2006/main">
                  <a:graphicData uri="http://schemas.microsoft.com/office/word/2010/wordprocessingShape">
                    <wps:wsp>
                      <wps:cNvSpPr txBox="true">
                        <a:spLocks noChangeArrowheads="true"/>
                      </wps:cNvSpPr>
                      <wps:spPr bwMode="auto">
                        <a:xfrm>
                          <a:off x="0" y="0"/>
                          <a:ext cx="228600" cy="365760"/>
                        </a:xfrm>
                        <a:prstGeom prst="rect">
                          <a:avLst/>
                        </a:prstGeom>
                        <a:noFill/>
                        <a:ln>
                          <a:noFill/>
                        </a:ln>
                      </wps:spPr>
                      <wps:txbx>
                        <w:txbxContent>
                          <w:p>
                            <w:pPr>
                              <w:pStyle w:val="5"/>
                              <w:rPr>
                                <w:rStyle w:val="13"/>
                                <w:sz w:val="28"/>
                                <w:szCs w:val="28"/>
                              </w:rPr>
                            </w:pPr>
                            <w:r>
                              <w:rPr>
                                <w:rStyle w:val="13"/>
                                <w:kern w:val="0"/>
                                <w:sz w:val="28"/>
                                <w:szCs w:val="28"/>
                              </w:rPr>
                              <w:t>- 13 -</w:t>
                            </w:r>
                          </w:p>
                          <w:p>
                            <w:pPr>
                              <w:rPr>
                                <w:rFonts w:ascii="宋体" w:hAnsi="宋体"/>
                                <w:b/>
                              </w:rPr>
                            </w:pPr>
                          </w:p>
                        </w:txbxContent>
                      </wps:txbx>
                      <wps:bodyPr rot="0" vert="horz" wrap="square" lIns="91440" tIns="45720" rIns="91440" bIns="45720" anchor="t" anchorCtr="false" upright="true">
                        <a:noAutofit/>
                      </wps:bodyPr>
                    </wps:wsp>
                  </a:graphicData>
                </a:graphic>
              </wp:anchor>
            </w:drawing>
          </mc:Choice>
          <mc:Fallback>
            <w:pict>
              <v:shape id="文本框 7" o:spid="_x0000_s1026" o:spt="202" type="#_x0000_t202" style="position:absolute;left:0pt;margin-left:756pt;margin-top:9.2pt;height:28.8pt;width:18pt;z-index:251658240;mso-width-relative:page;mso-height-relative:page;" filled="f" stroked="f" coordsize="21600,21600" o:gfxdata="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rLPLv9cAAAALAQAADwAA&#10;AAAAAAABACAAAAA4AAAAZHJzL2Rvd25yZXYueG1sUEsBAhQAFAAAAAgAh07iQMqc0gIBAgAA0wMA&#10;AA4AAAAAAAAAAQAgAAAAPAEAAGRycy9lMm9Eb2MueG1sUEsFBgAAAAAGAAYAWQEAAK8FAAAAAA==&#10;">
                <v:fill on="f" focussize="0,0"/>
                <v:stroke on="f"/>
                <v:imagedata o:title=""/>
                <o:lock v:ext="edit" aspectratio="f"/>
                <v:textbox>
                  <w:txbxContent>
                    <w:p>
                      <w:pPr>
                        <w:pStyle w:val="5"/>
                        <w:rPr>
                          <w:rStyle w:val="13"/>
                          <w:sz w:val="28"/>
                          <w:szCs w:val="28"/>
                        </w:rPr>
                      </w:pPr>
                      <w:r>
                        <w:rPr>
                          <w:rStyle w:val="13"/>
                          <w:kern w:val="0"/>
                          <w:sz w:val="28"/>
                          <w:szCs w:val="28"/>
                        </w:rPr>
                        <w:t>- 13 -</w:t>
                      </w:r>
                    </w:p>
                    <w:p>
                      <w:pPr>
                        <w:rPr>
                          <w:rFonts w:ascii="宋体" w:hAnsi="宋体"/>
                          <w:b/>
                        </w:rPr>
                      </w:pPr>
                    </w:p>
                  </w:txbxContent>
                </v:textbox>
              </v:shape>
            </w:pict>
          </mc:Fallback>
        </mc:AlternateContent>
      </w:r>
      <w:r>
        <w:rPr>
          <w:rFonts w:hint="eastAsia" w:ascii="方正黑体_GBK" w:hAnsi="方正黑体_GBK" w:eastAsia="方正黑体_GBK" w:cs="方正黑体_GBK"/>
          <w:b w:val="0"/>
          <w:bCs/>
          <w:kern w:val="0"/>
          <w:sz w:val="22"/>
          <w:szCs w:val="22"/>
        </w:rPr>
        <w:t xml:space="preserve"> </w:t>
      </w:r>
      <w:r>
        <w:rPr>
          <w:rFonts w:hint="eastAsia" w:asciiTheme="minorEastAsia" w:hAnsiTheme="minorEastAsia" w:eastAsiaTheme="minorEastAsia"/>
          <w:sz w:val="22"/>
          <w:szCs w:val="22"/>
        </w:rPr>
        <w:t xml:space="preserve">本合同未约定或约定不明的事宜，双方可另行签订补充协议。 </w:t>
      </w:r>
    </w:p>
    <w:p>
      <w:pPr>
        <w:pStyle w:val="3"/>
        <w:keepNext w:val="0"/>
        <w:keepLines w:val="0"/>
        <w:pageBreakBefore w:val="0"/>
        <w:kinsoku/>
        <w:overflowPunct/>
        <w:topLinePunct w:val="0"/>
        <w:autoSpaceDE/>
        <w:autoSpaceDN/>
        <w:bidi w:val="0"/>
        <w:spacing w:line="420" w:lineRule="exact"/>
        <w:textAlignment w:val="auto"/>
        <w:rPr>
          <w:sz w:val="22"/>
          <w:szCs w:val="22"/>
        </w:rPr>
      </w:pPr>
      <w:r>
        <w:rPr>
          <w:rFonts w:hint="eastAsia" w:asciiTheme="minorEastAsia" w:hAnsiTheme="minorEastAsia" w:eastAsiaTheme="minorEastAsia"/>
          <w:sz w:val="22"/>
          <w:szCs w:val="22"/>
        </w:rPr>
        <w:t xml:space="preserve">    双方另行签订的补充协议不得不合理减轻或免除本合同中约定应当由乙方承担的责任，以及应当由甲方作为开发商承担的责任，或者不合理加重业主方责任。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方正黑体_GBK" w:hAnsi="方正黑体_GBK" w:eastAsia="方正黑体_GBK" w:cs="方正黑体_GBK"/>
          <w:b w:val="0"/>
          <w:bCs/>
          <w:kern w:val="0"/>
          <w:sz w:val="22"/>
          <w:szCs w:val="22"/>
        </w:rPr>
        <w:t xml:space="preserve">第三十六条 </w:t>
      </w:r>
      <w:r>
        <w:rPr>
          <w:rFonts w:hint="eastAsia" w:asciiTheme="minorEastAsia" w:hAnsiTheme="minorEastAsia" w:eastAsiaTheme="minorEastAsia"/>
          <w:sz w:val="22"/>
          <w:szCs w:val="22"/>
        </w:rPr>
        <w:t>本合同在履行中发生争议，由双方协商解决，协商不成，双方可选择以下第   种方式处理：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Theme="minorEastAsia" w:hAnsiTheme="minorEastAsia" w:eastAsiaTheme="minorEastAsia"/>
          <w:sz w:val="22"/>
          <w:szCs w:val="22"/>
        </w:rPr>
        <w:t>1.依法向房屋所在地人民法院提起诉讼；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ind w:firstLine="440" w:firstLineChars="200"/>
        <w:textAlignment w:val="auto"/>
        <w:rPr>
          <w:rFonts w:asciiTheme="minorEastAsia" w:hAnsiTheme="minorEastAsia" w:eastAsiaTheme="minorEastAsia"/>
          <w:sz w:val="22"/>
          <w:szCs w:val="22"/>
        </w:rPr>
      </w:pPr>
      <w:r>
        <w:rPr>
          <w:rFonts w:hint="eastAsia" w:asciiTheme="minorEastAsia" w:hAnsiTheme="minorEastAsia" w:eastAsiaTheme="minorEastAsia"/>
          <w:sz w:val="22"/>
          <w:szCs w:val="22"/>
        </w:rPr>
        <w:t>2．</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cs="宋体" w:asciiTheme="minorEastAsia" w:hAnsiTheme="minorEastAsia" w:eastAsiaTheme="minorEastAsia"/>
          <w:kern w:val="0"/>
          <w:sz w:val="28"/>
          <w:szCs w:val="28"/>
        </w:rPr>
      </w:pPr>
      <w:r>
        <w:rPr>
          <w:rFonts w:hint="eastAsia" w:ascii="方正黑体_GBK" w:hAnsi="方正黑体_GBK" w:eastAsia="方正黑体_GBK" w:cs="方正黑体_GBK"/>
          <w:b w:val="0"/>
          <w:bCs/>
          <w:kern w:val="0"/>
          <w:sz w:val="22"/>
          <w:szCs w:val="22"/>
        </w:rPr>
        <w:t xml:space="preserve">第三十七条 </w:t>
      </w:r>
      <w:r>
        <w:rPr>
          <w:rFonts w:hint="eastAsia" w:asciiTheme="minorEastAsia" w:hAnsiTheme="minorEastAsia" w:eastAsiaTheme="minorEastAsia"/>
          <w:sz w:val="22"/>
          <w:szCs w:val="22"/>
        </w:rPr>
        <w:t>本合同一式</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份，甲、乙双方各执</w:t>
      </w:r>
      <w:r>
        <w:rPr>
          <w:rFonts w:hint="eastAsia" w:asciiTheme="minorEastAsia" w:hAnsiTheme="minorEastAsia" w:eastAsiaTheme="minorEastAsia"/>
          <w:sz w:val="22"/>
          <w:szCs w:val="22"/>
          <w:u w:val="single"/>
        </w:rPr>
        <w:t xml:space="preserve">   </w:t>
      </w:r>
      <w:r>
        <w:rPr>
          <w:rFonts w:asciiTheme="minorEastAsia" w:hAnsiTheme="minorEastAsia" w:eastAsiaTheme="minorEastAsia"/>
          <w:sz w:val="22"/>
          <w:szCs w:val="22"/>
          <w:u w:val="single"/>
        </w:rPr>
        <w:t> </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份，报物业所在地区、县（市）房产主管部门一份（备案）</w:t>
      </w:r>
      <w:r>
        <w:rPr>
          <w:rFonts w:hint="eastAsia" w:cs="宋体" w:asciiTheme="minorEastAsia" w:hAnsiTheme="minorEastAsia" w:eastAsiaTheme="minorEastAsia"/>
          <w:kern w:val="0"/>
          <w:sz w:val="22"/>
          <w:szCs w:val="22"/>
        </w:rPr>
        <w:t xml:space="preserve">。 </w:t>
      </w:r>
    </w:p>
    <w:p>
      <w:pPr>
        <w:pStyle w:val="20"/>
        <w:pageBreakBefore w:val="0"/>
        <w:numPr>
          <w:ilvl w:val="0"/>
          <w:numId w:val="0"/>
        </w:numPr>
        <w:kinsoku/>
        <w:overflowPunct/>
        <w:topLinePunct w:val="0"/>
        <w:autoSpaceDE/>
        <w:autoSpaceDN/>
        <w:bidi w:val="0"/>
        <w:adjustRightInd/>
        <w:snapToGrid w:val="0"/>
        <w:spacing w:line="420" w:lineRule="exact"/>
        <w:ind w:leftChars="0" w:firstLine="560" w:firstLineChars="200"/>
        <w:jc w:val="left"/>
        <w:textAlignment w:val="auto"/>
        <w:rPr>
          <w:rFonts w:hint="eastAsia" w:ascii="方正黑体_GBK" w:hAnsi="方正黑体_GBK" w:eastAsia="方正黑体_GBK" w:cs="方正黑体_GBK"/>
          <w:b w:val="0"/>
          <w:bCs/>
          <w:kern w:val="0"/>
          <w:sz w:val="28"/>
          <w:szCs w:val="28"/>
          <w:lang w:val="en-US" w:eastAsia="zh-CN"/>
        </w:rPr>
      </w:pPr>
      <w:r>
        <w:rPr>
          <w:rFonts w:hint="eastAsia" w:ascii="方正黑体_GBK" w:hAnsi="方正黑体_GBK" w:eastAsia="方正黑体_GBK" w:cs="方正黑体_GBK"/>
          <w:b w:val="0"/>
          <w:bCs/>
          <w:kern w:val="0"/>
          <w:sz w:val="28"/>
          <w:szCs w:val="28"/>
          <w:lang w:val="en-US" w:eastAsia="zh-CN"/>
        </w:rPr>
        <w:t>附件：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一、物业管理区域划分意见书或规划平面图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二、物业构成明细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三、物业服务内容与服务标准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四、公共能耗费分摊办法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五、业主承诺书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六、物业承接查验协议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七、移交给物业服务企业的资料清单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八、前期物业管理招标文件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九、前期物业管理投标书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甲方（签章）                    乙方（签章）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法定代表人：                    法定代表人：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line="420" w:lineRule="exact"/>
        <w:ind w:firstLine="440" w:firstLineChars="200"/>
        <w:textAlignment w:val="auto"/>
        <w:rPr>
          <w:rFonts w:hint="eastAsia" w:asciiTheme="minorEastAsia" w:hAnsiTheme="minorEastAsia" w:eastAsiaTheme="minorEastAsia"/>
          <w:sz w:val="22"/>
          <w:szCs w:val="22"/>
        </w:rPr>
      </w:pPr>
      <w:r>
        <w:rPr>
          <w:rFonts w:hint="eastAsia" w:asciiTheme="minorEastAsia" w:hAnsiTheme="minorEastAsia" w:eastAsiaTheme="minorEastAsia"/>
          <w:sz w:val="22"/>
          <w:szCs w:val="22"/>
        </w:rPr>
        <w:t xml:space="preserve">        年     月     日              年    月     日</w:t>
      </w:r>
    </w:p>
    <w:p>
      <w:pPr>
        <w:keepNext w:val="0"/>
        <w:keepLines w:val="0"/>
        <w:pageBreakBefore w:val="0"/>
        <w:widowControl/>
        <w:kinsoku/>
        <w:overflowPunct/>
        <w:topLinePunct w:val="0"/>
        <w:autoSpaceDE/>
        <w:autoSpaceDN/>
        <w:bidi w:val="0"/>
        <w:spacing w:line="420" w:lineRule="exact"/>
        <w:jc w:val="left"/>
        <w:textAlignment w:val="auto"/>
        <w:rPr>
          <w:rFonts w:hint="eastAsia" w:ascii="方正书宋_GBK" w:hAnsi="方正书宋_GBK" w:eastAsia="方正书宋_GBK" w:cs="方正书宋_GBK"/>
          <w:b w:val="0"/>
          <w:bCs/>
          <w:sz w:val="22"/>
          <w:szCs w:val="22"/>
        </w:rPr>
      </w:pPr>
      <w:r>
        <w:rPr>
          <w:rFonts w:asciiTheme="minorEastAsia" w:hAnsiTheme="minorEastAsia" w:eastAsiaTheme="minorEastAsia"/>
          <w:b/>
          <w:sz w:val="32"/>
          <w:szCs w:val="32"/>
        </w:rPr>
        <w:br w:type="page"/>
      </w:r>
      <w:r>
        <w:rPr>
          <w:rFonts w:hint="eastAsia" w:asciiTheme="minorEastAsia" w:hAnsiTheme="minorEastAsia" w:eastAsiaTheme="minorEastAsia"/>
          <w:b/>
          <w:sz w:val="32"/>
          <w:szCs w:val="32"/>
          <w:lang w:val="en-US" w:eastAsia="zh-CN"/>
        </w:rPr>
        <w:t xml:space="preserve">  </w:t>
      </w:r>
      <w:r>
        <w:rPr>
          <w:rFonts w:hint="eastAsia" w:ascii="方正黑体_GBK" w:hAnsi="方正黑体_GBK" w:eastAsia="方正黑体_GBK" w:cs="方正黑体_GBK"/>
          <w:b w:val="0"/>
          <w:bCs/>
          <w:kern w:val="0"/>
          <w:sz w:val="22"/>
          <w:szCs w:val="22"/>
        </w:rPr>
        <w:t>附件一：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sz w:val="22"/>
          <w:szCs w:val="22"/>
        </w:rPr>
        <w:t>物业管理区域划分意见书或规划平面图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overflowPunct/>
        <w:topLinePunct w:val="0"/>
        <w:autoSpaceDE/>
        <w:autoSpaceDN/>
        <w:bidi w:val="0"/>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line="420" w:lineRule="exact"/>
        <w:jc w:val="center"/>
        <w:textAlignment w:val="auto"/>
        <w:rPr>
          <w:rFonts w:hint="eastAsia" w:ascii="方正书宋_GBK" w:hAnsi="方正书宋_GBK" w:eastAsia="方正书宋_GBK" w:cs="方正书宋_GBK"/>
          <w:b w:val="0"/>
          <w:bCs/>
          <w:kern w:val="0"/>
          <w:sz w:val="22"/>
          <w:szCs w:val="22"/>
          <w:u w:val="single"/>
        </w:rPr>
      </w:pPr>
      <w:r>
        <w:rPr>
          <w:rFonts w:hint="eastAsia" w:ascii="方正书宋_GBK" w:hAnsi="方正书宋_GBK" w:eastAsia="方正书宋_GBK" w:cs="方正书宋_GBK"/>
          <w:b w:val="0"/>
          <w:bCs/>
          <w:sz w:val="22"/>
          <w:szCs w:val="22"/>
        </w:rPr>
        <w:t>物业构成明细</w:t>
      </w:r>
    </w:p>
    <w:tbl>
      <w:tblPr>
        <w:tblStyle w:val="10"/>
        <w:tblW w:w="9000" w:type="dxa"/>
        <w:tblInd w:w="10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667"/>
        <w:gridCol w:w="2161"/>
        <w:gridCol w:w="265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8" w:space="0"/>
              <w:left w:val="single" w:color="auto" w:sz="8"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类  型</w:t>
            </w:r>
          </w:p>
        </w:tc>
        <w:tc>
          <w:tcPr>
            <w:tcW w:w="1667"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幢  数</w:t>
            </w:r>
          </w:p>
        </w:tc>
        <w:tc>
          <w:tcPr>
            <w:tcW w:w="2161" w:type="dxa"/>
            <w:tcBorders>
              <w:top w:val="single" w:color="auto" w:sz="8"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套（单元）数</w:t>
            </w:r>
          </w:p>
        </w:tc>
        <w:tc>
          <w:tcPr>
            <w:tcW w:w="2652" w:type="dxa"/>
            <w:tcBorders>
              <w:top w:val="single" w:color="auto" w:sz="8"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建筑面积（平方米）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小高层住宅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多层住宅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排屋</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别墅</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商铺</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工业用房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办公楼</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自行车库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机动车车库</w:t>
            </w:r>
          </w:p>
        </w:tc>
        <w:tc>
          <w:tcPr>
            <w:tcW w:w="1667"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会  所</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学  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社区配套用房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物业管理用房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配电房</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其他</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4"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合  计</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4" w:space="0"/>
              <w:right w:val="single" w:color="auto" w:sz="8" w:space="0"/>
            </w:tcBorders>
            <w:vAlign w:val="center"/>
          </w:tcPr>
          <w:p>
            <w:pPr>
              <w:jc w:val="center"/>
              <w:rPr>
                <w:rFonts w:hint="eastAsia" w:ascii="方正书宋_GBK" w:hAnsi="方正书宋_GBK" w:eastAsia="方正书宋_GBK" w:cs="方正书宋_GBK"/>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20" w:type="dxa"/>
            <w:tcBorders>
              <w:top w:val="single" w:color="auto" w:sz="4" w:space="0"/>
              <w:left w:val="single" w:color="auto" w:sz="8" w:space="0"/>
              <w:bottom w:val="single" w:color="auto" w:sz="8" w:space="0"/>
              <w:right w:val="single" w:color="auto" w:sz="4" w:space="0"/>
            </w:tcBorders>
            <w:vAlign w:val="center"/>
          </w:tcPr>
          <w:p>
            <w:pPr>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备  注</w:t>
            </w:r>
          </w:p>
        </w:tc>
        <w:tc>
          <w:tcPr>
            <w:tcW w:w="1667"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161" w:type="dxa"/>
            <w:tcBorders>
              <w:top w:val="single" w:color="auto" w:sz="4" w:space="0"/>
              <w:left w:val="single" w:color="auto" w:sz="4" w:space="0"/>
              <w:bottom w:val="single" w:color="auto" w:sz="8" w:space="0"/>
              <w:right w:val="single" w:color="auto" w:sz="4" w:space="0"/>
            </w:tcBorders>
            <w:vAlign w:val="center"/>
          </w:tcPr>
          <w:p>
            <w:pPr>
              <w:jc w:val="center"/>
              <w:rPr>
                <w:rFonts w:hint="eastAsia" w:ascii="方正书宋_GBK" w:hAnsi="方正书宋_GBK" w:eastAsia="方正书宋_GBK" w:cs="方正书宋_GBK"/>
                <w:sz w:val="18"/>
                <w:szCs w:val="18"/>
              </w:rPr>
            </w:pPr>
          </w:p>
        </w:tc>
        <w:tc>
          <w:tcPr>
            <w:tcW w:w="2652" w:type="dxa"/>
            <w:tcBorders>
              <w:top w:val="single" w:color="auto" w:sz="4" w:space="0"/>
              <w:left w:val="single" w:color="auto" w:sz="4" w:space="0"/>
              <w:bottom w:val="single" w:color="auto" w:sz="8" w:space="0"/>
              <w:right w:val="single" w:color="auto" w:sz="8" w:space="0"/>
            </w:tcBorders>
            <w:vAlign w:val="center"/>
          </w:tcPr>
          <w:p>
            <w:pPr>
              <w:jc w:val="center"/>
              <w:rPr>
                <w:rFonts w:hint="eastAsia" w:ascii="方正书宋_GBK" w:hAnsi="方正书宋_GBK" w:eastAsia="方正书宋_GBK" w:cs="方正书宋_GBK"/>
                <w:sz w:val="18"/>
                <w:szCs w:val="1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sz w:val="32"/>
          <w:szCs w:val="32"/>
        </w:rPr>
      </w:pPr>
    </w:p>
    <w:p>
      <w:pPr>
        <w:widowControl/>
        <w:jc w:val="left"/>
        <w:rPr>
          <w:rFonts w:ascii="宋体" w:hAnsi="宋体"/>
          <w:b/>
          <w:sz w:val="32"/>
          <w:szCs w:val="32"/>
        </w:rPr>
      </w:pPr>
      <w:r>
        <w:rPr>
          <w:rFonts w:ascii="宋体" w:hAnsi="宋体"/>
          <w:b/>
          <w:sz w:val="32"/>
          <w:szCs w:val="32"/>
        </w:rPr>
        <w:br w:type="page"/>
      </w:r>
    </w:p>
    <w:p>
      <w:pPr>
        <w:snapToGrid w:val="0"/>
        <w:spacing w:line="360" w:lineRule="auto"/>
        <w:ind w:firstLine="440" w:firstLineChars="200"/>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rFonts w:hint="eastAsia" w:ascii="方正书宋_GBK" w:hAnsi="方正书宋_GBK" w:eastAsia="方正书宋_GBK" w:cs="方正书宋_GBK"/>
          <w:b/>
          <w:bCs/>
          <w:kern w:val="0"/>
          <w:sz w:val="22"/>
          <w:szCs w:val="22"/>
        </w:rPr>
      </w:pPr>
      <w:r>
        <w:rPr>
          <w:rFonts w:hint="eastAsia" w:ascii="方正书宋_GBK" w:hAnsi="方正书宋_GBK" w:eastAsia="方正书宋_GBK" w:cs="方正书宋_GBK"/>
          <w:b/>
          <w:bCs/>
          <w:kern w:val="0"/>
          <w:sz w:val="22"/>
          <w:szCs w:val="22"/>
        </w:rPr>
        <w:t>物业服务内容与服务标准</w:t>
      </w:r>
    </w:p>
    <w:tbl>
      <w:tblPr>
        <w:tblStyle w:val="10"/>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kinsoku w:val="0"/>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事项</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服务内容与服务标准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kinsoku w:val="0"/>
              <w:wordWrap w:val="0"/>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(一)基本要求</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kinsoku w:val="0"/>
              <w:wordWrap w:val="0"/>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1.企业具有相应的服务水平，办公机构</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，办公设施</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办公场所</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 xml:space="preserve"> </w:t>
            </w:r>
            <w:r>
              <w:rPr>
                <w:rFonts w:hint="eastAsia" w:ascii="方正书宋_GBK" w:hAnsi="方正书宋_GBK" w:eastAsia="方正书宋_GBK" w:cs="方正书宋_GBK"/>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2.服务与被服务双方签订规范的物业服务合同，双方权利义务关系明确。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3.承接项目时，对住宅小区共用部位、共用设施设备进行认真查验，验收手续齐全。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4.管理人员、专业操作人员按照国家有关规定取得物业管理职业资格证书或者岗位证书。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5.有完善的物业管理方案，质量管理、财务管理、档案管理等制度健全。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6.管理服务人员</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、佩戴标志，行为规范，服务主动、热情。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7.设有服务接待中心，公示</w:t>
            </w:r>
            <w:r>
              <w:rPr>
                <w:rFonts w:hint="eastAsia" w:ascii="方正书宋_GBK" w:hAnsi="方正书宋_GBK" w:eastAsia="方正书宋_GBK" w:cs="方正书宋_GBK"/>
                <w:bCs/>
                <w:kern w:val="0"/>
                <w:sz w:val="18"/>
                <w:szCs w:val="18"/>
              </w:rPr>
              <w:t>24</w:t>
            </w:r>
            <w:r>
              <w:rPr>
                <w:rFonts w:hint="eastAsia" w:ascii="方正书宋_GBK" w:hAnsi="方正书宋_GBK" w:eastAsia="方正书宋_GBK" w:cs="方正书宋_GBK"/>
                <w:kern w:val="0"/>
                <w:sz w:val="18"/>
                <w:szCs w:val="18"/>
              </w:rPr>
              <w:t>小时服务电话。急修的应在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小时内派人到场维修，其它报修按双方约定时间到达现场，有完整的报修、维修和回访记录。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8.根据业主需求，提供服务合同之外的特约服务和代办服务的，在明显位置公示服务项目与收费标准。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9.按有关规定和合同约定公布物业服务资金的收支情况或物业经营性收支情况。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10.编制年度维修、养护计划和年度物业维修资金使用方案并报社区（成立业主大会后，向业主委员会），并按有关规定和合同约定规范使用物业专项维修资金。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11.每年至少</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次征询业主对物业服务的意见，满意率</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12.建立投诉处理机制，设立投诉电话与投诉接待点，在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小时内妥善处置业主或物业使用人的意见、建议并做好记录。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(二)房屋管理</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kern w:val="0"/>
                <w:sz w:val="18"/>
                <w:szCs w:val="18"/>
              </w:rPr>
              <w:t>1.对房屋建筑结构及其附属设施负有安全使用、检查维护、委托安全鉴定、治理安全隐患的义务，并保留相关资料。对房屋共用部位进行日常管理和维修养护，检修记录和保养记录齐全。</w:t>
            </w:r>
            <w:r>
              <w:rPr>
                <w:rFonts w:hint="eastAsia" w:ascii="方正书宋_GBK" w:hAnsi="方正书宋_GBK" w:eastAsia="方正书宋_GBK" w:cs="方正书宋_GBK"/>
                <w:sz w:val="18"/>
                <w:szCs w:val="18"/>
              </w:rPr>
              <w:t>但根据商品房买卖合同等约定，房屋共用部位（如露台、公共绿地、公用设备层等）</w:t>
            </w:r>
            <w:r>
              <w:rPr>
                <w:rFonts w:hint="eastAsia" w:ascii="方正书宋_GBK" w:hAnsi="方正书宋_GBK" w:eastAsia="方正书宋_GBK" w:cs="方正书宋_GBK"/>
                <w:bCs/>
                <w:sz w:val="18"/>
                <w:szCs w:val="18"/>
              </w:rPr>
              <w:t>由相关业主独占使用的，该共用部位的卫生保洁、</w:t>
            </w:r>
            <w:r>
              <w:rPr>
                <w:rFonts w:hint="eastAsia" w:ascii="方正书宋_GBK" w:hAnsi="方正书宋_GBK" w:eastAsia="方正书宋_GBK" w:cs="方正书宋_GBK"/>
                <w:sz w:val="18"/>
                <w:szCs w:val="18"/>
              </w:rPr>
              <w:t>维修、养护等义务由独占使用业主履行，并</w:t>
            </w:r>
            <w:r>
              <w:rPr>
                <w:rFonts w:hint="eastAsia" w:ascii="方正书宋_GBK" w:hAnsi="方正书宋_GBK" w:eastAsia="方正书宋_GBK" w:cs="方正书宋_GBK"/>
                <w:bCs/>
                <w:sz w:val="18"/>
                <w:szCs w:val="18"/>
              </w:rPr>
              <w:t>承担</w:t>
            </w:r>
            <w:r>
              <w:rPr>
                <w:rFonts w:hint="eastAsia" w:ascii="方正书宋_GBK" w:hAnsi="方正书宋_GBK" w:eastAsia="方正书宋_GBK" w:cs="方正书宋_GBK"/>
                <w:sz w:val="18"/>
                <w:szCs w:val="18"/>
              </w:rPr>
              <w:t>相应的管理责任</w:t>
            </w:r>
            <w:r>
              <w:rPr>
                <w:rFonts w:hint="eastAsia" w:ascii="方正书宋_GBK" w:hAnsi="方正书宋_GBK" w:eastAsia="方正书宋_GBK" w:cs="方正书宋_GBK"/>
                <w:bCs/>
                <w:sz w:val="18"/>
                <w:szCs w:val="18"/>
              </w:rPr>
              <w:t>。</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门窗：</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楼内墙面、顶面、地面：</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楼道灯：</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u w:val="single"/>
              </w:rPr>
            </w:pPr>
            <w:r>
              <w:rPr>
                <w:rFonts w:hint="eastAsia" w:ascii="方正书宋_GBK" w:hAnsi="方正书宋_GBK" w:eastAsia="方正书宋_GBK" w:cs="方正书宋_GBK"/>
                <w:bCs/>
                <w:sz w:val="18"/>
                <w:szCs w:val="18"/>
              </w:rPr>
              <w:t>雨、污水管道：</w:t>
            </w:r>
            <w:r>
              <w:rPr>
                <w:rFonts w:hint="eastAsia" w:ascii="方正书宋_GBK" w:hAnsi="方正书宋_GBK" w:eastAsia="方正书宋_GBK" w:cs="方正书宋_GBK"/>
                <w:bCs/>
                <w:sz w:val="18"/>
                <w:szCs w:val="18"/>
                <w:u w:val="single"/>
              </w:rPr>
              <w:t xml:space="preserve">                                                     </w:t>
            </w:r>
          </w:p>
          <w:p>
            <w:pPr>
              <w:widowControl/>
              <w:jc w:val="left"/>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Cs/>
                <w:sz w:val="18"/>
                <w:szCs w:val="18"/>
              </w:rPr>
              <w:t>道路、场地等：</w:t>
            </w:r>
            <w:r>
              <w:rPr>
                <w:rFonts w:hint="eastAsia" w:ascii="方正书宋_GBK" w:hAnsi="方正书宋_GBK" w:eastAsia="方正书宋_GBK" w:cs="方正书宋_GBK"/>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2.根据房屋实际使用年限，检查房屋共用部位（含建筑幕墙）的使用状况，需要维修，属于小修范围的，及时组织修复（金额在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元以内，包括</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元）；属于大、中修范围的（金额超过</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元）或者需要更新、改造的，及时编制维修计划和物业专项维修资金使用计划，保修期满后向社区（成立业主大会后，向业主委员会）提出报告与建议，根据社区（业主委员会）的决定，组织维修。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小时巡查</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次小区房屋单元门、楼梯通道以及其他共用部位的门窗、玻璃等，做好巡查记录，定期维修养护。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按照住宅装饰装修管理有关规定和临时管理规约要求，建立完善的住宅装饰装修管理制度。装修前，依规定审核业主（使用人）的装修方案，告知装修人有关装饰装修的禁止行为和注意事项。根据装修进度情况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天不少于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次巡查装修施工现场，发现影响房屋外观、危及房屋结构安全及拆改共用管线等损害公共利益现象的，及时劝阻、制止并报告社区（业主委员会）和有关主管部门。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5.对违反规划私搭乱建和擅自改变房屋用途的行为及时劝阻，并报告社区（业主委员会）和有关主管部门。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6.小区主出入口设有小区平面示意图，主要路口设有路标 。各组团、栋、单元（门）、户有明显标志。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3"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(三)共用设施设备维修养护</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sz w:val="18"/>
                <w:szCs w:val="18"/>
              </w:rPr>
            </w:pPr>
            <w:r>
              <w:rPr>
                <w:rFonts w:hint="eastAsia" w:ascii="方正书宋_GBK" w:hAnsi="方正书宋_GBK" w:eastAsia="方正书宋_GBK" w:cs="方正书宋_GBK"/>
                <w:kern w:val="0"/>
                <w:sz w:val="18"/>
                <w:szCs w:val="18"/>
              </w:rPr>
              <w:t>1.对共用设施设备进行日常管理、检修、维护和保养。但根据法律、法规、规章及政府相关部门的规范性文件规定，应由专业单位管理、检修、维护和保养的除外。</w:t>
            </w:r>
            <w:r>
              <w:rPr>
                <w:rFonts w:hint="eastAsia" w:ascii="方正书宋_GBK" w:hAnsi="方正书宋_GBK" w:eastAsia="方正书宋_GBK" w:cs="方正书宋_GBK"/>
                <w:sz w:val="18"/>
                <w:szCs w:val="18"/>
              </w:rPr>
              <w:t>（注：如电梯、消防设施、机械车位等，根据项目实际选择）</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供水系统：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排水系统：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升降系统：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p>
            <w:pPr>
              <w:widowControl/>
              <w:jc w:val="left"/>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Cs/>
                <w:sz w:val="18"/>
                <w:szCs w:val="18"/>
              </w:rPr>
              <w:t>弱电系统：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消防系统：</w:t>
            </w:r>
            <w:r>
              <w:rPr>
                <w:rFonts w:hint="eastAsia" w:ascii="方正书宋_GBK" w:hAnsi="方正书宋_GBK" w:eastAsia="方正书宋_GBK" w:cs="方正书宋_GBK"/>
                <w:bCs/>
                <w:sz w:val="18"/>
                <w:szCs w:val="18"/>
                <w:u w:val="single"/>
              </w:rPr>
              <w:t xml:space="preserve">                                                      </w:t>
            </w:r>
            <w:r>
              <w:rPr>
                <w:rFonts w:hint="eastAsia" w:ascii="方正书宋_GBK" w:hAnsi="方正书宋_GBK" w:eastAsia="方正书宋_GBK" w:cs="方正书宋_GBK"/>
                <w:bCs/>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2.建立共用设施设备档案（设备台帐），设施设备的运行、检修、维护、保养等记录齐全。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3.设施设备标志齐全、规范，责任人明确；操作维护人员严格执行设施设备操作规程及保养规范；设施设备运行正常。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5"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4.对共用设施设备定期组织巡查，做好巡查记录，需要维修，属于小修范围的，及时组织修复（金额在</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元以内，包括</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元）；属于大、中修范围或者需要更新改造的（金额超过</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元）或者需要更新、改造的，及时编制维修、更新改造计划和住房专项维修资金使用计划，保修期满后向社区（业主大会成立后，向业主委员会）提出报告与建议，根据社区（业主委员会）的决定，组织维修或者更新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w:t>
            </w:r>
            <w:r>
              <w:rPr>
                <w:rFonts w:hint="eastAsia" w:ascii="方正书宋_GBK" w:hAnsi="方正书宋_GBK" w:eastAsia="方正书宋_GBK" w:cs="方正书宋_GBK"/>
                <w:bCs/>
                <w:kern w:val="0"/>
                <w:sz w:val="18"/>
                <w:szCs w:val="18"/>
              </w:rPr>
              <w:t>载人电梯24小时正常运行</w:t>
            </w:r>
            <w:r>
              <w:rPr>
                <w:rFonts w:hint="eastAsia" w:ascii="方正书宋_GBK" w:hAnsi="方正书宋_GBK" w:eastAsia="方正书宋_GBK" w:cs="方正书宋_GBK"/>
                <w:kern w:val="0"/>
                <w:sz w:val="18"/>
                <w:szCs w:val="18"/>
              </w:rPr>
              <w:t>。轿厢内按钮、灯具等配件保持完好，轿厢整洁。</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委托专业维修保养单位进行定期保养，每年进行安全检测并持有有效的《安全使用许可证》，物业服务企业应有专人对电梯保养进行监督，并对电梯运行进行管理。</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电梯发生一般故障的，专业维修人员一小时内到达现场修理，发生电梯困人或其它重大事件时，物业服务人员接到信息后须在五分钟内到现场应急处理，专业技术人员须在半小时内到现场进行救助。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6.消防设施设备完好，可随时启用；消防通道畅通；消防安全防范巡查频次为每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7.设备房保持整洁、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和无鼠害现象。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9"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8.小区道路</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，交通标志：</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9.路灯、楼道灯完好率不低于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10.容易危及人身安全的设施设备有明显警示标志和防范措施，警示标志每   检查一次，保证标志清晰完整，设施运行正常；对可能发生的各种突发设备故障有应急方案。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right w:val="single" w:color="auto" w:sz="4" w:space="0"/>
            </w:tcBorders>
            <w:vAlign w:val="center"/>
          </w:tcPr>
          <w:p>
            <w:pPr>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(四)协助维护公共秩序</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人员要求：专职人员，身体健康，工作认真负责并定期接受培训，配备对讲装置和其他必备的安全护卫器械，能处理和应对物业内公共秩序维护工作，能正确使用各类消防、物防、技防器械和设备，能够熟悉、掌握各类刑事、治安案件和各类灾害事故的应急预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1.小区主出入口24小时值班看守，站岗执勤时间：</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，并有详细的交接班记录和外来车辆的登记记录 。</w:t>
            </w:r>
          </w:p>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对</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（时间段）有外来人员进入园区内，必须由外来人员联系业主，获得业主同意后放行。</w:t>
            </w:r>
          </w:p>
          <w:p>
            <w:pPr>
              <w:widowControl/>
              <w:rPr>
                <w:rFonts w:hint="eastAsia" w:ascii="方正书宋_GBK" w:hAnsi="方正书宋_GBK" w:eastAsia="方正书宋_GBK" w:cs="方正书宋_GBK"/>
                <w:bCs/>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2.对重点区域、重点部位每</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小时至少巡查</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bCs/>
                <w:kern w:val="0"/>
                <w:sz w:val="18"/>
                <w:szCs w:val="18"/>
              </w:rPr>
              <w:t>次，安全监控设施正常运转。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bCs/>
                <w:kern w:val="0"/>
                <w:sz w:val="18"/>
                <w:szCs w:val="18"/>
              </w:rPr>
              <w:t>3.车辆（含自行车、电动车）</w:t>
            </w:r>
            <w:r>
              <w:rPr>
                <w:rFonts w:hint="eastAsia" w:ascii="方正书宋_GBK" w:hAnsi="方正书宋_GBK" w:eastAsia="方正书宋_GBK" w:cs="方正书宋_GBK"/>
                <w:bCs/>
                <w:kern w:val="0"/>
                <w:sz w:val="18"/>
                <w:szCs w:val="18"/>
                <w:u w:val="single"/>
              </w:rPr>
              <w:t xml:space="preserve">          </w:t>
            </w:r>
            <w:r>
              <w:rPr>
                <w:rFonts w:hint="eastAsia" w:ascii="方正书宋_GBK" w:hAnsi="方正书宋_GBK" w:eastAsia="方正书宋_GBK" w:cs="方正书宋_GBK"/>
                <w:kern w:val="0"/>
                <w:sz w:val="18"/>
                <w:szCs w:val="18"/>
              </w:rPr>
              <w:t>，对小区内占道、占位停放机动车的行为进行提醒和劝阻。</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地面、墙面按车辆道路行驶要求设立指示牌和地标，车辆行驶有规定路线，车辆停放有序。</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有专职人员</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小时巡视和协助停车事宜。</w:t>
            </w:r>
          </w:p>
          <w:p>
            <w:pPr>
              <w:widowControl/>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kern w:val="0"/>
                <w:sz w:val="18"/>
                <w:szCs w:val="18"/>
              </w:rPr>
              <w:t>车辆停放有序，地面、墙面按车辆道路行驶要求设立指示牌和地标，照明、消防器械配置齐全，通风良好，无易燃、易爆及危险物品存放。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4.对进出小区的装修、家政等劳务人员实行临时出入证管理，</w:t>
            </w:r>
            <w:r>
              <w:rPr>
                <w:rFonts w:hint="eastAsia" w:ascii="方正书宋_GBK" w:hAnsi="方正书宋_GBK" w:eastAsia="方正书宋_GBK" w:cs="方正书宋_GBK"/>
                <w:kern w:val="0"/>
                <w:sz w:val="18"/>
                <w:szCs w:val="18"/>
              </w:rPr>
              <w:t>大型物件搬出小区实行记录。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Cs/>
                <w:kern w:val="0"/>
                <w:sz w:val="18"/>
                <w:szCs w:val="18"/>
              </w:rPr>
            </w:pPr>
            <w:r>
              <w:rPr>
                <w:rFonts w:hint="eastAsia" w:ascii="方正书宋_GBK" w:hAnsi="方正书宋_GBK" w:eastAsia="方正书宋_GBK" w:cs="方正书宋_GBK"/>
                <w:bCs/>
                <w:kern w:val="0"/>
                <w:sz w:val="18"/>
                <w:szCs w:val="18"/>
              </w:rPr>
              <w:t>5.协助有关行政主管部门做好房屋出租安全管理与流动人口居住登记、报告等相关工作。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6.提供车库（位）租用情况等信息、施工中提供相关图纸或指认电源位置及暗埋管理走向、配合现场勘察、施工，提供现场秩序维护等配合做好充电基础设施建设。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7.对火灾、治安、公共卫生等突发事件有应急预案，每年应组织不少于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次的应急预案演习。事发时及时报告社区（业主委员会）和有关部门，并协助采取相应措施。</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接到火警、警情后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分钟内到达现场，并报告业主委员会或相关单位，协助采取有关措施。</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在遇到异常情况或住户紧急求助时，</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分钟内赶到现场，采取相应措施。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8" w:hRule="atLeas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(五)保洁服务</w:t>
            </w:r>
          </w:p>
        </w:tc>
        <w:tc>
          <w:tcPr>
            <w:tcW w:w="8573"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1.小区内按</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设置垃圾桶，每天清运不少于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次，保持垃圾桶清洁、无异味，；已配置的公共区域</w:t>
            </w:r>
            <w:r>
              <w:rPr>
                <w:rFonts w:hint="eastAsia" w:ascii="方正书宋_GBK" w:hAnsi="方正书宋_GBK" w:eastAsia="方正书宋_GBK" w:cs="方正书宋_GBK"/>
                <w:bCs/>
                <w:kern w:val="0"/>
                <w:sz w:val="18"/>
                <w:szCs w:val="18"/>
              </w:rPr>
              <w:t>果壳箱或垃圾桶，</w:t>
            </w:r>
            <w:r>
              <w:rPr>
                <w:rFonts w:hint="eastAsia" w:ascii="方正书宋_GBK" w:hAnsi="方正书宋_GBK" w:eastAsia="方正书宋_GBK" w:cs="方正书宋_GBK"/>
                <w:kern w:val="0"/>
                <w:sz w:val="18"/>
                <w:szCs w:val="18"/>
              </w:rPr>
              <w:t>每天清运不少于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次，保持</w:t>
            </w:r>
            <w:r>
              <w:rPr>
                <w:rFonts w:hint="eastAsia" w:ascii="方正书宋_GBK" w:hAnsi="方正书宋_GBK" w:eastAsia="方正书宋_GBK" w:cs="方正书宋_GBK"/>
                <w:bCs/>
                <w:kern w:val="0"/>
                <w:sz w:val="18"/>
                <w:szCs w:val="18"/>
              </w:rPr>
              <w:t>果壳箱或垃圾桶</w:t>
            </w:r>
            <w:r>
              <w:rPr>
                <w:rFonts w:hint="eastAsia" w:ascii="方正书宋_GBK" w:hAnsi="方正书宋_GBK" w:eastAsia="方正书宋_GBK" w:cs="方正书宋_GBK"/>
                <w:kern w:val="0"/>
                <w:sz w:val="18"/>
                <w:szCs w:val="18"/>
              </w:rPr>
              <w:t>清洁、无异味；</w:t>
            </w:r>
          </w:p>
          <w:p>
            <w:pP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收集点周围地面无散落垃圾、无污迹、无异味；垃圾房每天冲洗不少于</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 xml:space="preserve"> 次；</w:t>
            </w:r>
          </w:p>
          <w:p>
            <w:pP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监督生活垃圾分类投放，对不符合分类投放要求的行为进行指导、劝告；将分类投放的生活垃圾分类运至指定集中收置点；将生活垃圾交由有相应资质的单位收集、运输；发现生活垃圾投放不符合分类要求的，应当要求投放人按要求进行分拣后再进行投放；投放人不按要求分拣的，应当拒绝其投放，并报告市容环卫主管部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829" w:type="dxa"/>
            <w:vMerge w:val="continue"/>
            <w:tcBorders>
              <w:left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2.小区内建筑装修垃圾应集中堆放，并联系有关部门及时清运。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3.小区公共场所每日清扫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次，并巡回保洁，做到无明显暴露垃圾、无卫生死角；高层电梯厅每天清扫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次，楼道</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天清扫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；共用部位玻璃每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次；路灯、楼道灯每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次。及时清除道路积水、积雪。</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近户门每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擦抹</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次；天花板每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除尘</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次；栏杆每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擦抹</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次；天台、屋顶每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清洁</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次；地下车库每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4.共用雨、污水管道每年疏通   次；雨、污水井每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检查</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次，并视检查情况及时清掏；化粪池每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检查</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清掏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次，发现异常及时清掏。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5.二次供水水箱按规定清洗，</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，水质符合卫生要求。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6.根据当地实际情况进行消毒和灭虫除害。每</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（时段）对</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消毒    次，每年灭虫</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restart"/>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(六)绿化养护管理</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1.公共区域内绿化养护。但业主单独所有或独占使用部位的绿化养护由相关业主自行承担。</w:t>
            </w:r>
          </w:p>
          <w:p>
            <w:pPr>
              <w:widowControl/>
              <w:rPr>
                <w:rFonts w:hint="eastAsia" w:ascii="方正书宋_GBK" w:hAnsi="方正书宋_GBK" w:eastAsia="方正书宋_GBK" w:cs="方正书宋_GBK"/>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2.草坪：</w:t>
            </w:r>
          </w:p>
          <w:p>
            <w:pPr>
              <w:widowControl/>
              <w:jc w:val="left"/>
              <w:rPr>
                <w:rFonts w:hint="eastAsia" w:ascii="方正书宋_GBK" w:hAnsi="方正书宋_GBK" w:eastAsia="方正书宋_GBK" w:cs="方正书宋_GBK"/>
                <w:kern w:val="0"/>
                <w:sz w:val="18"/>
                <w:szCs w:val="18"/>
                <w:u w:val="single"/>
              </w:rPr>
            </w:pPr>
            <w:r>
              <w:rPr>
                <w:rFonts w:hint="eastAsia" w:ascii="方正书宋_GBK" w:hAnsi="方正书宋_GBK" w:eastAsia="方正书宋_GBK" w:cs="方正书宋_GBK"/>
                <w:kern w:val="0"/>
                <w:sz w:val="18"/>
                <w:szCs w:val="18"/>
              </w:rPr>
              <w:t>修剪：</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清杂草：</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灌溉水：</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施肥：</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病虫害防治：</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其它</w:t>
            </w:r>
            <w:r>
              <w:rPr>
                <w:rFonts w:hint="eastAsia" w:ascii="方正书宋_GBK" w:hAnsi="方正书宋_GBK" w:eastAsia="方正书宋_GBK" w:cs="方正书宋_GBK"/>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3.树木：</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修剪：</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清杂草：</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灌溉水：</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施肥：</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病虫害防治：</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其它</w:t>
            </w:r>
            <w:r>
              <w:rPr>
                <w:rFonts w:hint="eastAsia" w:ascii="方正书宋_GBK" w:hAnsi="方正书宋_GBK" w:eastAsia="方正书宋_GBK" w:cs="方正书宋_GBK"/>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b/>
                <w:kern w:val="0"/>
                <w:sz w:val="18"/>
                <w:szCs w:val="18"/>
              </w:rPr>
            </w:pP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4.花坛花境：</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修剪：</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清杂草：</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灌溉水：</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施肥：</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病虫害防治：</w:t>
            </w:r>
            <w:r>
              <w:rPr>
                <w:rFonts w:hint="eastAsia" w:ascii="方正书宋_GBK" w:hAnsi="方正书宋_GBK" w:eastAsia="方正书宋_GBK" w:cs="方正书宋_GBK"/>
                <w:kern w:val="0"/>
                <w:sz w:val="18"/>
                <w:szCs w:val="18"/>
                <w:u w:val="single"/>
              </w:rPr>
              <w:t xml:space="preserve">                                                  </w:t>
            </w:r>
          </w:p>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其它</w:t>
            </w:r>
            <w:r>
              <w:rPr>
                <w:rFonts w:hint="eastAsia" w:ascii="方正书宋_GBK" w:hAnsi="方正书宋_GBK" w:eastAsia="方正书宋_GBK" w:cs="方正书宋_GBK"/>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829"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b/>
                <w:kern w:val="0"/>
                <w:sz w:val="18"/>
                <w:szCs w:val="18"/>
              </w:rPr>
            </w:pPr>
            <w:r>
              <w:rPr>
                <w:rFonts w:hint="eastAsia" w:ascii="方正书宋_GBK" w:hAnsi="方正书宋_GBK" w:eastAsia="方正书宋_GBK" w:cs="方正书宋_GBK"/>
                <w:b/>
                <w:kern w:val="0"/>
                <w:sz w:val="18"/>
                <w:szCs w:val="18"/>
              </w:rPr>
              <w:t>说明</w:t>
            </w:r>
          </w:p>
        </w:tc>
        <w:tc>
          <w:tcPr>
            <w:tcW w:w="857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关于房屋安全、房屋出租、流动人员管理、充电基础设施建设和垃圾处理等所产生的管理服务费用，可以按照物价部门的相关规定，由甲乙双方协商确定。</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方正书宋_GBK" w:hAnsi="方正书宋_GBK" w:eastAsia="方正书宋_GBK" w:cs="方正书宋_GBK"/>
          <w:b/>
          <w:kern w:val="0"/>
          <w:sz w:val="18"/>
          <w:szCs w:val="18"/>
        </w:rPr>
      </w:pPr>
    </w:p>
    <w:p>
      <w:pPr>
        <w:widowControl/>
        <w:jc w:val="left"/>
        <w:rPr>
          <w:rFonts w:ascii="宋体" w:hAnsi="宋体"/>
          <w:b/>
          <w:kern w:val="0"/>
          <w:sz w:val="32"/>
          <w:szCs w:val="32"/>
        </w:rPr>
      </w:pPr>
      <w:r>
        <w:rPr>
          <w:rFonts w:ascii="宋体" w:hAnsi="宋体"/>
          <w:b/>
          <w:kern w:val="0"/>
          <w:sz w:val="32"/>
          <w:szCs w:val="32"/>
        </w:rPr>
        <w:br w:type="page"/>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附件四：</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kern w:val="0"/>
          <w:sz w:val="22"/>
          <w:szCs w:val="22"/>
        </w:rPr>
      </w:pPr>
      <w:r>
        <w:rPr>
          <w:rFonts w:hint="eastAsia" w:ascii="方正书宋_GBK" w:hAnsi="方正书宋_GBK" w:eastAsia="方正书宋_GBK" w:cs="方正书宋_GBK"/>
          <w:b/>
          <w:kern w:val="0"/>
          <w:sz w:val="22"/>
          <w:szCs w:val="22"/>
        </w:rPr>
        <w:t>公共能耗费分摊办法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一、为使各位业主/物业使用人合理分摊本区域的公共能耗费用，制定本办法。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二、本办法所指的公共能耗包括共用电梯、增压水泵、水系景观、中央空调等高能耗设施设备运行所需的水、电、气（油）等能耗费用。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三、公共能耗费按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比例进行分摊。</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四、公共能耗费按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方式计算。</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五、公共能耗费按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收取。</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六、采取预交公共能耗费的，业主/物业使用人预交的公共能耗费不足的，应及时予以补足；若有结余的，将结转入下一周期的公共能耗费用。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七、业主与使用人约定由物业使用人交纳公共能耗分摊费的，从其约定，业主负连带交纳责任。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八、业主转让物业时，须交清转让之前的公共能耗费。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kern w:val="0"/>
          <w:sz w:val="22"/>
          <w:szCs w:val="22"/>
        </w:rPr>
      </w:pPr>
      <w:r>
        <w:rPr>
          <w:rFonts w:hint="eastAsia" w:ascii="方正书宋_GBK" w:hAnsi="方正书宋_GBK" w:eastAsia="方正书宋_GBK" w:cs="方正书宋_GBK"/>
          <w:sz w:val="22"/>
          <w:szCs w:val="22"/>
        </w:rPr>
        <w:t>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kern w:val="0"/>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b/>
          <w:kern w:val="0"/>
          <w:sz w:val="22"/>
          <w:szCs w:val="22"/>
        </w:rPr>
      </w:pPr>
      <w:r>
        <w:rPr>
          <w:rFonts w:hint="eastAsia" w:ascii="方正书宋_GBK" w:hAnsi="方正书宋_GBK" w:eastAsia="方正书宋_GBK" w:cs="方正书宋_GBK"/>
          <w:b/>
          <w:kern w:val="0"/>
          <w:sz w:val="22"/>
          <w:szCs w:val="22"/>
        </w:rPr>
        <w:br w:type="page"/>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kern w:val="0"/>
          <w:sz w:val="22"/>
          <w:szCs w:val="22"/>
        </w:rPr>
        <w:t>业主承诺书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u w:val="single"/>
        </w:rPr>
        <w:t xml:space="preserve">（物业公司名称） </w:t>
      </w:r>
      <w:r>
        <w:rPr>
          <w:rFonts w:hint="eastAsia" w:ascii="方正书宋_GBK" w:hAnsi="方正书宋_GBK" w:eastAsia="方正书宋_GBK" w:cs="方正书宋_GBK"/>
          <w:b/>
          <w:sz w:val="22"/>
          <w:szCs w:val="2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本人已阅读并知悉建设单位与贵司签订的《前期物业服务合同》的内容，承诺自接受物业交付之日起，接受该合同的约束，全面履行合同约定的业主方的义务。</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                            承诺人：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ind w:firstLine="700"/>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 xml:space="preserve">                                年  月   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br w:type="page"/>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 xml:space="preserve">附件六：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物业承接查验协议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7" w:firstLineChars="200"/>
        <w:textAlignment w:val="auto"/>
        <w:rPr>
          <w:rFonts w:hint="eastAsia" w:ascii="方正书宋_GBK" w:hAnsi="方正书宋_GBK" w:eastAsia="方正书宋_GBK" w:cs="方正书宋_GBK"/>
          <w:b/>
          <w:spacing w:val="-6"/>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7" w:firstLineChars="200"/>
        <w:textAlignment w:val="auto"/>
        <w:rPr>
          <w:rFonts w:hint="eastAsia" w:ascii="方正书宋_GBK" w:hAnsi="方正书宋_GBK" w:eastAsia="方正书宋_GBK" w:cs="方正书宋_GBK"/>
          <w:b/>
          <w:spacing w:val="-6"/>
          <w:kern w:val="0"/>
          <w:sz w:val="22"/>
          <w:szCs w:val="22"/>
        </w:rPr>
      </w:pPr>
      <w:r>
        <w:rPr>
          <w:rFonts w:hint="eastAsia" w:ascii="方正书宋_GBK" w:hAnsi="方正书宋_GBK" w:eastAsia="方正书宋_GBK" w:cs="方正书宋_GBK"/>
          <w:b/>
          <w:spacing w:val="-6"/>
          <w:kern w:val="0"/>
          <w:sz w:val="22"/>
          <w:szCs w:val="22"/>
        </w:rPr>
        <w:t>物业承接查验协议应当包括以下内容：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一、物业基本情况</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二、承接查验内容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三、承接查验标准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四、承接查验时间、方法、程序及交接工作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五、资料移交问题以及不合格项目的解决方法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六、双方的权利义务</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七、违约责任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420" w:lineRule="exact"/>
        <w:ind w:right="105" w:rightChars="50" w:firstLine="416" w:firstLineChars="200"/>
        <w:textAlignment w:val="auto"/>
        <w:rPr>
          <w:rFonts w:hint="eastAsia" w:ascii="方正书宋_GBK" w:hAnsi="方正书宋_GBK" w:eastAsia="方正书宋_GBK" w:cs="方正书宋_GBK"/>
          <w:spacing w:val="-6"/>
          <w:kern w:val="0"/>
          <w:sz w:val="22"/>
          <w:szCs w:val="22"/>
        </w:rPr>
      </w:pPr>
      <w:r>
        <w:rPr>
          <w:rFonts w:hint="eastAsia" w:ascii="方正书宋_GBK" w:hAnsi="方正书宋_GBK" w:eastAsia="方正书宋_GBK" w:cs="方正书宋_GBK"/>
          <w:spacing w:val="-6"/>
          <w:kern w:val="0"/>
          <w:sz w:val="22"/>
          <w:szCs w:val="22"/>
        </w:rPr>
        <w:t>八、保修条款</w:t>
      </w: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黑体_GBK" w:hAnsi="方正黑体_GBK" w:eastAsia="方正黑体_GBK" w:cs="方正黑体_GBK"/>
          <w:b w:val="0"/>
          <w:bCs/>
          <w:kern w:val="0"/>
          <w:sz w:val="22"/>
          <w:szCs w:val="22"/>
        </w:rPr>
      </w:pPr>
      <w:r>
        <w:rPr>
          <w:rFonts w:hint="eastAsia" w:ascii="方正书宋_GBK" w:hAnsi="方正书宋_GBK" w:eastAsia="方正书宋_GBK" w:cs="方正书宋_GBK"/>
          <w:sz w:val="22"/>
          <w:szCs w:val="22"/>
          <w:shd w:val="clear" w:color="auto" w:fill="FFFFFF"/>
        </w:rPr>
        <w:br w:type="page"/>
      </w:r>
      <w:r>
        <w:rPr>
          <w:rFonts w:hint="eastAsia" w:ascii="方正书宋_GBK" w:hAnsi="方正书宋_GBK" w:eastAsia="方正书宋_GBK" w:cs="方正书宋_GBK"/>
          <w:sz w:val="22"/>
          <w:szCs w:val="22"/>
          <w:shd w:val="clear" w:color="auto" w:fill="FFFFFF"/>
          <w:lang w:val="en-US" w:eastAsia="zh-CN"/>
        </w:rPr>
        <w:t xml:space="preserve">  </w:t>
      </w:r>
      <w:r>
        <w:rPr>
          <w:rFonts w:hint="eastAsia" w:ascii="方正黑体_GBK" w:hAnsi="方正黑体_GBK" w:eastAsia="方正黑体_GBK" w:cs="方正黑体_GBK"/>
          <w:b w:val="0"/>
          <w:bCs/>
          <w:kern w:val="0"/>
          <w:sz w:val="22"/>
          <w:szCs w:val="22"/>
        </w:rPr>
        <w:t>附件七：</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移交给物业服务企业的资料清单</w:t>
      </w:r>
    </w:p>
    <w:tbl>
      <w:tblPr>
        <w:tblStyle w:val="10"/>
        <w:tblW w:w="8643" w:type="dxa"/>
        <w:jc w:val="center"/>
        <w:tblLayout w:type="fixed"/>
        <w:tblCellMar>
          <w:top w:w="0" w:type="dxa"/>
          <w:left w:w="108" w:type="dxa"/>
          <w:bottom w:w="0" w:type="dxa"/>
          <w:right w:w="108" w:type="dxa"/>
        </w:tblCellMar>
      </w:tblPr>
      <w:tblGrid>
        <w:gridCol w:w="996"/>
        <w:gridCol w:w="7647"/>
      </w:tblGrid>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kern w:val="0"/>
                <w:szCs w:val="21"/>
              </w:rPr>
            </w:pPr>
            <w:r>
              <w:rPr>
                <w:rFonts w:hint="eastAsia" w:ascii="宋体" w:hAnsi="宋体" w:cs="宋体"/>
                <w:b/>
                <w:kern w:val="0"/>
                <w:szCs w:val="21"/>
              </w:rPr>
              <w:t>序 号</w:t>
            </w:r>
          </w:p>
        </w:tc>
        <w:tc>
          <w:tcPr>
            <w:tcW w:w="7647" w:type="dxa"/>
            <w:tcBorders>
              <w:top w:val="single" w:color="auto" w:sz="4" w:space="0"/>
              <w:left w:val="single" w:color="auto" w:sz="4" w:space="0"/>
              <w:bottom w:val="single" w:color="auto" w:sz="4" w:space="0"/>
              <w:right w:val="single" w:color="auto" w:sz="4" w:space="0"/>
            </w:tcBorders>
            <w:vAlign w:val="center"/>
          </w:tcPr>
          <w:p>
            <w:pPr>
              <w:ind w:firstLine="421" w:firstLineChars="200"/>
              <w:jc w:val="center"/>
              <w:rPr>
                <w:rFonts w:ascii="宋体" w:hAnsi="宋体" w:cs="宋体"/>
                <w:b/>
                <w:kern w:val="0"/>
                <w:szCs w:val="21"/>
              </w:rPr>
            </w:pPr>
            <w:r>
              <w:rPr>
                <w:rFonts w:hint="eastAsia" w:ascii="宋体" w:hAnsi="宋体" w:cs="宋体"/>
                <w:b/>
                <w:kern w:val="0"/>
                <w:szCs w:val="21"/>
              </w:rPr>
              <w:t>移交资料名称</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ascii="宋体" w:hAnsi="宋体" w:cs="宋体"/>
                <w:b/>
                <w:kern w:val="0"/>
                <w:szCs w:val="21"/>
              </w:rPr>
            </w:pPr>
            <w:r>
              <w:rPr>
                <w:rFonts w:hint="eastAsia" w:ascii="宋体" w:hAnsi="宋体" w:cs="宋体"/>
                <w:b/>
                <w:kern w:val="0"/>
                <w:szCs w:val="21"/>
              </w:rPr>
              <w:t>一、项目产权资料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项目批准文件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用地批准文件、用地红线图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建筑规划许可证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建筑开工许可证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建设工程规划验收合格证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建筑工程竣工验收质量认定书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建筑设计防火审核意见书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建筑工程竣工消防审核意见书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回迁安置资料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总平面布置竣工图（原件）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测绘面积和房号确认清单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商铺面积、图纸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车位（库）面积/数量、图纸</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物管用房、物业经营用房和社区用房的位置、面积确认单（附图）</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标准地名牌使用证</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ascii="宋体" w:hAnsi="宋体" w:cs="宋体"/>
                <w:b/>
                <w:kern w:val="0"/>
                <w:szCs w:val="21"/>
                <w:shd w:val="pct10" w:color="auto" w:fill="FFFFFF"/>
              </w:rPr>
            </w:pPr>
            <w:r>
              <w:rPr>
                <w:rFonts w:hint="eastAsia" w:ascii="宋体" w:hAnsi="宋体" w:cs="宋体"/>
                <w:b/>
                <w:kern w:val="0"/>
                <w:szCs w:val="21"/>
              </w:rPr>
              <w:t>二、项目施工资料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开、竣工报告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隐蔽工程验收记录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地质勘探报告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图纸会审纪要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设计变更通知单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工程技术核定及质量事故处理单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工程合同及工程预决算报告书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施工会议纪要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沉降观测记录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钢材水泥等主要材料质保单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新材料、构配件的鉴定合格单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砂浆、混凝土试压报告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消防管道冲洗、试压及闭水试验检验记录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29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给排水管道水压及闭水试验记录、给水管道的冲洗及消毒记录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灌水、通球试验等与物业管理有关的原始记录</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840"/>
              <w:rPr>
                <w:rFonts w:ascii="宋体" w:hAnsi="宋体" w:cs="宋体"/>
                <w:b/>
                <w:kern w:val="0"/>
                <w:szCs w:val="21"/>
              </w:rPr>
            </w:pPr>
            <w:r>
              <w:rPr>
                <w:rFonts w:hint="eastAsia" w:ascii="宋体" w:hAnsi="宋体" w:cs="宋体"/>
                <w:b/>
                <w:kern w:val="0"/>
                <w:szCs w:val="21"/>
              </w:rPr>
              <w:t>三、项目建筑竣工资料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建筑设计竣工图（原件）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结构设计竣工图（原件）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电气设计竣工图（原件）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暖通设计竣工图（原件）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39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中央空调设计竣工图（原件）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地下管线综合布置竣工图（原件）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其他项目竣工图（绿化、景观、二次装修等）（原件）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排污许可证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防雷测试报告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供水合同、生活用水水质检验报告</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供气协议书、许可证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有线电视合格证、通讯设施合格证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环卫、交警、人防、技防等部门验收合格证</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49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宽频介入协议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有线电视及电话协议</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通邮申报表</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nil"/>
              <w:right w:val="single" w:color="auto" w:sz="4" w:space="0"/>
            </w:tcBorders>
            <w:vAlign w:val="center"/>
          </w:tcPr>
          <w:p>
            <w:pPr>
              <w:widowControl/>
              <w:ind w:left="840"/>
              <w:rPr>
                <w:rFonts w:ascii="宋体" w:hAnsi="宋体" w:cs="宋体"/>
                <w:b/>
                <w:kern w:val="0"/>
                <w:szCs w:val="21"/>
              </w:rPr>
            </w:pPr>
            <w:r>
              <w:rPr>
                <w:rFonts w:hint="eastAsia" w:ascii="宋体" w:hAnsi="宋体" w:cs="宋体"/>
                <w:b/>
                <w:kern w:val="0"/>
                <w:szCs w:val="21"/>
              </w:rPr>
              <w:t>四、机电设备资料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机电设备清单（台帐）</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机电设备保修起止日期、负责人电话一览表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电梯/扶梯设备参数（型号、数量、额定载重、额定速度、乘客数、行程、层站数、轿厢及对重的质量、机器编号等）（原件）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电梯/扶梯随机资料（安装使用说明书、维护保养手册、电梯机房井道布置图、产品合格证、随机配件清单、主要配件资料等）（原件）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59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电梯/扶梯设备检验记录（原件）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电梯/扶梯检验合格证（原件）、限速器检验合格证（原件）、《特种设备使用登记表》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消防编码地址对照表、联动逻辑关系表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消防设备、系统调试运行检验记录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设备产品合格证、使用维护说明书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机房布置图、报警地址编码表</w:t>
            </w:r>
          </w:p>
        </w:tc>
      </w:tr>
      <w:tr>
        <w:tblPrEx>
          <w:tblCellMar>
            <w:top w:w="0" w:type="dxa"/>
            <w:left w:w="108" w:type="dxa"/>
            <w:bottom w:w="0" w:type="dxa"/>
            <w:right w:w="108" w:type="dxa"/>
          </w:tblCellMar>
        </w:tblPrEx>
        <w:trPr>
          <w:trHeight w:val="34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监控设备、系统调试资料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69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风机出厂合格证及随机资料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风机设备、系统调试资料</w:t>
            </w:r>
          </w:p>
        </w:tc>
      </w:tr>
      <w:tr>
        <w:tblPrEx>
          <w:tblCellMar>
            <w:top w:w="0" w:type="dxa"/>
            <w:left w:w="108" w:type="dxa"/>
            <w:bottom w:w="0" w:type="dxa"/>
            <w:right w:w="108" w:type="dxa"/>
          </w:tblCellMar>
        </w:tblPrEx>
        <w:trPr>
          <w:trHeight w:val="204"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高低压配电柜、变压器、直流控制屏等设备参数（型号、数量、重量、额定电压、电流、频率等）（原件）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高低压配电柜、变压器、直流控制屏、发电机等设备随机资料（安装使用说明书、技术图纸、机房布置图、产品合格证、安装配件清单等）（原件）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供电系统主要配件资料（生产单位、技术参数、说明书、产品合格证等）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配电箱、电缆、插接母线、电表等资料（生产单位、技术参数、说明书、检测报告、产品合格证等）（原件）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供电系统试运行检验记录（原件）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灯具、末端用电器具清单及相关资料（生产单位、技术参数、</w:t>
            </w:r>
          </w:p>
          <w:p>
            <w:pPr>
              <w:widowControl/>
              <w:jc w:val="left"/>
              <w:rPr>
                <w:rFonts w:ascii="宋体" w:hAnsi="宋体" w:cs="宋体"/>
                <w:kern w:val="0"/>
                <w:szCs w:val="21"/>
              </w:rPr>
            </w:pPr>
            <w:r>
              <w:rPr>
                <w:rFonts w:hint="eastAsia" w:ascii="宋体" w:hAnsi="宋体" w:cs="宋体"/>
                <w:kern w:val="0"/>
                <w:szCs w:val="21"/>
              </w:rPr>
              <w:t>说明书、产品合格证等）（原件）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79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配套装置、仪表、电度表资料（检验记录、测试报告、原始</w:t>
            </w:r>
          </w:p>
          <w:p>
            <w:pPr>
              <w:widowControl/>
              <w:jc w:val="left"/>
              <w:rPr>
                <w:rFonts w:ascii="宋体" w:hAnsi="宋体" w:cs="宋体"/>
                <w:kern w:val="0"/>
                <w:szCs w:val="21"/>
              </w:rPr>
            </w:pPr>
            <w:r>
              <w:rPr>
                <w:rFonts w:hint="eastAsia" w:ascii="宋体" w:hAnsi="宋体" w:cs="宋体"/>
                <w:kern w:val="0"/>
                <w:szCs w:val="21"/>
              </w:rPr>
              <w:t>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各类水泵的配套设备参数（型号、额定电压、扬程、编号等）（原件）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给排水设备随机资料（安装使用说明书、维护保养手册、</w:t>
            </w:r>
          </w:p>
          <w:p>
            <w:pPr>
              <w:widowControl/>
              <w:jc w:val="left"/>
              <w:rPr>
                <w:rFonts w:ascii="宋体" w:hAnsi="宋体" w:cs="宋体"/>
                <w:kern w:val="0"/>
                <w:szCs w:val="21"/>
              </w:rPr>
            </w:pPr>
            <w:r>
              <w:rPr>
                <w:rFonts w:hint="eastAsia" w:ascii="宋体" w:hAnsi="宋体" w:cs="宋体"/>
                <w:kern w:val="0"/>
                <w:szCs w:val="21"/>
              </w:rPr>
              <w:t>机房布置图、产品合格证、随机配件清单、主要配件资料等）（原件）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给排水设备运行检验记录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给排水配套装置、仪表、水表资料（检验记录、测试报告、</w:t>
            </w:r>
          </w:p>
          <w:p>
            <w:pPr>
              <w:widowControl/>
              <w:jc w:val="left"/>
              <w:rPr>
                <w:rFonts w:ascii="宋体" w:hAnsi="宋体" w:cs="宋体"/>
                <w:kern w:val="0"/>
                <w:szCs w:val="21"/>
              </w:rPr>
            </w:pPr>
            <w:r>
              <w:rPr>
                <w:rFonts w:hint="eastAsia" w:ascii="宋体" w:hAnsi="宋体" w:cs="宋体"/>
                <w:kern w:val="0"/>
                <w:szCs w:val="21"/>
              </w:rPr>
              <w:t>原始数据记录等）</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水、暖、卫生器具检验合格证书及相关资料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车辆管理设备使用说明书、安装、调试资料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89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弱电系统设备参数（系统、型号、规格、数量）（原件）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弱电系统设备调试运行检验记录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监控设备出厂合格证、使用说明书及调试资料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可视对讲设备出厂合格证、使用维护说明书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立体机械车库随机资料（安装使用说明书、维护保养手册、产品合格证、随机配件清单、主要配件资料、主要受力构件的对接焊缝探伤检测报告、钢丝绳质保资料等）（原件）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99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立体机械车库检验记录（原件）</w:t>
            </w:r>
          </w:p>
        </w:tc>
      </w:tr>
      <w:tr>
        <w:tblPrEx>
          <w:tblCellMar>
            <w:top w:w="0" w:type="dxa"/>
            <w:left w:w="108" w:type="dxa"/>
            <w:bottom w:w="0" w:type="dxa"/>
            <w:right w:w="108" w:type="dxa"/>
          </w:tblCellMar>
        </w:tblPrEx>
        <w:trPr>
          <w:trHeight w:val="278"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立体机械车库检验合格证（原件）、《特种设备使用登记表》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擦窗机随机资料（安装使用说明书、维护保养手册、检验产品合格证、随机配件清单、主要配件资料、易损件明细表或图册、固定设施及连接和支撑工程图；随机工具及备件清单等）（原件）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擦窗机安装验收资料（原件）：擦窗机试验记录表、绝缘试验记录表、静置滑移试验记录表、噪声测试记录表</w:t>
            </w:r>
          </w:p>
          <w:p>
            <w:pPr>
              <w:widowControl/>
              <w:jc w:val="left"/>
              <w:rPr>
                <w:rFonts w:ascii="宋体" w:hAnsi="宋体" w:cs="宋体"/>
                <w:kern w:val="0"/>
                <w:szCs w:val="21"/>
              </w:rPr>
            </w:pPr>
            <w:r>
              <w:rPr>
                <w:rFonts w:hint="eastAsia" w:ascii="宋体" w:hAnsi="宋体" w:cs="宋体"/>
                <w:kern w:val="0"/>
                <w:szCs w:val="21"/>
              </w:rPr>
              <w:t>安全装置检验记录表、电动机功率测试记录表、抗倾覆式试验记录表、结构应力测试记录表、可靠性试验记录表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通风空调系统设备随机资料（安装使用说明书、维护保养手册、检验产品合格证、随机配件清单、主要配件资料等）（原件）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109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通风空调系统分部调试记录（原件）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锅炉随机资料（安装使用说明书、维护保养手册、检验产品合格证、随机配件清单、主要配件资料等）（原件）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锅炉水压试验、烘炉、煮炉、安全阀调试记录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锅炉及辅助设备单机调试和冷态试运行记录；72小时热态试运行记录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人防系统设备购买安装合同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人防系统设备制造、安装单位、维护单位资料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人防系统设备随机资料（安装使用说明书、维护保养手册、产品合格证、随机配件清单、主要配件资料等）（原件）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人防系统设备安装调试记录（原件）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119</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人防系统验收合格证（原件）</w:t>
            </w:r>
          </w:p>
        </w:tc>
      </w:tr>
      <w:tr>
        <w:tblPrEx>
          <w:tblCellMar>
            <w:top w:w="0" w:type="dxa"/>
            <w:left w:w="108" w:type="dxa"/>
            <w:bottom w:w="0" w:type="dxa"/>
            <w:right w:w="108" w:type="dxa"/>
          </w:tblCellMar>
        </w:tblPrEx>
        <w:trPr>
          <w:trHeight w:val="340" w:hRule="atLeast"/>
          <w:jc w:val="center"/>
        </w:trPr>
        <w:tc>
          <w:tcPr>
            <w:tcW w:w="8643" w:type="dxa"/>
            <w:gridSpan w:val="2"/>
            <w:tcBorders>
              <w:top w:val="single" w:color="auto" w:sz="4" w:space="0"/>
              <w:left w:val="single" w:color="auto" w:sz="4" w:space="0"/>
              <w:bottom w:val="single" w:color="auto" w:sz="4" w:space="0"/>
              <w:right w:val="single" w:color="auto" w:sz="4" w:space="0"/>
            </w:tcBorders>
            <w:vAlign w:val="center"/>
          </w:tcPr>
          <w:p>
            <w:pPr>
              <w:widowControl/>
              <w:ind w:left="420" w:leftChars="200" w:firstLine="527" w:firstLineChars="250"/>
              <w:rPr>
                <w:rFonts w:ascii="宋体" w:hAnsi="宋体" w:cs="宋体"/>
                <w:b/>
                <w:kern w:val="0"/>
                <w:szCs w:val="21"/>
                <w:shd w:val="pct10" w:color="auto" w:fill="FFFFFF"/>
              </w:rPr>
            </w:pPr>
            <w:r>
              <w:rPr>
                <w:rFonts w:hint="eastAsia" w:ascii="宋体" w:hAnsi="宋体" w:cs="宋体"/>
                <w:b/>
                <w:kern w:val="0"/>
                <w:szCs w:val="21"/>
              </w:rPr>
              <w:t>五、物业管理资料</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120</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房屋交付通知书及寄发公证书（要求开发商一式两份，留存原件）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121</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业主购房合同、车位使用权转让协议、身份证复印件</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122</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前期物业服务协议（物业服务合同）</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123</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临时管理规约（管理规约）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124</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住宅使用说明书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125</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住宅质量保证书</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126</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业主姓名、房号、面积、联系电话一览表</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127</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物业专项维修资金缴交确认单</w:t>
            </w:r>
          </w:p>
        </w:tc>
      </w:tr>
      <w:tr>
        <w:tblPrEx>
          <w:tblCellMar>
            <w:top w:w="0" w:type="dxa"/>
            <w:left w:w="108" w:type="dxa"/>
            <w:bottom w:w="0" w:type="dxa"/>
            <w:right w:w="108" w:type="dxa"/>
          </w:tblCellMar>
        </w:tblPrEx>
        <w:trPr>
          <w:trHeight w:val="340" w:hRule="atLeast"/>
          <w:jc w:val="center"/>
        </w:trPr>
        <w:tc>
          <w:tcPr>
            <w:tcW w:w="99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128</w:t>
            </w:r>
          </w:p>
        </w:tc>
        <w:tc>
          <w:tcPr>
            <w:tcW w:w="7647"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水、电表与房号对应表</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b/>
          <w:kern w:val="0"/>
          <w:szCs w:val="21"/>
        </w:rPr>
      </w:pPr>
    </w:p>
    <w:p>
      <w:pPr>
        <w:widowControl/>
        <w:jc w:val="left"/>
        <w:rPr>
          <w:rFonts w:ascii="宋体" w:hAnsi="宋体"/>
          <w:b/>
          <w:kern w:val="0"/>
          <w:szCs w:val="21"/>
        </w:rPr>
      </w:pPr>
      <w:r>
        <w:rPr>
          <w:rFonts w:ascii="宋体" w:hAnsi="宋体"/>
          <w:b/>
          <w:kern w:val="0"/>
          <w:szCs w:val="21"/>
        </w:rPr>
        <w:br w:type="page"/>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wordWrap/>
        <w:overflowPunct/>
        <w:topLinePunct w:val="0"/>
        <w:autoSpaceDE/>
        <w:autoSpaceDN/>
        <w:bidi w:val="0"/>
        <w:adjustRightInd/>
        <w:snapToGrid w:val="0"/>
        <w:spacing w:line="420" w:lineRule="exact"/>
        <w:ind w:firstLine="6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附件八：</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前期物业管理招标文件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kinsoku/>
        <w:wordWrap/>
        <w:overflowPunct/>
        <w:topLinePunct w:val="0"/>
        <w:autoSpaceDE/>
        <w:autoSpaceDN/>
        <w:bidi w:val="0"/>
        <w:adjustRightInd/>
        <w:snapToGrid w:val="0"/>
        <w:spacing w:line="420" w:lineRule="exact"/>
        <w:ind w:firstLine="600"/>
        <w:textAlignment w:val="auto"/>
        <w:rPr>
          <w:rFonts w:hint="eastAsia" w:ascii="方正黑体_GBK" w:hAnsi="方正黑体_GBK" w:eastAsia="方正黑体_GBK" w:cs="方正黑体_GBK"/>
          <w:b w:val="0"/>
          <w:bCs/>
          <w:kern w:val="0"/>
          <w:sz w:val="22"/>
          <w:szCs w:val="22"/>
        </w:rPr>
      </w:pPr>
      <w:r>
        <w:rPr>
          <w:rFonts w:hint="eastAsia" w:ascii="方正黑体_GBK" w:hAnsi="方正黑体_GBK" w:eastAsia="方正黑体_GBK" w:cs="方正黑体_GBK"/>
          <w:b w:val="0"/>
          <w:bCs/>
          <w:kern w:val="0"/>
          <w:sz w:val="22"/>
          <w:szCs w:val="22"/>
        </w:rPr>
        <w:t>附件九：</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center"/>
        <w:textAlignment w:val="auto"/>
        <w:rPr>
          <w:rFonts w:hint="eastAsia" w:ascii="方正书宋_GBK" w:hAnsi="方正书宋_GBK" w:eastAsia="方正书宋_GBK" w:cs="方正书宋_GBK"/>
          <w:b w:val="0"/>
          <w:bCs/>
          <w:kern w:val="0"/>
          <w:sz w:val="22"/>
          <w:szCs w:val="22"/>
        </w:rPr>
      </w:pPr>
      <w:r>
        <w:rPr>
          <w:rFonts w:hint="eastAsia" w:ascii="方正书宋_GBK" w:hAnsi="方正书宋_GBK" w:eastAsia="方正书宋_GBK" w:cs="方正书宋_GBK"/>
          <w:b w:val="0"/>
          <w:bCs/>
          <w:kern w:val="0"/>
          <w:sz w:val="22"/>
          <w:szCs w:val="22"/>
        </w:rPr>
        <w:t>前期物业管理投标书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jc w:val="left"/>
        <w:textAlignment w:val="auto"/>
        <w:rPr>
          <w:rFonts w:hint="eastAsia" w:ascii="方正书宋_GBK" w:hAnsi="方正书宋_GBK" w:eastAsia="方正书宋_GBK" w:cs="方正书宋_GBK"/>
          <w:b w:val="0"/>
          <w:bCs/>
          <w:kern w:val="0"/>
          <w:sz w:val="22"/>
          <w:szCs w:val="2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val="0"/>
        <w:spacing w:line="420" w:lineRule="exact"/>
        <w:textAlignment w:val="auto"/>
        <w:rPr>
          <w:rFonts w:hint="eastAsia" w:ascii="方正书宋_GBK" w:hAnsi="方正书宋_GBK" w:eastAsia="方正书宋_GBK" w:cs="方正书宋_GBK"/>
          <w:b w:val="0"/>
          <w:bCs/>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b w:val="0"/>
          <w:bCs/>
          <w:sz w:val="22"/>
          <w:szCs w:val="22"/>
        </w:rPr>
      </w:pPr>
    </w:p>
    <w:sectPr>
      <w:footerReference r:id="rId6" w:type="default"/>
      <w:pgSz w:w="11906" w:h="16838"/>
      <w:pgMar w:top="1440" w:right="1797" w:bottom="1440" w:left="1797" w:header="851" w:footer="992" w:gutter="0"/>
      <w:pgNumType w:fmt="decimal"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Verdana">
    <w:altName w:val="DejaVu Sans"/>
    <w:panose1 w:val="020B0604030504040204"/>
    <w:charset w:val="00"/>
    <w:family w:val="swiss"/>
    <w:pitch w:val="default"/>
    <w:sig w:usb0="00000000" w:usb1="00000000" w:usb2="00000010"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swiss"/>
    <w:pitch w:val="default"/>
    <w:sig w:usb0="00000000" w:usb1="00000000" w:usb2="00000029" w:usb3="00000000" w:csb0="000101F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776566562"/>
                          </w:sdtPr>
                          <w:sdtEndPr>
                            <w:rPr>
                              <w:sz w:val="24"/>
                              <w:szCs w:val="24"/>
                            </w:rPr>
                          </w:sdtEndPr>
                          <w:sdtContent>
                            <w:p>
                              <w:pPr>
                                <w:pStyle w:val="5"/>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30</w:t>
                              </w:r>
                              <w:r>
                                <w:rPr>
                                  <w:sz w:val="24"/>
                                  <w:szCs w:val="24"/>
                                </w:rPr>
                                <w:fldChar w:fldCharType="end"/>
                              </w:r>
                            </w:p>
                          </w:sdtContent>
                        </w:sdt>
                        <w:p>
                          <w:pPr>
                            <w:rPr>
                              <w:sz w:val="24"/>
                              <w:szCs w:val="24"/>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LNJWO7QAAAABQEAAA8AAAAAAAAAAQAgAAAAOAAAAGRycy9kb3ducmV2LnhtbFBLAQIU&#10;ABQAAAAIAIdO4kAHFBrmyQIAAOwFAAAOAAAAAAAAAAEAIAAAADUBAABkcnMvZTJvRG9jLnhtbFBL&#10;BQYAAAAABgAGAFkBAABwBgAAAAA=&#10;">
              <v:fill on="f" focussize="0,0"/>
              <v:stroke on="f" weight="0.5pt"/>
              <v:imagedata o:title=""/>
              <o:lock v:ext="edit" aspectratio="f"/>
              <v:textbox inset="0mm,0mm,0mm,0mm" style="mso-fit-shape-to-text:t;">
                <w:txbxContent>
                  <w:sdt>
                    <w:sdtPr>
                      <w:id w:val="-776566562"/>
                    </w:sdtPr>
                    <w:sdtEndPr>
                      <w:rPr>
                        <w:sz w:val="24"/>
                        <w:szCs w:val="24"/>
                      </w:rPr>
                    </w:sdtEndPr>
                    <w:sdtContent>
                      <w:p>
                        <w:pPr>
                          <w:pStyle w:val="5"/>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30</w:t>
                        </w:r>
                        <w:r>
                          <w:rPr>
                            <w:sz w:val="24"/>
                            <w:szCs w:val="24"/>
                          </w:rPr>
                          <w:fldChar w:fldCharType="end"/>
                        </w:r>
                      </w:p>
                    </w:sdtContent>
                  </w:sdt>
                  <w:p>
                    <w:pPr>
                      <w:rPr>
                        <w:sz w:val="24"/>
                        <w:szCs w:val="24"/>
                      </w:rPr>
                    </w:pPr>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E73EA"/>
    <w:multiLevelType w:val="singleLevel"/>
    <w:tmpl w:val="FE6E73EA"/>
    <w:lvl w:ilvl="0" w:tentative="0">
      <w:start w:val="1"/>
      <w:numFmt w:val="decimal"/>
      <w:lvlText w:val="%1."/>
      <w:lvlJc w:val="left"/>
      <w:pPr>
        <w:tabs>
          <w:tab w:val="left" w:pos="312"/>
        </w:tabs>
      </w:pPr>
    </w:lvl>
  </w:abstractNum>
  <w:abstractNum w:abstractNumId="1">
    <w:nsid w:val="4B4B4E27"/>
    <w:multiLevelType w:val="multilevel"/>
    <w:tmpl w:val="4B4B4E27"/>
    <w:lvl w:ilvl="0" w:tentative="0">
      <w:start w:val="1"/>
      <w:numFmt w:val="japaneseCounting"/>
      <w:lvlText w:val="第%1章"/>
      <w:lvlJc w:val="left"/>
      <w:pPr>
        <w:ind w:left="980" w:hanging="9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true"/>
  <w:bordersDoNotSurroundFooter w:val="true"/>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8B"/>
    <w:rsid w:val="00013B85"/>
    <w:rsid w:val="00023525"/>
    <w:rsid w:val="00025D2E"/>
    <w:rsid w:val="000323BD"/>
    <w:rsid w:val="000323F2"/>
    <w:rsid w:val="000437C4"/>
    <w:rsid w:val="00050F5D"/>
    <w:rsid w:val="000523CF"/>
    <w:rsid w:val="000551EC"/>
    <w:rsid w:val="0006034D"/>
    <w:rsid w:val="00060F75"/>
    <w:rsid w:val="000709DC"/>
    <w:rsid w:val="0008716E"/>
    <w:rsid w:val="00097671"/>
    <w:rsid w:val="000A4792"/>
    <w:rsid w:val="000A4D63"/>
    <w:rsid w:val="000B50C8"/>
    <w:rsid w:val="000C193E"/>
    <w:rsid w:val="000D535D"/>
    <w:rsid w:val="000E1882"/>
    <w:rsid w:val="000E3714"/>
    <w:rsid w:val="000F0BEA"/>
    <w:rsid w:val="000F448B"/>
    <w:rsid w:val="00107D98"/>
    <w:rsid w:val="001214BC"/>
    <w:rsid w:val="0012235B"/>
    <w:rsid w:val="00122927"/>
    <w:rsid w:val="001307B4"/>
    <w:rsid w:val="00136A93"/>
    <w:rsid w:val="00140962"/>
    <w:rsid w:val="00151727"/>
    <w:rsid w:val="00152897"/>
    <w:rsid w:val="00155EAB"/>
    <w:rsid w:val="001570FC"/>
    <w:rsid w:val="00160EE2"/>
    <w:rsid w:val="0016523A"/>
    <w:rsid w:val="0017383B"/>
    <w:rsid w:val="0017665E"/>
    <w:rsid w:val="00181F87"/>
    <w:rsid w:val="001835AE"/>
    <w:rsid w:val="00183CFF"/>
    <w:rsid w:val="001844AA"/>
    <w:rsid w:val="00184BAC"/>
    <w:rsid w:val="00192149"/>
    <w:rsid w:val="001A17F3"/>
    <w:rsid w:val="001A1BA1"/>
    <w:rsid w:val="001B6437"/>
    <w:rsid w:val="001C36AA"/>
    <w:rsid w:val="001E226E"/>
    <w:rsid w:val="001E30AC"/>
    <w:rsid w:val="001E49B2"/>
    <w:rsid w:val="001E65D1"/>
    <w:rsid w:val="001E7696"/>
    <w:rsid w:val="001F50FC"/>
    <w:rsid w:val="001F7666"/>
    <w:rsid w:val="00202C50"/>
    <w:rsid w:val="00206368"/>
    <w:rsid w:val="00221D04"/>
    <w:rsid w:val="00227D93"/>
    <w:rsid w:val="00227E30"/>
    <w:rsid w:val="00230F1E"/>
    <w:rsid w:val="00254C6C"/>
    <w:rsid w:val="002571E1"/>
    <w:rsid w:val="00280CDD"/>
    <w:rsid w:val="00282888"/>
    <w:rsid w:val="00291CC0"/>
    <w:rsid w:val="002B0BA7"/>
    <w:rsid w:val="002B5371"/>
    <w:rsid w:val="002B5EAB"/>
    <w:rsid w:val="002C1F26"/>
    <w:rsid w:val="002D2726"/>
    <w:rsid w:val="002D5E30"/>
    <w:rsid w:val="002E3104"/>
    <w:rsid w:val="002E346A"/>
    <w:rsid w:val="002E3CB8"/>
    <w:rsid w:val="002F5983"/>
    <w:rsid w:val="002F6EF9"/>
    <w:rsid w:val="00311235"/>
    <w:rsid w:val="00312197"/>
    <w:rsid w:val="003121F7"/>
    <w:rsid w:val="003242C7"/>
    <w:rsid w:val="00326E8C"/>
    <w:rsid w:val="00333D02"/>
    <w:rsid w:val="00372404"/>
    <w:rsid w:val="00373658"/>
    <w:rsid w:val="00383F5B"/>
    <w:rsid w:val="00386766"/>
    <w:rsid w:val="003A676E"/>
    <w:rsid w:val="003B24E5"/>
    <w:rsid w:val="003B4431"/>
    <w:rsid w:val="003B6A6A"/>
    <w:rsid w:val="003D679E"/>
    <w:rsid w:val="003E3DE1"/>
    <w:rsid w:val="003E6088"/>
    <w:rsid w:val="003F7D72"/>
    <w:rsid w:val="00402B8F"/>
    <w:rsid w:val="00403165"/>
    <w:rsid w:val="00404CE1"/>
    <w:rsid w:val="00410003"/>
    <w:rsid w:val="00431BC6"/>
    <w:rsid w:val="00432660"/>
    <w:rsid w:val="00443B64"/>
    <w:rsid w:val="0044474B"/>
    <w:rsid w:val="004448E9"/>
    <w:rsid w:val="004455B6"/>
    <w:rsid w:val="00450877"/>
    <w:rsid w:val="00452244"/>
    <w:rsid w:val="00454D02"/>
    <w:rsid w:val="00464D53"/>
    <w:rsid w:val="004714F2"/>
    <w:rsid w:val="004715F6"/>
    <w:rsid w:val="004718CC"/>
    <w:rsid w:val="00482DD6"/>
    <w:rsid w:val="004A3810"/>
    <w:rsid w:val="004A797F"/>
    <w:rsid w:val="004C4589"/>
    <w:rsid w:val="004D2DA8"/>
    <w:rsid w:val="004D5D77"/>
    <w:rsid w:val="004E1EA5"/>
    <w:rsid w:val="004E2B37"/>
    <w:rsid w:val="004E6F66"/>
    <w:rsid w:val="00503DFD"/>
    <w:rsid w:val="00535C9A"/>
    <w:rsid w:val="00552FEE"/>
    <w:rsid w:val="00553203"/>
    <w:rsid w:val="0056143D"/>
    <w:rsid w:val="005732DB"/>
    <w:rsid w:val="00573C80"/>
    <w:rsid w:val="00587AA2"/>
    <w:rsid w:val="00593AB8"/>
    <w:rsid w:val="00597D63"/>
    <w:rsid w:val="005A0E6D"/>
    <w:rsid w:val="005A4E78"/>
    <w:rsid w:val="005B7154"/>
    <w:rsid w:val="005C4C09"/>
    <w:rsid w:val="005C5AEC"/>
    <w:rsid w:val="005D0D84"/>
    <w:rsid w:val="005E08A7"/>
    <w:rsid w:val="005E35A9"/>
    <w:rsid w:val="005F4A09"/>
    <w:rsid w:val="0060098E"/>
    <w:rsid w:val="006045F5"/>
    <w:rsid w:val="00615357"/>
    <w:rsid w:val="006173E2"/>
    <w:rsid w:val="006303D6"/>
    <w:rsid w:val="00643BDE"/>
    <w:rsid w:val="006459B0"/>
    <w:rsid w:val="0065389B"/>
    <w:rsid w:val="00662E4C"/>
    <w:rsid w:val="00663ABE"/>
    <w:rsid w:val="0066476E"/>
    <w:rsid w:val="00664A5B"/>
    <w:rsid w:val="00670BE2"/>
    <w:rsid w:val="006725C4"/>
    <w:rsid w:val="006912DE"/>
    <w:rsid w:val="00696936"/>
    <w:rsid w:val="006A5C9E"/>
    <w:rsid w:val="006A7B9B"/>
    <w:rsid w:val="006B6940"/>
    <w:rsid w:val="006C0F0C"/>
    <w:rsid w:val="006C523C"/>
    <w:rsid w:val="006D2DA1"/>
    <w:rsid w:val="006D621E"/>
    <w:rsid w:val="006D78DB"/>
    <w:rsid w:val="006E0080"/>
    <w:rsid w:val="006E5087"/>
    <w:rsid w:val="006F7D90"/>
    <w:rsid w:val="00700FD8"/>
    <w:rsid w:val="007041A9"/>
    <w:rsid w:val="007063F4"/>
    <w:rsid w:val="00717706"/>
    <w:rsid w:val="00735FBC"/>
    <w:rsid w:val="0074113E"/>
    <w:rsid w:val="007429B6"/>
    <w:rsid w:val="00750FE4"/>
    <w:rsid w:val="00752617"/>
    <w:rsid w:val="00764D83"/>
    <w:rsid w:val="00770986"/>
    <w:rsid w:val="00772116"/>
    <w:rsid w:val="00777927"/>
    <w:rsid w:val="00777F74"/>
    <w:rsid w:val="007804D4"/>
    <w:rsid w:val="00787666"/>
    <w:rsid w:val="00795F80"/>
    <w:rsid w:val="00797C33"/>
    <w:rsid w:val="007A15D3"/>
    <w:rsid w:val="007B6DE1"/>
    <w:rsid w:val="007C1078"/>
    <w:rsid w:val="007D1A53"/>
    <w:rsid w:val="007E1F97"/>
    <w:rsid w:val="007F558F"/>
    <w:rsid w:val="0081475D"/>
    <w:rsid w:val="0082330B"/>
    <w:rsid w:val="00831A3D"/>
    <w:rsid w:val="0083723A"/>
    <w:rsid w:val="00847267"/>
    <w:rsid w:val="00847F7F"/>
    <w:rsid w:val="00853753"/>
    <w:rsid w:val="00856705"/>
    <w:rsid w:val="0086300E"/>
    <w:rsid w:val="00865A60"/>
    <w:rsid w:val="00866435"/>
    <w:rsid w:val="00873ABA"/>
    <w:rsid w:val="0087432A"/>
    <w:rsid w:val="00880473"/>
    <w:rsid w:val="0088295D"/>
    <w:rsid w:val="00895C45"/>
    <w:rsid w:val="00895E19"/>
    <w:rsid w:val="008A065C"/>
    <w:rsid w:val="008B3BCA"/>
    <w:rsid w:val="008B5F37"/>
    <w:rsid w:val="008C4059"/>
    <w:rsid w:val="008D169B"/>
    <w:rsid w:val="008D25FC"/>
    <w:rsid w:val="008D6236"/>
    <w:rsid w:val="008D6AF6"/>
    <w:rsid w:val="008D704F"/>
    <w:rsid w:val="008D7955"/>
    <w:rsid w:val="008F7DF2"/>
    <w:rsid w:val="0090432B"/>
    <w:rsid w:val="00904379"/>
    <w:rsid w:val="00911573"/>
    <w:rsid w:val="009211EE"/>
    <w:rsid w:val="00921E85"/>
    <w:rsid w:val="00925768"/>
    <w:rsid w:val="00931516"/>
    <w:rsid w:val="009345FF"/>
    <w:rsid w:val="0094000D"/>
    <w:rsid w:val="009401CA"/>
    <w:rsid w:val="00943F03"/>
    <w:rsid w:val="00945B64"/>
    <w:rsid w:val="00947723"/>
    <w:rsid w:val="00953010"/>
    <w:rsid w:val="00956730"/>
    <w:rsid w:val="00957C37"/>
    <w:rsid w:val="00961E76"/>
    <w:rsid w:val="00970E30"/>
    <w:rsid w:val="00976D67"/>
    <w:rsid w:val="009920DB"/>
    <w:rsid w:val="00995C6A"/>
    <w:rsid w:val="009A4E88"/>
    <w:rsid w:val="009A62F4"/>
    <w:rsid w:val="009B5B96"/>
    <w:rsid w:val="009D4A20"/>
    <w:rsid w:val="009E03B3"/>
    <w:rsid w:val="009E3CCF"/>
    <w:rsid w:val="00A0513D"/>
    <w:rsid w:val="00A11ABC"/>
    <w:rsid w:val="00A12E10"/>
    <w:rsid w:val="00A131D5"/>
    <w:rsid w:val="00A1568E"/>
    <w:rsid w:val="00A20C9A"/>
    <w:rsid w:val="00A22DE3"/>
    <w:rsid w:val="00A259DA"/>
    <w:rsid w:val="00A2658F"/>
    <w:rsid w:val="00A51E10"/>
    <w:rsid w:val="00A57565"/>
    <w:rsid w:val="00A64C82"/>
    <w:rsid w:val="00A74E7C"/>
    <w:rsid w:val="00A7578E"/>
    <w:rsid w:val="00A84DF4"/>
    <w:rsid w:val="00A866C3"/>
    <w:rsid w:val="00A96C7F"/>
    <w:rsid w:val="00AA351A"/>
    <w:rsid w:val="00AA5366"/>
    <w:rsid w:val="00AB1D53"/>
    <w:rsid w:val="00AB7D49"/>
    <w:rsid w:val="00AC0D9A"/>
    <w:rsid w:val="00AC52E3"/>
    <w:rsid w:val="00AC786F"/>
    <w:rsid w:val="00B00177"/>
    <w:rsid w:val="00B06896"/>
    <w:rsid w:val="00B21B33"/>
    <w:rsid w:val="00B24D12"/>
    <w:rsid w:val="00B318D8"/>
    <w:rsid w:val="00B34E7B"/>
    <w:rsid w:val="00B50DE5"/>
    <w:rsid w:val="00B6367B"/>
    <w:rsid w:val="00B7111A"/>
    <w:rsid w:val="00B94D21"/>
    <w:rsid w:val="00B96C8B"/>
    <w:rsid w:val="00BB21A0"/>
    <w:rsid w:val="00BD55B8"/>
    <w:rsid w:val="00BE3130"/>
    <w:rsid w:val="00BE3463"/>
    <w:rsid w:val="00BE470F"/>
    <w:rsid w:val="00BE4DB0"/>
    <w:rsid w:val="00BF0E5C"/>
    <w:rsid w:val="00BF5611"/>
    <w:rsid w:val="00C06107"/>
    <w:rsid w:val="00C1731C"/>
    <w:rsid w:val="00C225A9"/>
    <w:rsid w:val="00C34222"/>
    <w:rsid w:val="00C618A0"/>
    <w:rsid w:val="00C64245"/>
    <w:rsid w:val="00C667A0"/>
    <w:rsid w:val="00C848C4"/>
    <w:rsid w:val="00C85826"/>
    <w:rsid w:val="00C90AF3"/>
    <w:rsid w:val="00C96DB6"/>
    <w:rsid w:val="00CA60C6"/>
    <w:rsid w:val="00CA72D3"/>
    <w:rsid w:val="00CB322A"/>
    <w:rsid w:val="00CB7EAB"/>
    <w:rsid w:val="00CC2AAE"/>
    <w:rsid w:val="00CC2C37"/>
    <w:rsid w:val="00CC4ADE"/>
    <w:rsid w:val="00CC58AC"/>
    <w:rsid w:val="00CD1176"/>
    <w:rsid w:val="00CD3B7B"/>
    <w:rsid w:val="00CE1DA7"/>
    <w:rsid w:val="00CE3CD0"/>
    <w:rsid w:val="00CE488E"/>
    <w:rsid w:val="00D02A8B"/>
    <w:rsid w:val="00D02BAC"/>
    <w:rsid w:val="00D167A5"/>
    <w:rsid w:val="00D17811"/>
    <w:rsid w:val="00D21A1E"/>
    <w:rsid w:val="00D30DBC"/>
    <w:rsid w:val="00D37323"/>
    <w:rsid w:val="00D46F9A"/>
    <w:rsid w:val="00D475B1"/>
    <w:rsid w:val="00D502AB"/>
    <w:rsid w:val="00D55DFC"/>
    <w:rsid w:val="00D6665B"/>
    <w:rsid w:val="00D73D8E"/>
    <w:rsid w:val="00D93432"/>
    <w:rsid w:val="00D94C6F"/>
    <w:rsid w:val="00DB5F92"/>
    <w:rsid w:val="00DB6ADC"/>
    <w:rsid w:val="00DC2AC2"/>
    <w:rsid w:val="00DC6AE0"/>
    <w:rsid w:val="00DC787E"/>
    <w:rsid w:val="00DD2566"/>
    <w:rsid w:val="00DD3800"/>
    <w:rsid w:val="00DE6998"/>
    <w:rsid w:val="00E15BEE"/>
    <w:rsid w:val="00E15CF1"/>
    <w:rsid w:val="00E27801"/>
    <w:rsid w:val="00E419D7"/>
    <w:rsid w:val="00E544C2"/>
    <w:rsid w:val="00E56D74"/>
    <w:rsid w:val="00E62D9C"/>
    <w:rsid w:val="00E72889"/>
    <w:rsid w:val="00E72DD2"/>
    <w:rsid w:val="00E7775A"/>
    <w:rsid w:val="00E77E64"/>
    <w:rsid w:val="00E81B82"/>
    <w:rsid w:val="00E8363E"/>
    <w:rsid w:val="00E84E40"/>
    <w:rsid w:val="00E91CD0"/>
    <w:rsid w:val="00E967A8"/>
    <w:rsid w:val="00E97C15"/>
    <w:rsid w:val="00EA3461"/>
    <w:rsid w:val="00EB2FCD"/>
    <w:rsid w:val="00EB57FC"/>
    <w:rsid w:val="00EB582D"/>
    <w:rsid w:val="00F23E9C"/>
    <w:rsid w:val="00F24ED5"/>
    <w:rsid w:val="00F2702E"/>
    <w:rsid w:val="00F46EAA"/>
    <w:rsid w:val="00F50089"/>
    <w:rsid w:val="00F5563F"/>
    <w:rsid w:val="00F60795"/>
    <w:rsid w:val="00F65417"/>
    <w:rsid w:val="00F668A4"/>
    <w:rsid w:val="00F804CC"/>
    <w:rsid w:val="00F9327C"/>
    <w:rsid w:val="00F93AA4"/>
    <w:rsid w:val="00FA7224"/>
    <w:rsid w:val="00FB0519"/>
    <w:rsid w:val="00FB10E4"/>
    <w:rsid w:val="00FB1581"/>
    <w:rsid w:val="00FB2107"/>
    <w:rsid w:val="00FC50EB"/>
    <w:rsid w:val="00FC70DC"/>
    <w:rsid w:val="00FD3916"/>
    <w:rsid w:val="00FD4EB6"/>
    <w:rsid w:val="00FD60A8"/>
    <w:rsid w:val="00FF014A"/>
    <w:rsid w:val="00FF3B5E"/>
    <w:rsid w:val="087E7831"/>
    <w:rsid w:val="0DCC7B54"/>
    <w:rsid w:val="10C52BBA"/>
    <w:rsid w:val="1D997F4D"/>
    <w:rsid w:val="333D08DE"/>
    <w:rsid w:val="3F9FDE9B"/>
    <w:rsid w:val="4BA56838"/>
    <w:rsid w:val="74CC3C23"/>
    <w:rsid w:val="7A7FF73B"/>
    <w:rsid w:val="7D76E20E"/>
    <w:rsid w:val="7DDFB3C4"/>
    <w:rsid w:val="7FC28359"/>
    <w:rsid w:val="BFFD8186"/>
    <w:rsid w:val="DEFD888C"/>
    <w:rsid w:val="FEDB8D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2"/>
    <w:unhideWhenUsed/>
    <w:qFormat/>
    <w:uiPriority w:val="0"/>
    <w:pPr>
      <w:jc w:val="left"/>
    </w:pPr>
  </w:style>
  <w:style w:type="paragraph" w:styleId="4">
    <w:name w:val="Balloon Text"/>
    <w:basedOn w:val="1"/>
    <w:link w:val="21"/>
    <w:semiHidden/>
    <w:unhideWhenUsed/>
    <w:qFormat/>
    <w:uiPriority w:val="99"/>
    <w:rPr>
      <w:rFonts w:ascii="宋体"/>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Body Text Indent 3"/>
    <w:basedOn w:val="1"/>
    <w:link w:val="19"/>
    <w:qFormat/>
    <w:uiPriority w:val="0"/>
    <w:pPr>
      <w:spacing w:after="120"/>
      <w:ind w:left="420" w:leftChars="200"/>
    </w:pPr>
    <w:rPr>
      <w:sz w:val="16"/>
      <w:szCs w:val="16"/>
    </w:rPr>
  </w:style>
  <w:style w:type="paragraph" w:styleId="8">
    <w:name w:val="Normal (Web)"/>
    <w:basedOn w:val="1"/>
    <w:qFormat/>
    <w:uiPriority w:val="99"/>
    <w:pPr>
      <w:widowControl/>
      <w:spacing w:before="100" w:beforeAutospacing="1" w:after="100" w:afterAutospacing="1"/>
      <w:jc w:val="left"/>
    </w:pPr>
    <w:rPr>
      <w:rFonts w:ascii="宋体" w:hAnsi="宋体" w:cs="宋体"/>
      <w:color w:val="000000"/>
      <w:kern w:val="0"/>
      <w:sz w:val="24"/>
    </w:rPr>
  </w:style>
  <w:style w:type="paragraph" w:styleId="9">
    <w:name w:val="annotation subject"/>
    <w:basedOn w:val="3"/>
    <w:next w:val="3"/>
    <w:link w:val="23"/>
    <w:semiHidden/>
    <w:unhideWhenUsed/>
    <w:qFormat/>
    <w:uiPriority w:val="99"/>
    <w:rPr>
      <w:b/>
      <w:bCs/>
    </w:rPr>
  </w:style>
  <w:style w:type="table" w:styleId="11">
    <w:name w:val="Table Grid"/>
    <w:basedOn w:val="10"/>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annotation reference"/>
    <w:qFormat/>
    <w:uiPriority w:val="0"/>
    <w:rPr>
      <w:sz w:val="21"/>
      <w:szCs w:val="21"/>
    </w:rPr>
  </w:style>
  <w:style w:type="character" w:customStyle="1" w:styleId="15">
    <w:name w:val="页眉 Char"/>
    <w:link w:val="6"/>
    <w:qFormat/>
    <w:uiPriority w:val="0"/>
    <w:rPr>
      <w:sz w:val="18"/>
      <w:szCs w:val="18"/>
    </w:rPr>
  </w:style>
  <w:style w:type="character" w:customStyle="1" w:styleId="16">
    <w:name w:val="页眉字符1"/>
    <w:basedOn w:val="12"/>
    <w:semiHidden/>
    <w:qFormat/>
    <w:uiPriority w:val="99"/>
    <w:rPr>
      <w:rFonts w:ascii="Times New Roman" w:hAnsi="Times New Roman" w:eastAsia="宋体" w:cs="Times New Roman"/>
      <w:sz w:val="18"/>
      <w:szCs w:val="18"/>
    </w:rPr>
  </w:style>
  <w:style w:type="character" w:customStyle="1" w:styleId="17">
    <w:name w:val="页脚 Char"/>
    <w:basedOn w:val="12"/>
    <w:link w:val="5"/>
    <w:qFormat/>
    <w:uiPriority w:val="99"/>
    <w:rPr>
      <w:rFonts w:ascii="Times New Roman" w:hAnsi="Times New Roman" w:eastAsia="宋体" w:cs="Times New Roman"/>
      <w:sz w:val="18"/>
      <w:szCs w:val="18"/>
    </w:rPr>
  </w:style>
  <w:style w:type="paragraph" w:customStyle="1" w:styleId="18">
    <w:name w:val="Char Char2"/>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9">
    <w:name w:val="正文文本缩进 3 Char"/>
    <w:basedOn w:val="12"/>
    <w:link w:val="7"/>
    <w:qFormat/>
    <w:uiPriority w:val="0"/>
    <w:rPr>
      <w:rFonts w:ascii="Times New Roman" w:hAnsi="Times New Roman" w:eastAsia="宋体" w:cs="Times New Roman"/>
      <w:sz w:val="16"/>
      <w:szCs w:val="16"/>
    </w:rPr>
  </w:style>
  <w:style w:type="paragraph" w:styleId="20">
    <w:name w:val="List Paragraph"/>
    <w:basedOn w:val="1"/>
    <w:qFormat/>
    <w:uiPriority w:val="34"/>
    <w:pPr>
      <w:ind w:firstLine="420" w:firstLineChars="200"/>
    </w:pPr>
    <w:rPr>
      <w:rFonts w:asciiTheme="minorHAnsi" w:hAnsiTheme="minorHAnsi" w:eastAsiaTheme="minorEastAsia" w:cstheme="minorBidi"/>
      <w:sz w:val="24"/>
    </w:rPr>
  </w:style>
  <w:style w:type="character" w:customStyle="1" w:styleId="21">
    <w:name w:val="批注框文本 Char"/>
    <w:basedOn w:val="12"/>
    <w:link w:val="4"/>
    <w:semiHidden/>
    <w:qFormat/>
    <w:uiPriority w:val="99"/>
    <w:rPr>
      <w:rFonts w:ascii="宋体" w:hAnsi="Times New Roman" w:eastAsia="宋体" w:cs="Times New Roman"/>
      <w:sz w:val="18"/>
      <w:szCs w:val="18"/>
    </w:rPr>
  </w:style>
  <w:style w:type="character" w:customStyle="1" w:styleId="22">
    <w:name w:val="批注文字 Char"/>
    <w:basedOn w:val="12"/>
    <w:link w:val="3"/>
    <w:qFormat/>
    <w:uiPriority w:val="0"/>
    <w:rPr>
      <w:rFonts w:ascii="Times New Roman" w:hAnsi="Times New Roman" w:eastAsia="宋体" w:cs="Times New Roman"/>
      <w:sz w:val="21"/>
    </w:rPr>
  </w:style>
  <w:style w:type="character" w:customStyle="1" w:styleId="23">
    <w:name w:val="批注主题 Char"/>
    <w:basedOn w:val="22"/>
    <w:link w:val="9"/>
    <w:semiHidden/>
    <w:qFormat/>
    <w:uiPriority w:val="99"/>
    <w:rPr>
      <w:rFonts w:ascii="Times New Roman" w:hAnsi="Times New Roman" w:eastAsia="宋体" w:cs="Times New Roman"/>
      <w:b/>
      <w:bCs/>
      <w:sz w:val="21"/>
    </w:rPr>
  </w:style>
  <w:style w:type="character" w:customStyle="1" w:styleId="24">
    <w:name w:val="apple-converted-space"/>
    <w:basedOn w:val="12"/>
    <w:qFormat/>
    <w:uiPriority w:val="0"/>
  </w:style>
  <w:style w:type="paragraph" w:customStyle="1" w:styleId="25">
    <w:name w:val="Char"/>
    <w:basedOn w:val="1"/>
    <w:qFormat/>
    <w:uiPriority w:val="0"/>
    <w:rPr>
      <w:rFonts w:ascii="Tahoma" w:hAnsi="Tahoma"/>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3128</Words>
  <Characters>17835</Characters>
  <Lines>148</Lines>
  <Paragraphs>41</Paragraphs>
  <TotalTime>0</TotalTime>
  <ScaleCrop>false</ScaleCrop>
  <LinksUpToDate>false</LinksUpToDate>
  <CharactersWithSpaces>20922</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2018-08-15T16:34:00Z</dcterms:created>
  <dc:creator>Microsoft Office 用户</dc:creator>
  <cp:lastModifiedBy>user</cp:lastModifiedBy>
  <dcterms:modified xsi:type="dcterms:W3CDTF">2022-01-24T14:32:49Z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