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eastAsia="方正楷体_GBK"/>
          <w:sz w:val="32"/>
          <w:szCs w:val="32"/>
        </w:rPr>
      </w:pPr>
      <w:r>
        <w:rPr>
          <w:rFonts w:eastAsia="方正楷体_GBK"/>
          <w:sz w:val="28"/>
          <w:szCs w:val="28"/>
          <w:lang w:bidi="ar"/>
        </w:rPr>
        <w:t xml:space="preserve">JSF-2022-01         </w:t>
      </w:r>
      <w:r>
        <w:rPr>
          <w:rFonts w:eastAsia="方正楷体_GBK"/>
          <w:sz w:val="32"/>
          <w:szCs w:val="32"/>
          <w:lang w:bidi="ar"/>
        </w:rPr>
        <w:t xml:space="preserve">       </w:t>
      </w:r>
      <w:r>
        <w:rPr>
          <w:rFonts w:eastAsia="方正楷体_GBK"/>
          <w:sz w:val="28"/>
          <w:szCs w:val="28"/>
          <w:lang w:bidi="ar"/>
        </w:rPr>
        <w:t xml:space="preserve">       </w:t>
      </w:r>
      <w:r>
        <w:rPr>
          <w:rFonts w:eastAsia="方正楷体_GBK"/>
          <w:sz w:val="28"/>
          <w:szCs w:val="28"/>
          <w:lang w:bidi="ar"/>
        </w:rPr>
        <w:t>合同编号：</w:t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80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江苏省单用途预付卡购卡合同</w:t>
      </w:r>
    </w:p>
    <w:p>
      <w:pPr>
        <w:pStyle w:val="Normal"/>
        <w:spacing w:lineRule="exact" w:line="80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（示范文本）</w:t>
      </w:r>
    </w:p>
    <w:p>
      <w:pPr>
        <w:pStyle w:val="Normal"/>
        <w:spacing w:lineRule="exact" w:line="580"/>
        <w:ind w:firstLine="1019" w:end="0"/>
        <w:rPr>
          <w:rFonts w:eastAsia="仿宋"/>
          <w:color w:val="000000"/>
          <w:sz w:val="52"/>
          <w:szCs w:val="52"/>
        </w:rPr>
      </w:pPr>
      <w:r>
        <w:rPr>
          <w:rFonts w:eastAsia="仿宋"/>
          <w:color w:val="000000"/>
          <w:sz w:val="52"/>
          <w:szCs w:val="52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ind w:firstLine="2268" w:end="0"/>
        <w:rPr>
          <w:rFonts w:eastAsia="方正楷体_GBK"/>
          <w:b/>
          <w:spacing w:val="-6"/>
          <w:sz w:val="28"/>
          <w:szCs w:val="28"/>
          <w:lang w:val="en"/>
        </w:rPr>
      </w:pP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江</w:t>
      </w:r>
      <w:r>
        <w:rPr>
          <w:rFonts w:eastAsia="Times New Roman"/>
          <w:bCs/>
          <w:spacing w:val="-6"/>
          <w:w w:val="120"/>
          <w:sz w:val="28"/>
          <w:szCs w:val="28"/>
        </w:rPr>
        <w:t xml:space="preserve"> 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苏</w:t>
      </w:r>
      <w:r>
        <w:rPr>
          <w:rFonts w:eastAsia="Times New Roman"/>
          <w:bCs/>
          <w:spacing w:val="-6"/>
          <w:w w:val="120"/>
          <w:sz w:val="28"/>
          <w:szCs w:val="28"/>
        </w:rPr>
        <w:t xml:space="preserve"> 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省</w:t>
      </w:r>
      <w:r>
        <w:rPr>
          <w:rFonts w:eastAsia="Times New Roman"/>
          <w:bCs/>
          <w:spacing w:val="-6"/>
          <w:w w:val="120"/>
          <w:sz w:val="28"/>
          <w:szCs w:val="28"/>
        </w:rPr>
        <w:t xml:space="preserve"> 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商</w:t>
      </w:r>
      <w:r>
        <w:rPr>
          <w:rFonts w:eastAsia="Times New Roman"/>
          <w:bCs/>
          <w:spacing w:val="-6"/>
          <w:w w:val="120"/>
          <w:sz w:val="28"/>
          <w:szCs w:val="28"/>
        </w:rPr>
        <w:t xml:space="preserve"> 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务</w:t>
      </w:r>
      <w:r>
        <w:rPr>
          <w:rFonts w:eastAsia="Times New Roman"/>
          <w:bCs/>
          <w:spacing w:val="-6"/>
          <w:w w:val="120"/>
          <w:sz w:val="28"/>
          <w:szCs w:val="28"/>
        </w:rPr>
        <w:t xml:space="preserve"> </w:t>
      </w:r>
      <w:r>
        <w:rPr>
          <w:rFonts w:eastAsia="方正楷体_GBK"/>
          <w:bCs/>
          <w:spacing w:val="-6"/>
          <w:w w:val="120"/>
          <w:sz w:val="28"/>
          <w:szCs w:val="28"/>
          <w:lang w:val="en"/>
        </w:rPr>
        <w:t>厅</w:t>
      </w:r>
    </w:p>
    <w:p>
      <w:pPr>
        <w:pStyle w:val="Normal"/>
        <w:spacing w:lineRule="exact" w:line="580"/>
        <w:rPr>
          <w:rFonts w:eastAsia="方正楷体_GBK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                                     </w:t>
      </w:r>
      <w:r>
        <w:rPr>
          <w:rFonts w:eastAsia="方正楷体_GBK"/>
          <w:bCs/>
          <w:sz w:val="28"/>
          <w:szCs w:val="28"/>
        </w:rPr>
        <w:t>制定</w:t>
      </w:r>
    </w:p>
    <w:p>
      <w:pPr>
        <w:pStyle w:val="Normal"/>
        <w:spacing w:lineRule="exact" w:line="580"/>
        <w:ind w:firstLine="2240" w:end="0"/>
        <w:rPr>
          <w:rFonts w:eastAsia="方正楷体_GBK"/>
          <w:sz w:val="28"/>
          <w:szCs w:val="28"/>
          <w:lang w:bidi="ar"/>
        </w:rPr>
      </w:pPr>
      <w:r>
        <w:rPr>
          <w:rFonts w:eastAsia="方正楷体_GBK"/>
          <w:sz w:val="28"/>
          <w:szCs w:val="28"/>
          <w:lang w:bidi="ar"/>
        </w:rPr>
        <w:t>江苏省市场监督管理局</w:t>
      </w:r>
    </w:p>
    <w:p>
      <w:pPr>
        <w:pStyle w:val="Normal"/>
        <w:spacing w:lineRule="exact" w:line="580"/>
        <w:ind w:firstLine="5421" w:end="0"/>
        <w:jc w:val="center"/>
        <w:rPr>
          <w:rFonts w:eastAsia="方正楷体_GBK"/>
          <w:b/>
          <w:sz w:val="36"/>
          <w:szCs w:val="36"/>
          <w:lang w:bidi="ar"/>
        </w:rPr>
      </w:pPr>
      <w:r>
        <w:rPr>
          <w:rFonts w:eastAsia="方正楷体_GBK"/>
          <w:b/>
          <w:sz w:val="36"/>
          <w:szCs w:val="36"/>
          <w:lang w:bidi="ar"/>
        </w:rPr>
      </w:r>
    </w:p>
    <w:p>
      <w:pPr>
        <w:pStyle w:val="Normal"/>
        <w:spacing w:lineRule="exact" w:line="580"/>
        <w:jc w:val="center"/>
        <w:rPr>
          <w:rFonts w:eastAsia="方正仿宋_GBK"/>
          <w:sz w:val="28"/>
          <w:szCs w:val="28"/>
        </w:rPr>
      </w:pPr>
      <w:r>
        <w:rPr>
          <w:rFonts w:eastAsia="方正仿宋_GBK"/>
          <w:sz w:val="28"/>
          <w:szCs w:val="28"/>
          <w:lang w:bidi="ar"/>
        </w:rPr>
        <w:t>2022</w:t>
      </w:r>
      <w:r>
        <w:rPr>
          <w:rFonts w:eastAsia="方正仿宋_GBK"/>
          <w:sz w:val="28"/>
          <w:szCs w:val="28"/>
          <w:lang w:bidi="ar"/>
        </w:rPr>
        <w:t>年</w:t>
      </w:r>
      <w:r>
        <w:rPr>
          <w:rFonts w:eastAsia="方正仿宋_GBK"/>
          <w:sz w:val="28"/>
          <w:szCs w:val="28"/>
          <w:lang w:bidi="ar"/>
        </w:rPr>
        <w:t>6</w:t>
      </w:r>
      <w:r>
        <w:rPr>
          <w:rFonts w:eastAsia="方正仿宋_GBK"/>
          <w:sz w:val="28"/>
          <w:szCs w:val="28"/>
          <w:lang w:bidi="ar"/>
        </w:rPr>
        <w:t>月</w:t>
      </w:r>
    </w:p>
    <w:p>
      <w:pPr>
        <w:pStyle w:val="Normal"/>
        <w:spacing w:lineRule="exact" w:line="580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楷体_GB2312;楷体"/>
          <w:b/>
          <w:sz w:val="36"/>
          <w:szCs w:val="36"/>
        </w:rPr>
      </w:pPr>
      <w:r>
        <w:rPr>
          <w:rFonts w:eastAsia="楷体_GB2312;楷体"/>
          <w:b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黑体_GBK"/>
          <w:sz w:val="28"/>
          <w:szCs w:val="28"/>
        </w:rPr>
      </w:pPr>
      <w:r>
        <w:rPr>
          <w:rFonts w:eastAsia="方正黑体_GBK"/>
          <w:sz w:val="28"/>
          <w:szCs w:val="28"/>
          <w:lang w:bidi="ar"/>
        </w:rPr>
        <w:t>使用说明</w:t>
      </w:r>
    </w:p>
    <w:p>
      <w:pPr>
        <w:pStyle w:val="Normal"/>
        <w:spacing w:lineRule="exact" w:line="580"/>
        <w:ind w:firstLine="567" w:end="0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一、本合同文本为示范文本，供发卡人和购卡人之间签订单用途预付卡购卡合同时参照使用，双方当事人也可使用本合同电子版在电子商务平台上签约。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二、合同双方当事人在签约之前应当仔细阅读本合同内容，特别是具有选择性、补充性、填充性、修改性的内容。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三、双方当事人应结合具体情况选定本合同文本的选择性条款（在方框内打“√”，以示双方确认），空白行供双方当事人自行约定或者补充约定。双方当事人可以对文本条款的内容进行修改、增补或删除，但不得随意减轻或者免除依法应当由发卡人承担的责任。合同签订后，未被修改的文本印刷文字视为双方同意内容。</w:t>
      </w:r>
    </w:p>
    <w:p>
      <w:pPr>
        <w:pStyle w:val="Normal"/>
        <w:spacing w:lineRule="exact" w:line="420"/>
        <w:ind w:firstLine="56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四、本合同文本中涉及到的选择、填写内容以手写项为优先。</w:t>
      </w:r>
    </w:p>
    <w:p>
      <w:pPr>
        <w:pStyle w:val="Normal"/>
        <w:spacing w:lineRule="exact" w:line="420"/>
        <w:jc w:val="center"/>
        <w:rPr>
          <w:rFonts w:ascii="方正书宋_GBK" w:hAnsi="方正书宋_GBK" w:eastAsia="方正书宋_GBK"/>
          <w:color w:val="000000"/>
          <w:sz w:val="22"/>
          <w:szCs w:val="22"/>
        </w:rPr>
      </w:pPr>
      <w:r>
        <w:rPr>
          <w:rFonts w:eastAsia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pacing w:lineRule="exact" w:line="420"/>
        <w:jc w:val="center"/>
        <w:rPr>
          <w:rFonts w:ascii="方正书宋_GBK" w:hAnsi="方正书宋_GBK" w:eastAsia="方正书宋_GBK"/>
          <w:b/>
          <w:color w:val="000000"/>
          <w:sz w:val="22"/>
          <w:szCs w:val="22"/>
        </w:rPr>
      </w:pPr>
      <w:r>
        <w:rPr>
          <w:rFonts w:eastAsia="方正书宋_GBK" w:ascii="方正书宋_GBK" w:hAnsi="方正书宋_GBK"/>
          <w:b/>
          <w:color w:val="000000"/>
          <w:sz w:val="22"/>
          <w:szCs w:val="22"/>
        </w:rPr>
      </w:r>
    </w:p>
    <w:p>
      <w:pPr>
        <w:pStyle w:val="Normal"/>
        <w:spacing w:lineRule="exact" w:line="420"/>
        <w:jc w:val="center"/>
        <w:rPr>
          <w:rFonts w:eastAsia="方正书宋_GBK"/>
          <w:b/>
          <w:color w:val="000000"/>
          <w:sz w:val="22"/>
          <w:szCs w:val="22"/>
        </w:rPr>
      </w:pPr>
      <w:r>
        <w:rPr>
          <w:rFonts w:eastAsia="方正书宋_GBK"/>
          <w:b/>
          <w:color w:val="000000"/>
          <w:sz w:val="22"/>
          <w:szCs w:val="22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36"/>
          <w:szCs w:val="36"/>
        </w:rPr>
      </w:pPr>
      <w:r>
        <w:rPr>
          <w:rFonts w:eastAsia="方正小标宋_GBK"/>
          <w:color w:val="000000"/>
          <w:sz w:val="36"/>
          <w:szCs w:val="36"/>
        </w:rPr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江苏省单用途预付卡购卡合同</w:t>
      </w:r>
    </w:p>
    <w:p>
      <w:pPr>
        <w:pStyle w:val="Normal"/>
        <w:spacing w:lineRule="exact" w:line="580"/>
        <w:jc w:val="center"/>
        <w:rPr>
          <w:rFonts w:eastAsia="方正小标宋_GBK"/>
          <w:color w:val="000000"/>
          <w:sz w:val="40"/>
          <w:szCs w:val="40"/>
        </w:rPr>
      </w:pPr>
      <w:r>
        <w:rPr>
          <w:rFonts w:eastAsia="方正小标宋_GBK"/>
          <w:color w:val="000000"/>
          <w:sz w:val="40"/>
          <w:szCs w:val="40"/>
          <w:lang w:bidi="ar"/>
        </w:rPr>
        <w:t>（示范文本）</w:t>
      </w:r>
    </w:p>
    <w:p>
      <w:pPr>
        <w:pStyle w:val="Normal"/>
        <w:spacing w:lineRule="exact" w:line="580"/>
        <w:rPr>
          <w:rFonts w:eastAsia="仿宋"/>
          <w:color w:val="000000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甲方（发卡人）：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住所地：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法定代表人：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统一社会信用代码：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联系电话：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乙方（购卡人）：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住所地：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证件号码：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联系电话：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鉴于乙方购买甲方发行的单用途预付卡（以下简称预付卡），甲方为乙方提供相应商品或服务，根据《中华人民共和国民法典》《中华人民共和国消费者权益保护法》《江苏省预付卡管理办法》及其他相关法律法规的规定，甲乙双方就预付卡有关事宜，经协商一致，约定如下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第一条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预付卡基本情况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thick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预付卡名称：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预付卡载体／形式：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磁条卡、芯片卡、纸券等实体凭证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虚拟凭证（电子凭证）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预付卡种类（可多选）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计次卡，使用次数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次。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储值卡，储值金额为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时效卡，有效期为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日至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其他：</w:t>
      </w:r>
      <w:r>
        <w:rPr>
          <w:rFonts w:eastAsia="方正书宋_GBK" w:ascii="方正书宋_GBK" w:hAnsi="方正书宋_GBK"/>
          <w:sz w:val="22"/>
          <w:szCs w:val="22"/>
          <w:lang w:bidi="ar"/>
        </w:rPr>
        <w:t>________________________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使用范围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本预付卡可兑付商品、服务及品牌为：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仅限本店使用，名称、地址：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多门店通用，门店名称、地址见附件。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无实体店，具体方式为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预付卡期限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该卡为记名卡，不设有效期。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该卡为不记名卡，有效期为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年（商贸流通领域不少于</w:t>
      </w:r>
      <w:r>
        <w:rPr>
          <w:rFonts w:eastAsia="方正书宋_GBK" w:ascii="方正书宋_GBK" w:hAnsi="方正书宋_GBK"/>
          <w:sz w:val="22"/>
          <w:szCs w:val="22"/>
          <w:lang w:bidi="ar"/>
        </w:rPr>
        <w:t>3</w:t>
      </w:r>
      <w:r>
        <w:rPr>
          <w:rFonts w:ascii="方正书宋_GBK" w:hAnsi="方正书宋_GBK" w:eastAsia="方正书宋_GBK"/>
          <w:sz w:val="22"/>
          <w:szCs w:val="22"/>
          <w:lang w:bidi="ar"/>
        </w:rPr>
        <w:t>年），自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日至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甲方对预付卡有效期以醒目标识标注于卡片页面；未标识的，视为无有效期限制。有效期届满后卡内仍有剩余金额、次数的，甲方应当提供延期、激活、换卡等配套服务，乙方 □不需 □需支付手续费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甲方在非法定节假日暂停营业超过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小时的，预付卡有效期限相应顺延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天；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延期、激活、换卡的其他约定：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使用权限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该卡记名，仅限乙方本人使用。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该卡不记名，可由持卡人使用。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该卡为密码卡，设置密码使用。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eastAsia="方正书宋_GBK"/>
          <w:sz w:val="22"/>
          <w:szCs w:val="22"/>
          <w:lang w:bidi="ar"/>
        </w:rPr>
        <w:t>备</w:t>
      </w:r>
      <w:r>
        <w:rPr>
          <w:rFonts w:ascii="方正书宋_GBK" w:hAnsi="方正书宋_GBK" w:eastAsia="方正书宋_GBK"/>
          <w:sz w:val="22"/>
          <w:szCs w:val="22"/>
          <w:lang w:bidi="ar"/>
        </w:rPr>
        <w:t>案及信息对接情况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预付卡是否经过备案：□已备案 □尚未备案</w:t>
      </w:r>
    </w:p>
    <w:p>
      <w:pPr>
        <w:pStyle w:val="Normal"/>
        <w:spacing w:lineRule="exact" w:line="420"/>
        <w:ind w:firstLine="416" w:end="0"/>
        <w:rPr>
          <w:rFonts w:ascii="方正书宋_GBK" w:hAnsi="方正书宋_GBK" w:eastAsia="方正书宋_GBK"/>
          <w:spacing w:val="-6"/>
          <w:sz w:val="22"/>
          <w:szCs w:val="22"/>
        </w:rPr>
      </w:pPr>
      <w:r>
        <w:rPr>
          <w:rFonts w:ascii="方正书宋_GBK" w:hAnsi="方正书宋_GBK" w:eastAsia="方正书宋_GBK"/>
          <w:spacing w:val="-6"/>
          <w:sz w:val="22"/>
          <w:szCs w:val="22"/>
          <w:lang w:bidi="ar"/>
        </w:rPr>
        <w:t>发卡业务系统是否与预付卡管理服务平台信息对接：□是 □否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第二条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购卡费用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合同金额及支付：乙方自本合同签订之日起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日内向甲方支付购卡费用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元。支付方式：□现金  □银行卡  □支付宝  □微信  □其他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本合同可兑付商品或服务金额优惠幅度：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另收费项目：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。                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预付卡遗失、损坏需要补卡的，乙方□不需 □需 支付手续费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第三条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甲方的权利义务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甲方承诺：甲方及其法定代表人、控股出资人、实际控制人、董事、监事、高级管理人员未被列为失信被执行人；甲方及其出资人未被列入经营异常名录。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甲方应真实、全面地向乙方提供预付卡购买、使用等信息，不作虚假或者引人误解的宣传。对乙方就预付卡提出的询问，甲方应及时、明确答复。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甲方按照约定向乙方提供商品或者服务，并提供合法预收资金凭证，有权获取约定的费用。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对于记名卡，甲方应留存乙方预付卡购卡信息，不得以乙方损坏预付卡为由拒绝提供商品或服务，也不得拒绝为乙方办理补卡。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甲方应在法定期限内办理预付卡备案，并与预付卡管理服务平台进行信息对接。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甲方应依法规范经营，确保预收资金用于主营业务经营相关支出，对预收资金加强管理和风险控制。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甲方承担对乙方信息的保密义务和数据安全的保障义务，不得收集与乙方身份确认无关的其他个人信息。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7. 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合同期限内，甲方不得从事以下行为：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仅因甲方名称变更、注册或经营地址变更或者法定代表人、负责人、控股出资人、实际控制人变更而不履行约定义务；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以加盟店、受让商标、品牌方式等为由，规避甲方预付卡兑付义务。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8.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</w:t>
      </w:r>
      <w:r>
        <w:rPr>
          <w:rFonts w:eastAsia="方正书宋_GBK" w:ascii="方正书宋_GBK" w:hAnsi="方正书宋_GBK"/>
          <w:sz w:val="22"/>
          <w:szCs w:val="22"/>
          <w:lang w:bidi="ar"/>
        </w:rPr>
        <w:t>:</w:t>
      </w:r>
      <w:r>
        <w:rPr>
          <w:rFonts w:eastAsia="方正书宋_GBK" w:ascii="方正书宋_GBK" w:hAnsi="方正书宋_GBK"/>
          <w:sz w:val="22"/>
          <w:szCs w:val="22"/>
          <w:u w:val="single"/>
          <w:lang w:bidi="ar"/>
        </w:rPr>
        <w:t xml:space="preserve">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tabs>
          <w:tab w:val="clear" w:pos="420"/>
          <w:tab w:val="left" w:pos="5865" w:leader="none"/>
        </w:tabs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第四条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乙方的权利义务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乙方有权向甲方了解预付卡及其对应商品或服务的相关信息，查询消费记录，按约定妥善保管预付卡及相关信息。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乙方有权要求甲方按本合同约定提供商品或者服务。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3.</w:t>
      </w:r>
      <w:r>
        <w:rPr>
          <w:rFonts w:eastAsia="方正书宋_GBK" w:ascii="方正书宋_GBK" w:hAnsi="方正书宋_GBK"/>
          <w:sz w:val="22"/>
          <w:szCs w:val="22"/>
          <w:lang w:bidi="ar"/>
        </w:rPr>
        <w:t xml:space="preserve">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乙方在合同签订及履行过程中应当注意防范预付卡兑付风险。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乙方预付卡余额不足支付当次消费，可以现金补足，并一次性享受原优惠幅度。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乙方按照本合同约定的期限和金额向甲方支付费用。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第五条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重要事项须知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甲方应当明确告知乙方其经营场所的租赁期限信息，租赁期限自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日至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甲方出现以下可能影响预付卡兑付情形之一的，应当提前一个月在经营场所显著位置告示、网站和网店首页等发布公告，以及电子邮件、短信、微信、微信公众号等方式向乙方告知：</w:t>
      </w:r>
    </w:p>
    <w:p>
      <w:pPr>
        <w:pStyle w:val="Normal"/>
        <w:tabs>
          <w:tab w:val="clear" w:pos="420"/>
          <w:tab w:val="left" w:pos="6360" w:leader="none"/>
        </w:tabs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终止预付卡业务；</w:t>
      </w:r>
      <w:r>
        <w:rPr>
          <w:rFonts w:eastAsia="方正书宋_GBK" w:ascii="方正书宋_GBK" w:hAnsi="方正书宋_GBK"/>
          <w:sz w:val="22"/>
          <w:szCs w:val="22"/>
          <w:lang w:bidi="ar"/>
        </w:rPr>
        <w:tab/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合并、停业、歇业、注册地址或经营场所变更；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法定代表人、控股出资人、实际控制人、董事、监事、高级管理人员变更；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提供的商品或者服务发生重大变更；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5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其他影响预付卡使用的重大事项。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第六条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退卡退费处理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1. 15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乙方自付款之日起有</w:t>
      </w:r>
      <w:r>
        <w:rPr>
          <w:rFonts w:eastAsia="方正书宋_GBK" w:ascii="方正书宋_GBK" w:hAnsi="方正书宋_GBK"/>
          <w:sz w:val="22"/>
          <w:szCs w:val="22"/>
          <w:lang w:bidi="ar"/>
        </w:rPr>
        <w:t>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天冷静期，在冷静期间未开卡使用消费的情况下，有权无条件解除本合同。甲方收到退卡申请之日起</w:t>
      </w:r>
      <w:r>
        <w:rPr>
          <w:rFonts w:eastAsia="方正书宋_GBK" w:ascii="方正书宋_GBK" w:hAnsi="方正书宋_GBK"/>
          <w:sz w:val="22"/>
          <w:szCs w:val="22"/>
          <w:lang w:bidi="ar"/>
        </w:rPr>
        <w:t>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日内向乙方一次性返还全部预付费用。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在冷静期间已产生部分消费的情况下，乙方有权解除本合同。甲方收到退卡申请之日起，按照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标准扣除已消费金额，于</w:t>
      </w:r>
      <w:r>
        <w:rPr>
          <w:rFonts w:eastAsia="方正书宋_GBK" w:ascii="方正书宋_GBK" w:hAnsi="方正书宋_GBK"/>
          <w:sz w:val="22"/>
          <w:szCs w:val="22"/>
          <w:lang w:bidi="ar"/>
        </w:rPr>
        <w:t>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日内向乙方一次性返还预付费用余额。乙方 □不需 □需 支付手续费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元。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乙方原因导致退卡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乙方在</w:t>
      </w:r>
      <w:r>
        <w:rPr>
          <w:rFonts w:eastAsia="方正书宋_GBK" w:ascii="方正书宋_GBK" w:hAnsi="方正书宋_GBK"/>
          <w:sz w:val="22"/>
          <w:szCs w:val="22"/>
          <w:lang w:bidi="ar"/>
        </w:rPr>
        <w:t>15</w:t>
      </w:r>
      <w:r>
        <w:rPr>
          <w:rFonts w:ascii="方正书宋_GBK" w:hAnsi="方正书宋_GBK" w:eastAsia="方正书宋_GBK"/>
          <w:sz w:val="22"/>
          <w:szCs w:val="22"/>
          <w:lang w:bidi="ar"/>
        </w:rPr>
        <w:t>天冷静期后，因自身原因要求解除合同，须提供原始购卡凭证、有效身份证件及退卡卡号等相关信息。甲方收到退卡申请后，按照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标准扣除已消费金额，于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日内向乙方一次性返还预付费用余额。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因乙方原因退卡的，乙方需按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标准向甲方支付违约金。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甲方原因导致退卡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合同履行期间，出现本合同第五条第二款情形的，或因甲方变更服务地点或方式、调整主要经营项目、提高承诺价格或增加服务限制条件的，由双方协商解决；协商不成的，乙方有权解除合同并要求甲方按照下述标准在扣除已消费金额后，一次性返还预付费用余额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双方约定乙方享受单次服务价格优惠的，已消费金额应当按照约定的优惠价格计算；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双方约定乙方享受明确的赠送金额或服务项目的，单次服务价格的优惠折扣率为：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预付费用总额</w:t>
      </w:r>
      <w:r>
        <w:rPr>
          <w:rFonts w:eastAsia="方正书宋_GBK" w:ascii="方正书宋_GBK" w:hAnsi="方正书宋_GBK"/>
          <w:sz w:val="22"/>
          <w:szCs w:val="22"/>
          <w:lang w:bidi="ar"/>
        </w:rPr>
        <w:t>÷</w:t>
      </w:r>
      <w:r>
        <w:rPr>
          <w:rFonts w:ascii="方正书宋_GBK" w:hAnsi="方正书宋_GBK" w:eastAsia="方正书宋_GBK"/>
          <w:sz w:val="22"/>
          <w:szCs w:val="22"/>
          <w:lang w:bidi="ar"/>
        </w:rPr>
        <w:t>（赠送金额或赠送服务的折算金额＋预付费用总额）</w:t>
      </w:r>
      <w:r>
        <w:rPr>
          <w:rFonts w:eastAsia="方正书宋_GBK" w:ascii="方正书宋_GBK" w:hAnsi="方正书宋_GBK"/>
          <w:sz w:val="22"/>
          <w:szCs w:val="22"/>
          <w:lang w:bidi="ar"/>
        </w:rPr>
        <w:t>×100%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双方约定乙方在有效期限内不限次享受服务的，已消费金额计算方式为：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合同生效之日起至合同解除之日止的天数</w:t>
      </w:r>
      <w:r>
        <w:rPr>
          <w:rFonts w:eastAsia="方正书宋_GBK" w:ascii="方正书宋_GBK" w:hAnsi="方正书宋_GBK"/>
          <w:sz w:val="22"/>
          <w:szCs w:val="22"/>
          <w:lang w:bidi="ar"/>
        </w:rPr>
        <w:t>÷</w:t>
      </w:r>
      <w:r>
        <w:rPr>
          <w:rFonts w:ascii="方正书宋_GBK" w:hAnsi="方正书宋_GBK" w:eastAsia="方正书宋_GBK"/>
          <w:sz w:val="22"/>
          <w:szCs w:val="22"/>
          <w:lang w:bidi="ar"/>
        </w:rPr>
        <w:t>有效期限内天数</w:t>
      </w:r>
      <w:r>
        <w:rPr>
          <w:rFonts w:eastAsia="方正书宋_GBK" w:ascii="方正书宋_GBK" w:hAnsi="方正书宋_GBK"/>
          <w:sz w:val="22"/>
          <w:szCs w:val="22"/>
          <w:lang w:bidi="ar"/>
        </w:rPr>
        <w:t>×100%×</w:t>
      </w:r>
      <w:r>
        <w:rPr>
          <w:rFonts w:ascii="方正书宋_GBK" w:hAnsi="方正书宋_GBK" w:eastAsia="方正书宋_GBK"/>
          <w:sz w:val="22"/>
          <w:szCs w:val="22"/>
          <w:lang w:bidi="ar"/>
        </w:rPr>
        <w:t>预付费用总额。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因甲方原因歇业或注销，乙方要求解除合同的，甲方应当无条件提供免费退卡服务，并按照前述标准扣除已消费金额后，一次性返还预付费用余额。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当乙方出现以下情形之一时，甲方有权解除合同。乙方给甲方造成损失的，甲方有权要求乙方按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标准赔偿甲方的实际损失。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1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隐瞒患有严重危及自己或他人安全、健康疾病的；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2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严重违反甲方公示的规章制度，经劝阻拒不改正的；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3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实施严重违反国家法律法规、危害社会秩序、公共安全和他人健康行为的；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（</w:t>
      </w: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）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乙方逾期支付预付卡费用，经甲方催告，乙方仍不支付的。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6. </w:t>
      </w:r>
      <w:r>
        <w:rPr>
          <w:rFonts w:ascii="方正书宋_GBK" w:hAnsi="方正书宋_GBK" w:eastAsia="方正书宋_GBK"/>
          <w:sz w:val="22"/>
          <w:szCs w:val="22"/>
          <w:lang w:bidi="ar"/>
        </w:rPr>
        <w:t>退费方式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按 □乙方缴费原路径；□其他路径退回。对于已向银行（第三方）等支付的合理手续费用等，由甲方出示相关证明材料后，由□甲方□乙方承担 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第七条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违约责任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1.</w:t>
      </w:r>
      <w:r>
        <w:rPr>
          <w:rFonts w:eastAsia="方正书宋_GBK" w:ascii="方正书宋_GBK" w:hAnsi="方正书宋_GBK"/>
          <w:sz w:val="22"/>
          <w:szCs w:val="22"/>
          <w:lang w:bidi="ar"/>
        </w:rPr>
        <w:t xml:space="preserve"> </w:t>
      </w:r>
      <w:r>
        <w:rPr>
          <w:rFonts w:ascii="方正书宋_GBK" w:hAnsi="方正书宋_GBK" w:eastAsia="方正书宋_GBK"/>
          <w:sz w:val="22"/>
          <w:szCs w:val="22"/>
          <w:lang w:bidi="ar"/>
        </w:rPr>
        <w:t>甲方未能按约定提供商品或服务的，乙方有权要求解除合同，并要求甲方按剩余预付费用</w:t>
      </w:r>
      <w:r>
        <w:rPr>
          <w:rFonts w:eastAsia="方正书宋_GBK" w:ascii="方正书宋_GBK" w:hAnsi="方正书宋_GBK"/>
          <w:sz w:val="22"/>
          <w:szCs w:val="22"/>
          <w:u w:val="single"/>
          <w:lang w:bidi="ar"/>
        </w:rPr>
        <w:t>[   ]</w:t>
      </w:r>
      <w:r>
        <w:rPr>
          <w:rFonts w:eastAsia="方正书宋_GBK" w:ascii="方正书宋_GBK" w:hAnsi="方正书宋_GBK"/>
          <w:sz w:val="22"/>
          <w:szCs w:val="22"/>
          <w:lang w:bidi="ar"/>
        </w:rPr>
        <w:t>%</w:t>
      </w:r>
      <w:r>
        <w:rPr>
          <w:rFonts w:ascii="方正书宋_GBK" w:hAnsi="方正书宋_GBK" w:eastAsia="方正书宋_GBK"/>
          <w:sz w:val="22"/>
          <w:szCs w:val="22"/>
          <w:lang w:bidi="ar"/>
        </w:rPr>
        <w:t>支付违约金并退还剩余预付费用。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乙方逾期未支付预付卡费用的，甲方有权终止或中止提供商品或服务，乙方需支付实际接受商品或服务的费用。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由于乙方原因，无法继续接受商品或服务的，甲方不承担违约责任。</w:t>
      </w:r>
    </w:p>
    <w:p>
      <w:pPr>
        <w:pStyle w:val="Normal"/>
        <w:spacing w:lineRule="exact" w:line="420"/>
        <w:ind w:firstLine="440" w:end="0"/>
        <w:jc w:val="start"/>
        <w:rPr>
          <w:rFonts w:ascii="方正书宋_GBK" w:hAnsi="方正书宋_GBK" w:eastAsia="方正书宋_GBK"/>
          <w:color w:val="000000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>4</w:t>
      </w:r>
      <w:r>
        <w:rPr>
          <w:rFonts w:eastAsia="方正书宋_GBK"/>
          <w:sz w:val="22"/>
          <w:szCs w:val="22"/>
          <w:lang w:bidi="ar"/>
        </w:rPr>
        <w:t>．</w:t>
      </w:r>
      <w:r>
        <w:rPr>
          <w:rFonts w:ascii="方正书宋_GBK" w:hAnsi="方正书宋_GBK" w:eastAsia="方正书宋_GBK"/>
          <w:sz w:val="22"/>
          <w:szCs w:val="22"/>
          <w:lang w:bidi="ar"/>
        </w:rPr>
        <w:t>因战争、自然灾害、公共卫生事件等不可抗力致使本合同无法继续履行的，双方互不承担违约责任。受不可抗力影响的一方应在不可抗力事宜出现之日起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日内书面通知对方，双方按照实际消费情况结算费用。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5. </w:t>
      </w:r>
      <w:r>
        <w:rPr>
          <w:rFonts w:ascii="方正书宋_GBK" w:hAnsi="方正书宋_GBK" w:eastAsia="方正书宋_GBK"/>
          <w:sz w:val="22"/>
          <w:szCs w:val="22"/>
          <w:lang w:bidi="ar"/>
        </w:rPr>
        <w:t>其他违约责任：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第八条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特殊约定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  <w:lang w:bidi="ar"/>
        </w:rPr>
        <w:t>__________________________</w:t>
      </w:r>
      <w:r>
        <w:rPr>
          <w:rFonts w:ascii="方正书宋_GBK" w:hAnsi="方正书宋_GBK" w:eastAsia="方正书宋_GBK"/>
          <w:sz w:val="22"/>
          <w:szCs w:val="22"/>
          <w:lang w:bidi="ar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>第九条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 争议解决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双方发生争议时，可以协商解决；协商不成的，双方一致选择以下方式之一解决：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依法向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仲裁委员会申请仲裁。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lang w:bidi="ar"/>
        </w:rPr>
        <w:t>□</w:t>
      </w:r>
      <w:r>
        <w:rPr>
          <w:rFonts w:ascii="方正书宋_GBK" w:hAnsi="方正书宋_GBK" w:eastAsia="方正书宋_GBK"/>
          <w:sz w:val="22"/>
          <w:szCs w:val="22"/>
          <w:lang w:bidi="ar"/>
        </w:rPr>
        <w:t>依法向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       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人民法院提起诉讼。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黑体_GBK" w:hAnsi="方正黑体_GBK" w:eastAsia="方正黑体_GBK"/>
          <w:sz w:val="22"/>
          <w:szCs w:val="22"/>
          <w:lang w:bidi="ar"/>
        </w:rPr>
        <w:t xml:space="preserve">第十条 </w:t>
      </w: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 生效约定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本合同自双方签字或盖章之日起生效。本合同一式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份，甲方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份，乙方</w:t>
      </w:r>
      <w:r>
        <w:rPr>
          <w:rFonts w:ascii="方正书宋_GBK" w:hAnsi="方正书宋_GBK" w:eastAsia="方正书宋_GBK"/>
          <w:sz w:val="22"/>
          <w:szCs w:val="22"/>
          <w:u w:val="single"/>
          <w:lang w:bidi="ar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  <w:lang w:bidi="ar"/>
        </w:rPr>
        <w:t>份。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重要提示：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1. </w:t>
      </w:r>
      <w:r>
        <w:rPr>
          <w:rFonts w:ascii="方正书宋_GBK" w:hAnsi="方正书宋_GBK" w:eastAsia="方正书宋_GBK"/>
          <w:sz w:val="22"/>
          <w:szCs w:val="22"/>
          <w:lang w:bidi="ar"/>
        </w:rPr>
        <w:t>大额预付卡存在风险，请谨慎购买。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2.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发卡人发行预付卡依法应当备案。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3. </w:t>
      </w:r>
      <w:r>
        <w:rPr>
          <w:rFonts w:ascii="方正书宋_GBK" w:hAnsi="方正书宋_GBK" w:eastAsia="方正书宋_GBK"/>
          <w:sz w:val="22"/>
          <w:szCs w:val="22"/>
          <w:lang w:bidi="ar"/>
        </w:rPr>
        <w:t>发卡人发行预付卡依法应当提供担保。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/>
          <w:sz w:val="22"/>
          <w:szCs w:val="22"/>
          <w:lang w:bidi="ar"/>
        </w:rPr>
        <w:t xml:space="preserve">4. </w:t>
      </w:r>
      <w:r>
        <w:rPr>
          <w:rFonts w:ascii="方正书宋_GBK" w:hAnsi="方正书宋_GBK" w:eastAsia="方正书宋_GBK"/>
          <w:sz w:val="22"/>
          <w:szCs w:val="22"/>
          <w:lang w:bidi="ar"/>
        </w:rPr>
        <w:t>购卡人需仔细阅读本合同条款及经营者提供的其他书面材料，经确认了解无误后，再签署并交易。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 xml:space="preserve">甲方：                              乙方：            </w:t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eastAsia="方正书宋_GBK" w:ascii="方正书宋_GBK" w:hAnsi="方正书宋_GBK"/>
          <w:sz w:val="22"/>
          <w:szCs w:val="22"/>
          <w:lang w:bidi="ar"/>
        </w:rPr>
      </w:r>
    </w:p>
    <w:p>
      <w:pPr>
        <w:pStyle w:val="Normal"/>
        <w:spacing w:lineRule="exact" w:line="420"/>
        <w:ind w:firstLine="560" w:end="0"/>
        <w:rPr>
          <w:rFonts w:ascii="方正书宋_GBK" w:hAnsi="方正书宋_GBK" w:eastAsia="方正书宋_GBK"/>
          <w:sz w:val="22"/>
          <w:szCs w:val="22"/>
          <w:lang w:bidi="ar"/>
        </w:rPr>
      </w:pPr>
      <w:r>
        <w:rPr>
          <w:rFonts w:ascii="方正书宋_GBK" w:hAnsi="方正书宋_GBK" w:eastAsia="方正书宋_GBK"/>
          <w:sz w:val="22"/>
          <w:szCs w:val="22"/>
          <w:lang w:bidi="ar"/>
        </w:rPr>
        <w:t>签订时间：   年  月  日              签订时间：  年  月  日</w:t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uxi Sans">
    <w:altName w:val="Times New Roman"/>
    <w:charset w:val="00" w:characterSet="windows-125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Tahoma">
    <w:charset w:val="00" w:characterSet="windows-1252"/>
    <w:family w:val="swiss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1" distT="0" distB="0" distL="114935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3105" cy="239395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310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firstLine="280" w:end="0"/>
                            <w:rPr/>
                          </w:pP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PageNumber"/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6.15pt;height:18.85pt;mso-wrap-distance-left:9.05pt;mso-wrap-distance-right:0pt;mso-wrap-distance-top:0pt;mso-wrap-distance-bottom:0pt;margin-top:0pt;mso-position-vertical-relative:text;margin-left:9.05pt;mso-position-horizontal:outside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ind w:firstLine="280" w:end="0"/>
                      <w:rPr/>
                    </w:pPr>
                    <w:r>
                      <w:rPr>
                        <w:rStyle w:val="PageNumber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PageNumber"/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t>8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PageNumber"/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PageNumber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ind w:firstLine="360" w:end="360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935" distR="114935" simplePos="0" locked="0" layoutInCell="0" allowOverlap="1" relativeHeight="5">
              <wp:simplePos x="0" y="0"/>
              <wp:positionH relativeFrom="margin">
                <wp:posOffset>4930140</wp:posOffset>
              </wp:positionH>
              <wp:positionV relativeFrom="paragraph">
                <wp:posOffset>-37465</wp:posOffset>
              </wp:positionV>
              <wp:extent cx="535305" cy="23939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2.15pt;height:18.85pt;mso-wrap-distance-left:9.05pt;mso-wrap-distance-right:9.05pt;mso-wrap-distance-top:0pt;mso-wrap-distance-bottom:0pt;margin-top:-2.95pt;mso-position-vertical-relative:text;margin-left:388.2pt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sz w:val="28"/>
                        <w:szCs w:val="28"/>
                      </w:rPr>
                      <w:t>—</w:t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eastAsia="Times New Roman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trackRevisions/>
  <w:defaultTabStop w:val="420"/>
  <w:autoHyphenation w:val="true"/>
  <w:hyphenationZone w:val="0"/>
  <w:evenAndOddHeaders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3" w:before="260" w:after="260"/>
      <w:outlineLvl w:val="1"/>
    </w:pPr>
    <w:rPr>
      <w:rFonts w:ascii="Luxi Sans;Times New Roman" w:hAnsi="Luxi Sans;Times New Roman" w:eastAsia="黑体" w:cs="Luxi Sans;Times New Roman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3" w:before="260" w:after="260"/>
      <w:outlineLvl w:val="2"/>
    </w:pPr>
    <w:rPr>
      <w:b/>
      <w:sz w:val="32"/>
    </w:rPr>
  </w:style>
  <w:style w:type="character" w:styleId="Style11">
    <w:name w:val="默认段落字体"/>
    <w:qFormat/>
    <w:rPr/>
  </w:style>
  <w:style w:type="character" w:styleId="PageNumber">
    <w:name w:val="page number"/>
    <w:basedOn w:val="Style11"/>
    <w:rPr/>
  </w:style>
  <w:style w:type="character" w:styleId="Hyperlink">
    <w:name w:val="Hyperlink"/>
    <w:rPr>
      <w:color w:val="0000FF"/>
      <w:u w:val="single"/>
    </w:rPr>
  </w:style>
  <w:style w:type="character" w:styleId="normal1">
    <w:name w:val="normal1"/>
    <w:basedOn w:val="Style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宋体" w:hAnsi="宋体"/>
      <w:b/>
      <w:sz w:val="4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2">
    <w:name w:val="正文缩进"/>
    <w:basedOn w:val="Normal"/>
    <w:qFormat/>
    <w:pPr>
      <w:spacing w:lineRule="atLeast" w:line="312"/>
      <w:ind w:firstLine="420" w:start="0" w:end="0"/>
      <w:textAlignment w:val="baseline"/>
    </w:pPr>
    <w:rPr>
      <w:kern w:val="0"/>
      <w:szCs w:val="20"/>
    </w:rPr>
  </w:style>
  <w:style w:type="paragraph" w:styleId="3">
    <w:name w:val="正文文本 3"/>
    <w:basedOn w:val="Normal"/>
    <w:qFormat/>
    <w:pPr/>
    <w:rPr>
      <w:rFonts w:eastAsia="仿宋_GB2312;仿宋"/>
      <w:sz w:val="30"/>
    </w:rPr>
  </w:style>
  <w:style w:type="paragraph" w:styleId="BodyTextIndent">
    <w:name w:val="Body Text Indent"/>
    <w:basedOn w:val="Normal"/>
    <w:pPr>
      <w:ind w:firstLine="570" w:start="0" w:end="0"/>
    </w:pPr>
    <w:rPr>
      <w:rFonts w:ascii="仿宋_GB2312;仿宋" w:hAnsi="仿宋_GB2312;仿宋" w:eastAsia="仿宋_GB2312;仿宋"/>
      <w:sz w:val="32"/>
      <w:szCs w:val="28"/>
    </w:rPr>
  </w:style>
  <w:style w:type="paragraph" w:styleId="Style13">
    <w:name w:val="文本块"/>
    <w:basedOn w:val="Normal"/>
    <w:qFormat/>
    <w:pPr>
      <w:snapToGrid w:val="false"/>
      <w:spacing w:lineRule="exact" w:line="500"/>
      <w:ind w:hanging="2" w:start="-83" w:end="227"/>
    </w:pPr>
    <w:rPr>
      <w:rFonts w:ascii="仿宋_GB2312;仿宋" w:hAnsi="仿宋_GB2312;仿宋" w:eastAsia="仿宋_GB2312;仿宋"/>
      <w:sz w:val="30"/>
    </w:rPr>
  </w:style>
  <w:style w:type="paragraph" w:styleId="Style14">
    <w:name w:val="纯文本"/>
    <w:basedOn w:val="Normal"/>
    <w:qFormat/>
    <w:pPr/>
    <w:rPr>
      <w:rFonts w:ascii="宋体" w:hAnsi="宋体"/>
    </w:rPr>
  </w:style>
  <w:style w:type="paragraph" w:styleId="Style15">
    <w:name w:val="日期"/>
    <w:basedOn w:val="Normal"/>
    <w:qFormat/>
    <w:pPr>
      <w:spacing w:lineRule="auto" w:line="360"/>
      <w:ind w:firstLine="3969" w:start="0" w:end="0"/>
      <w:textAlignment w:val="baseline"/>
    </w:pPr>
    <w:rPr>
      <w:kern w:val="0"/>
      <w:sz w:val="28"/>
      <w:szCs w:val="20"/>
    </w:rPr>
  </w:style>
  <w:style w:type="paragraph" w:styleId="2">
    <w:name w:val="正文文本缩进 2"/>
    <w:basedOn w:val="Normal"/>
    <w:qFormat/>
    <w:pPr>
      <w:ind w:firstLine="200" w:start="0" w:end="0"/>
    </w:pPr>
    <w:rPr>
      <w:rFonts w:ascii="仿宋_GB2312;仿宋" w:hAnsi="仿宋_GB2312;仿宋" w:eastAsia="仿宋_GB2312;仿宋"/>
      <w:sz w:val="32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1">
    <w:name w:val="正文文本缩进 3"/>
    <w:basedOn w:val="Normal"/>
    <w:qFormat/>
    <w:pPr>
      <w:spacing w:lineRule="atLeast" w:line="500"/>
      <w:ind w:hanging="300" w:start="452" w:end="0"/>
    </w:pPr>
    <w:rPr>
      <w:rFonts w:eastAsia="仿宋_GB2312;仿宋"/>
      <w:sz w:val="32"/>
    </w:rPr>
  </w:style>
  <w:style w:type="paragraph" w:styleId="21">
    <w:name w:val="正文文本 2"/>
    <w:basedOn w:val="Normal"/>
    <w:qFormat/>
    <w:pPr>
      <w:jc w:val="center"/>
    </w:pPr>
    <w:rPr>
      <w:sz w:val="44"/>
    </w:rPr>
  </w:style>
  <w:style w:type="paragraph" w:styleId="Style17">
    <w:name w:val="普通(网站)"/>
    <w:basedOn w:val="Normal"/>
    <w:qFormat/>
    <w:pPr>
      <w:widowControl/>
      <w:spacing w:before="100" w:after="100"/>
      <w:jc w:val="start"/>
    </w:pPr>
    <w:rPr>
      <w:rFonts w:ascii="宋体" w:hAnsi="宋体" w:cs="宋体"/>
      <w:kern w:val="0"/>
      <w:sz w:val="24"/>
      <w:lang w:bidi="ar-SA"/>
    </w:rPr>
  </w:style>
  <w:style w:type="paragraph" w:styleId="CharChar">
    <w:name w:val=" Char Char"/>
    <w:basedOn w:val="Normal"/>
    <w:qFormat/>
    <w:pPr/>
    <w:rPr>
      <w:rFonts w:ascii="Tahoma" w:hAnsi="Tahoma" w:cs="Tahoma"/>
      <w:sz w:val="24"/>
      <w:lang w:bidi="ar-SA"/>
    </w:rPr>
  </w:style>
  <w:style w:type="paragraph" w:styleId="Char">
    <w:name w:val="Char"/>
    <w:basedOn w:val="Normal"/>
    <w:qFormat/>
    <w:pPr>
      <w:spacing w:lineRule="auto" w:line="360"/>
    </w:pPr>
    <w:rPr>
      <w:rFonts w:ascii="宋体" w:hAnsi="宋体"/>
      <w:sz w:val="2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2012-08-18T08:44:00Z</dcterms:created>
  <dc:creator>sl</dc:creator>
  <dc:description/>
  <dc:language>zh-CN</dc:language>
  <cp:lastModifiedBy>易琴</cp:lastModifiedBy>
  <cp:lastPrinted>2022-07-05T10:33:00Z</cp:lastPrinted>
  <dcterms:modified xsi:type="dcterms:W3CDTF">2022-08-30T10:47:37Z</dcterms:modified>
  <cp:revision>38</cp:revision>
  <dc:subject/>
  <dc:title>苏外经贸〔2001〕号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