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2"/>
        <w:pageBreakBefore w:val="false"/>
        <w:widowControl w:val="false"/>
        <w:tabs>
          <w:tab w:val="clear" w:pos="420"/>
          <w:tab w:val="left" w:pos="-720" w:leader="none"/>
        </w:tabs>
        <w:kinsoku w:val="true"/>
        <w:overflowPunct w:val="true"/>
        <w:autoSpaceDE w:val="true"/>
        <w:bidi w:val="0"/>
        <w:snapToGrid w:val="true"/>
        <w:spacing w:lineRule="auto" w:line="240" w:before="0" w:after="0"/>
        <w:ind w:firstLine="4830" w:end="0"/>
        <w:jc w:val="both"/>
        <w:textAlignment w:val="auto"/>
        <w:rPr>
          <w:rFonts w:ascii="仿宋_GB2312" w:hAnsi="仿宋_GB2312" w:eastAsia="仿宋_GB2312" w:cs="仿宋_GB2312"/>
          <w:sz w:val="21"/>
          <w:szCs w:val="21"/>
          <w:lang w:eastAsia="zh-CN"/>
        </w:rPr>
      </w:pPr>
      <w:r>
        <w:rPr>
          <w:rFonts w:ascii="仿宋_GB2312" w:hAnsi="仿宋_GB2312" w:cs="仿宋_GB2312" w:eastAsia="仿宋_GB2312"/>
          <w:sz w:val="21"/>
          <w:szCs w:val="21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sz w:val="21"/>
          <w:szCs w:val="21"/>
          <w:lang w:eastAsia="zh-CN"/>
        </w:rPr>
        <w:t>合同编号</w:t>
      </w:r>
      <w:r>
        <w:rPr>
          <w:rFonts w:eastAsia="仿宋_GB2312" w:cs="仿宋_GB2312" w:ascii="仿宋_GB2312" w:hAnsi="仿宋_GB2312"/>
          <w:sz w:val="21"/>
          <w:szCs w:val="21"/>
          <w:lang w:eastAsia="zh-CN"/>
        </w:rPr>
        <w:t>:</w:t>
      </w:r>
    </w:p>
    <w:p>
      <w:pPr>
        <w:pStyle w:val="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auto" w:line="240" w:before="0" w:after="0"/>
        <w:ind w:end="0"/>
        <w:jc w:val="center"/>
        <w:textAlignment w:val="auto"/>
        <w:rPr>
          <w:rFonts w:ascii="宋体" w:hAnsi="宋体" w:eastAsia="宋体" w:cs="宋体"/>
          <w:b/>
          <w:bCs/>
          <w:color w:val="000000"/>
          <w:sz w:val="44"/>
          <w:szCs w:val="44"/>
          <w:lang w:eastAsia="zh-CN"/>
        </w:rPr>
      </w:pPr>
      <w:r>
        <w:rPr>
          <w:rFonts w:ascii="宋体" w:hAnsi="宋体" w:cs="宋体" w:eastAsia="宋体"/>
          <w:b/>
          <w:bCs/>
          <w:sz w:val="44"/>
          <w:szCs w:val="44"/>
          <w:lang w:eastAsia="zh-CN"/>
        </w:rPr>
        <w:t>沈阳二手车交易合同（</w:t>
      </w:r>
      <w:r>
        <w:rPr>
          <w:rFonts w:ascii="宋体" w:hAnsi="宋体" w:cs="宋体" w:eastAsia="宋体"/>
          <w:b/>
          <w:bCs/>
          <w:color w:val="000000"/>
          <w:sz w:val="44"/>
          <w:szCs w:val="44"/>
          <w:lang w:eastAsia="zh-CN"/>
        </w:rPr>
        <w:t>示范文本）</w:t>
      </w:r>
    </w:p>
    <w:p>
      <w:pPr>
        <w:pStyle w:val="1"/>
        <w:keepNext w:val="true"/>
        <w:keepLines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 w:before="0" w:after="0"/>
        <w:ind w:firstLine="442" w:end="0"/>
        <w:jc w:val="center"/>
        <w:textAlignment w:val="auto"/>
        <w:rPr>
          <w:rFonts w:ascii="宋体" w:hAnsi="宋体" w:eastAsia="宋体" w:cs="宋体"/>
          <w:b/>
          <w:bCs/>
          <w:color w:val="000000"/>
          <w:sz w:val="22"/>
          <w:szCs w:val="22"/>
          <w:lang w:eastAsia="zh-CN"/>
        </w:rPr>
      </w:pPr>
      <w:r>
        <w:rPr>
          <w:rFonts w:eastAsia="宋体" w:cs="宋体" w:ascii="宋体" w:hAnsi="宋体"/>
          <w:b/>
          <w:bCs/>
          <w:color w:val="000000"/>
          <w:sz w:val="22"/>
          <w:szCs w:val="22"/>
          <w:lang w:eastAsia="zh-CN"/>
        </w:rPr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依据《中华人民共和国民法典》《二手车流通管理办法》等有关法律、规章规定，甲、乙双方在自愿、公平和协商一致的基础上，就二手车交易和完成相关事项，签订本合同。本合同内容可作为相关单位合同电子化采集范本。</w:t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甲方（卖方）：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ab/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乙方（买方）：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ab/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第一条 当事人情况</w:t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0" w:name="bookmark3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</w:t>
      </w:r>
      <w:bookmarkEnd w:id="0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、甲方基本情况：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社会统一信用代码（或身份证明号码）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地址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，联系电话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代理人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，身份证号码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联系电话：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。</w:t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1" w:name="bookmark4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</w:t>
      </w:r>
      <w:bookmarkEnd w:id="1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、乙方基本情况：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bookmarkStart w:id="2" w:name="bookmark5"/>
      <w:bookmarkEnd w:id="2"/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社会统一信用代码（或身份证明号码）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tabs>
          <w:tab w:val="clear" w:pos="420"/>
          <w:tab w:val="left" w:pos="7298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地址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，联系电话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tabs>
          <w:tab w:val="clear" w:pos="420"/>
          <w:tab w:val="left" w:pos="772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代理人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，身份证号码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，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联系电话：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第二条 车辆情况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start="382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号牌号码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车辆类型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厂牌、型号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车辆识别代号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发动机号码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</w:t>
      </w:r>
    </w:p>
    <w:p>
      <w:pPr>
        <w:pStyle w:val="11"/>
        <w:pageBreakBefore w:val="false"/>
        <w:widowControl w:val="false"/>
        <w:tabs>
          <w:tab w:val="clear" w:pos="420"/>
          <w:tab w:val="left" w:pos="6102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初次登记日期：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登记证书编号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车身颜色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</w:t>
      </w:r>
    </w:p>
    <w:p>
      <w:pPr>
        <w:pStyle w:val="11"/>
        <w:pageBreakBefore w:val="false"/>
        <w:widowControl w:val="false"/>
        <w:tabs>
          <w:tab w:val="clear" w:pos="420"/>
          <w:tab w:val="left" w:pos="480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使用性质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 xml:space="preserve">: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使用年限至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月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日表显里程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km</w:t>
      </w:r>
    </w:p>
    <w:p>
      <w:pPr>
        <w:pStyle w:val="11"/>
        <w:pageBreakBefore w:val="false"/>
        <w:widowControl w:val="false"/>
        <w:tabs>
          <w:tab w:val="clear" w:pos="420"/>
          <w:tab w:val="left" w:pos="237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检验有效期至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月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车辆交强险至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月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车辆商业险种类：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有效期至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月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全程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>4S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店保养：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 xml:space="preserve">(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是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 xml:space="preserve">/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否 ），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车辆维修、保养记录至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年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月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钥匙数量：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车辆事故情况描述（是否发生过严重撞击、泡水、火烧、发动机改动）：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val="en-US"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车辆是否具有评估（认证）报告书：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 xml:space="preserve">(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是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val="en-US" w:eastAsia="zh-CN"/>
        </w:rPr>
        <w:t xml:space="preserve">/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否 ），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机构名称：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车辆质保期限：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质保范围：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non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其他情况：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val="en-US"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第三条 车辆价款和支付方式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车辆价款为（人民币）：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元（大写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元）。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u w:val="single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车辆转移登记费用（人民币）：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元，由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方承担。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乙方应于合同签订时，向甲方支付定金（人民币）：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元（大写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元）。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hanging="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自转移登记手续完成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日内，应向甲方支付车辆剩余价款（人民币）：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元。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第四条 车辆交付、过户手续</w:t>
      </w:r>
    </w:p>
    <w:p>
      <w:pPr>
        <w:pStyle w:val="11"/>
        <w:pageBreakBefore w:val="false"/>
        <w:widowControl w:val="false"/>
        <w:tabs>
          <w:tab w:val="clear" w:pos="420"/>
          <w:tab w:val="left" w:pos="4935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一、车辆交付时间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:</w:t>
      </w:r>
      <w:r>
        <w:rPr>
          <w:rFonts w:eastAsia="仿宋_GB2312" w:cs="仿宋_GB2312" w:ascii="仿宋_GB2312" w:hAnsi="仿宋_GB2312"/>
          <w:color w:val="000000"/>
          <w:sz w:val="22"/>
          <w:szCs w:val="22"/>
          <w:u w:val="single"/>
          <w:lang w:eastAsia="zh-CN"/>
        </w:rPr>
        <w:t xml:space="preserve">                     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  <w:tab w:val="left" w:pos="3189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二、甲乙双方应于本合同签订后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    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日内，备齐车辆相关材料办理转移登记手续。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第五条 双方的权利和义务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一、甲方对车辆的所有权或处置权的合法性负责。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二、甲方应如实告知乙方车辆基本情况，并对其真实性负责。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三、对转出本市的车辆，乙方应对确认买受车辆可在转入所在地办理转入手续负责。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四、双方应对其提供的车辆转移登记所需材料的真实性、有效性负责。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第六条 其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val="en-US" w:eastAsia="zh-CN"/>
        </w:rPr>
        <w:t>他</w:t>
      </w: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约定</w:t>
      </w:r>
    </w:p>
    <w:p>
      <w:pPr>
        <w:pStyle w:val="Normal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u w:val="single"/>
          <w:lang w:val="en-US"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</w:t>
      </w:r>
    </w:p>
    <w:p>
      <w:pPr>
        <w:pStyle w:val="11"/>
        <w:pageBreakBefore w:val="false"/>
        <w:widowControl w:val="false"/>
        <w:tabs>
          <w:tab w:val="clear" w:pos="420"/>
          <w:tab w:val="left" w:pos="5472" w:leader="dot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                                                                               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color w:val="000000"/>
          <w:sz w:val="22"/>
          <w:szCs w:val="22"/>
          <w:lang w:eastAsia="zh-CN"/>
        </w:rPr>
        <w:t>第七条 违约责任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一、甲方逾期交付车辆的，乙方有权解除本合同，定金双倍返还，或每天按车辆价款的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%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向乙方支付违约金。</w:t>
      </w:r>
    </w:p>
    <w:p>
      <w:pPr>
        <w:pStyle w:val="11"/>
        <w:pageBreakBefore w:val="false"/>
        <w:widowControl w:val="false"/>
        <w:tabs>
          <w:tab w:val="clear" w:pos="420"/>
          <w:tab w:val="left" w:pos="747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二、乙方逾期支付车辆价款的，甲方有权解除本合同，定金不予返还，或每天按逾期支付部分价款的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%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向甲方支付违约金。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三、任何一方未按合同约定提供办理转移登记手续所需材料，致使合同延期履行的，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lang w:eastAsia="zh-CN"/>
        </w:rPr>
        <w:t>违约方应每天按车辆价款的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eastAsia="zh-CN"/>
        </w:rPr>
        <w:t xml:space="preserve"> 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val="en-US" w:eastAsia="zh-CN"/>
        </w:rPr>
        <w:t xml:space="preserve">   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u w:val="single"/>
          <w:lang w:eastAsia="zh-CN"/>
        </w:rPr>
        <w:t xml:space="preserve">   </w:t>
      </w:r>
      <w:r>
        <w:rPr>
          <w:rFonts w:eastAsia="仿宋_GB2312" w:cs="仿宋_GB2312" w:ascii="仿宋_GB2312" w:hAnsi="仿宋_GB2312"/>
          <w:b w:val="false"/>
          <w:bCs w:val="false"/>
          <w:color w:val="000000"/>
          <w:sz w:val="22"/>
          <w:szCs w:val="22"/>
          <w:lang w:eastAsia="zh-CN"/>
        </w:rPr>
        <w:t>%</w:t>
      </w:r>
      <w:r>
        <w:rPr>
          <w:rFonts w:ascii="仿宋_GB2312" w:hAnsi="仿宋_GB2312" w:cs="仿宋_GB2312" w:eastAsia="仿宋_GB2312"/>
          <w:b w:val="false"/>
          <w:bCs w:val="false"/>
          <w:color w:val="000000"/>
          <w:sz w:val="22"/>
          <w:szCs w:val="22"/>
          <w:lang w:eastAsia="zh-CN"/>
        </w:rPr>
        <w:t>向守约方支付违约金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。任何一方因提供车辆相关材料不符合要求</w:t>
      </w:r>
      <w:r>
        <w:rPr>
          <w:rFonts w:eastAsia="仿宋_GB2312" w:cs="仿宋_GB2312" w:ascii="仿宋_GB2312" w:hAnsi="仿宋_GB2312"/>
          <w:color w:val="000000"/>
          <w:sz w:val="22"/>
          <w:szCs w:val="22"/>
          <w:lang w:eastAsia="zh-CN"/>
        </w:rPr>
        <w:t>,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致使无法办理转移登记手续的，守约方有权解除本合同，给守约方造成损失的，违约方应予赔偿</w:t>
      </w: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eastAsia="zh-CN"/>
        </w:rPr>
        <w:t>。</w:t>
      </w:r>
    </w:p>
    <w:p>
      <w:pPr>
        <w:pStyle w:val="11"/>
        <w:pageBreakBefore w:val="false"/>
        <w:widowControl w:val="false"/>
        <w:tabs>
          <w:tab w:val="clear" w:pos="420"/>
          <w:tab w:val="left" w:pos="778" w:leader="non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val="en-US" w:eastAsia="zh-CN"/>
        </w:rPr>
        <w:t>四</w:t>
      </w: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、因乙方原因致使车辆不能办理入籍手续的，乙方自行承担相应责任，乙方改变车辆入籍地的，甲方应协助配合。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color w:val="000000"/>
          <w:sz w:val="22"/>
          <w:szCs w:val="22"/>
          <w:lang w:eastAsia="zh-CN"/>
        </w:rPr>
        <w:t>五、甲方提供的车辆基本情况不真实，给乙方造成损失的，甲方应予赔偿。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color w:val="000000"/>
          <w:sz w:val="22"/>
          <w:szCs w:val="22"/>
          <w:highlight w:val="none"/>
          <w:lang w:val="en-US" w:eastAsia="zh-CN"/>
        </w:rPr>
      </w:pP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eastAsia="zh-CN"/>
        </w:rPr>
        <w:t>第八条</w:t>
      </w:r>
      <w:r>
        <w:rPr>
          <w:rFonts w:ascii="仿宋_GB2312" w:hAnsi="仿宋_GB2312" w:cs="仿宋_GB2312" w:eastAsia="仿宋_GB2312"/>
          <w:b/>
          <w:bCs/>
          <w:color w:val="000000"/>
          <w:sz w:val="22"/>
          <w:szCs w:val="22"/>
          <w:lang w:val="en-US" w:eastAsia="zh-CN"/>
        </w:rPr>
        <w:t xml:space="preserve"> 争议解决方式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双方发生争议的，可协商解决，不愿协商或通过协商未能解决的，按下列第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       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 xml:space="preserve">种方式解决（只能选择一种）： 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一、提交沈阳仲裁委员会（仲裁地点为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                                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 xml:space="preserve">），按照申请仲裁时该会现行有效的仲裁规则进行仲裁； 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二、向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                                 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none"/>
          <w:lang w:val="en-US" w:eastAsia="zh-CN" w:bidi="ar"/>
        </w:rPr>
        <w:t>方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所在地有管辖权的人民法院起诉；</w:t>
      </w:r>
    </w:p>
    <w:p>
      <w:pPr>
        <w:pStyle w:val="Normal"/>
        <w:keepNext w:val="false"/>
        <w:keepLines w:val="false"/>
        <w:widowControl/>
        <w:suppressLineNumbers w:val="0"/>
        <w:ind w:firstLine="440" w:end="0"/>
        <w:jc w:val="start"/>
        <w:rPr>
          <w:rFonts w:ascii="仿宋_GB2312" w:hAnsi="仿宋_GB2312" w:eastAsia="仿宋_GB2312" w:cs="仿宋_GB2312"/>
          <w:sz w:val="22"/>
          <w:szCs w:val="22"/>
        </w:rPr>
      </w:pP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三、其他方式：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single"/>
          <w:lang w:val="en-US" w:eastAsia="zh-CN" w:bidi="ar"/>
        </w:rPr>
        <w:t xml:space="preserve">                                      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u w:val="none"/>
          <w:lang w:val="en-US" w:eastAsia="zh-CN" w:bidi="ar"/>
        </w:rPr>
        <w:t>。如</w:t>
      </w:r>
      <w:r>
        <w:rPr>
          <w:rFonts w:ascii="仿宋_GB2312" w:hAnsi="仿宋_GB2312" w:cs="仿宋_GB2312" w:eastAsia="仿宋_GB2312"/>
          <w:color w:val="000000"/>
          <w:kern w:val="0"/>
          <w:sz w:val="22"/>
          <w:szCs w:val="22"/>
          <w:lang w:val="en-US" w:eastAsia="zh-CN" w:bidi="ar"/>
        </w:rPr>
        <w:t>本合同未能选择争议解决方式，视为双方均同意向沈阳仲裁委员会申请仲裁。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2" w:end="0"/>
        <w:jc w:val="start"/>
        <w:textAlignment w:val="auto"/>
        <w:rPr>
          <w:rFonts w:ascii="仿宋_GB2312" w:hAnsi="仿宋_GB2312" w:eastAsia="仿宋_GB2312" w:cs="仿宋_GB2312"/>
          <w:b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b/>
          <w:sz w:val="22"/>
          <w:szCs w:val="22"/>
          <w:lang w:eastAsia="zh-CN"/>
        </w:rPr>
        <w:t>第九条 附则</w:t>
      </w:r>
    </w:p>
    <w:p>
      <w:pPr>
        <w:pStyle w:val="11"/>
        <w:pageBreakBefore w:val="false"/>
        <w:widowControl w:val="false"/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val="en-US"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本合同经甲乙双方签字或盖章后生效。本合同一式三份，甲乙双方各执一份，二手车交易市场留存一份。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合同编号共十五位，组成为城市首字母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SY-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市场主体代码（四位）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-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交易年月日（六位）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-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序号（三位），例：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>SY-1001-20230315-001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>。</w:t>
      </w:r>
    </w:p>
    <w:p>
      <w:pPr>
        <w:pStyle w:val="11"/>
        <w:keepNext w:val="true"/>
        <w:keepLines/>
        <w:pageBreakBefore w:val="false"/>
        <w:widowControl w:val="false"/>
        <w:tabs>
          <w:tab w:val="clear" w:pos="420"/>
          <w:tab w:val="left" w:pos="2741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甲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方：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                              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乙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 xml:space="preserve"> 方：</w:t>
      </w:r>
    </w:p>
    <w:p>
      <w:pPr>
        <w:pStyle w:val="11"/>
        <w:pageBreakBefore w:val="false"/>
        <w:widowControl w:val="false"/>
        <w:tabs>
          <w:tab w:val="clear" w:pos="420"/>
          <w:tab w:val="left" w:pos="271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代理人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:      </w:t>
      </w:r>
      <w:r>
        <w:rPr>
          <w:rFonts w:eastAsia="仿宋_GB2312" w:cs="仿宋_GB2312" w:ascii="仿宋_GB2312" w:hAnsi="仿宋_GB2312"/>
          <w:sz w:val="22"/>
          <w:szCs w:val="22"/>
          <w:lang w:val="en-US" w:eastAsia="zh-CN"/>
        </w:rPr>
        <w:t xml:space="preserve">                           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代理人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:       </w:t>
      </w:r>
    </w:p>
    <w:p>
      <w:pPr>
        <w:pStyle w:val="11"/>
        <w:pageBreakBefore w:val="false"/>
        <w:widowControl w:val="false"/>
        <w:tabs>
          <w:tab w:val="clear" w:pos="420"/>
          <w:tab w:val="left" w:pos="2710" w:leader="underscore"/>
        </w:tabs>
        <w:kinsoku w:val="true"/>
        <w:overflowPunct w:val="true"/>
        <w:autoSpaceDE w:val="true"/>
        <w:bidi w:val="0"/>
        <w:snapToGrid w:val="true"/>
        <w:spacing w:lineRule="exact" w:line="336"/>
        <w:ind w:firstLine="440" w:end="0"/>
        <w:jc w:val="start"/>
        <w:textAlignment w:val="auto"/>
        <w:rPr>
          <w:rFonts w:ascii="仿宋_GB2312" w:hAnsi="仿宋_GB2312" w:eastAsia="仿宋_GB2312" w:cs="仿宋_GB2312"/>
          <w:sz w:val="22"/>
          <w:szCs w:val="22"/>
          <w:lang w:eastAsia="zh-CN"/>
        </w:rPr>
      </w:pPr>
      <w:r>
        <w:rPr>
          <w:rFonts w:ascii="仿宋_GB2312" w:hAnsi="仿宋_GB2312" w:cs="仿宋_GB2312" w:eastAsia="仿宋_GB2312"/>
          <w:sz w:val="22"/>
          <w:szCs w:val="22"/>
          <w:lang w:eastAsia="zh-CN"/>
        </w:rPr>
        <w:t>签约时间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:     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 xml:space="preserve">年    月   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日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        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签约时间</w:t>
      </w:r>
      <w:r>
        <w:rPr>
          <w:rFonts w:eastAsia="仿宋_GB2312" w:cs="仿宋_GB2312" w:ascii="仿宋_GB2312" w:hAnsi="仿宋_GB2312"/>
          <w:sz w:val="22"/>
          <w:szCs w:val="22"/>
          <w:lang w:eastAsia="zh-CN"/>
        </w:rPr>
        <w:t xml:space="preserve">:      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 xml:space="preserve">年    月   </w:t>
      </w:r>
      <w:r>
        <w:rPr>
          <w:rFonts w:ascii="仿宋_GB2312" w:hAnsi="仿宋_GB2312" w:cs="仿宋_GB2312" w:eastAsia="仿宋_GB2312"/>
          <w:sz w:val="22"/>
          <w:szCs w:val="22"/>
          <w:lang w:val="en-US" w:eastAsia="zh-CN"/>
        </w:rPr>
        <w:t xml:space="preserve"> </w:t>
      </w:r>
      <w:r>
        <w:rPr>
          <w:rFonts w:ascii="仿宋_GB2312" w:hAnsi="仿宋_GB2312" w:cs="仿宋_GB2312" w:eastAsia="仿宋_GB2312"/>
          <w:sz w:val="22"/>
          <w:szCs w:val="22"/>
          <w:lang w:eastAsia="zh-CN"/>
        </w:rPr>
        <w:t>日</w:t>
      </w:r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>
          <w:rFonts w:ascii="仿宋_GB2312" w:hAnsi="仿宋_GB2312" w:eastAsia="仿宋_GB2312" w:cs="仿宋_GB2312"/>
          <w:b/>
          <w:bCs/>
          <w:sz w:val="22"/>
          <w:szCs w:val="22"/>
          <w:lang w:eastAsia="zh-CN"/>
        </w:rPr>
      </w:pPr>
      <w:r>
        <w:rPr>
          <w:rFonts w:eastAsia="仿宋_GB2312" w:cs="仿宋_GB2312" w:ascii="仿宋_GB2312" w:hAnsi="仿宋_GB2312"/>
          <w:b/>
          <w:bCs/>
          <w:sz w:val="22"/>
          <w:szCs w:val="22"/>
          <w:lang w:eastAsia="zh-CN"/>
        </w:rPr>
      </w:r>
      <w:bookmarkStart w:id="3" w:name="bookmark5"/>
      <w:bookmarkStart w:id="4" w:name="bookmark5"/>
      <w:bookmarkEnd w:id="4"/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>
          <w:rFonts w:ascii="仿宋_GB2312" w:hAnsi="仿宋_GB2312" w:eastAsia="仿宋_GB2312" w:cs="仿宋_GB2312"/>
          <w:b/>
          <w:bCs/>
          <w:sz w:val="22"/>
          <w:szCs w:val="22"/>
          <w:lang w:eastAsia="zh-CN"/>
        </w:rPr>
      </w:pPr>
      <w:r>
        <w:rPr>
          <w:rFonts w:eastAsia="仿宋_GB2312" w:cs="仿宋_GB2312" w:ascii="仿宋_GB2312" w:hAnsi="仿宋_GB2312"/>
          <w:b/>
          <w:bCs/>
          <w:sz w:val="22"/>
          <w:szCs w:val="22"/>
          <w:lang w:eastAsia="zh-CN"/>
        </w:rPr>
      </w:r>
    </w:p>
    <w:p>
      <w:pPr>
        <w:pStyle w:val="Normal"/>
        <w:tabs>
          <w:tab w:val="clear" w:pos="420"/>
          <w:tab w:val="left" w:pos="5394" w:leader="none"/>
        </w:tabs>
        <w:bidi w:val="0"/>
        <w:ind w:firstLine="1767" w:end="0"/>
        <w:jc w:val="start"/>
        <w:rPr/>
      </w:pPr>
      <w:r>
        <w:rPr>
          <w:rFonts w:ascii="仿宋_GB2312" w:hAnsi="仿宋_GB2312" w:cs="仿宋_GB2312" w:eastAsia="仿宋_GB2312"/>
          <w:b/>
          <w:bCs/>
          <w:sz w:val="22"/>
          <w:szCs w:val="22"/>
          <w:lang w:eastAsia="zh-CN"/>
        </w:rPr>
        <w:t>（沈阳市商务局</w:t>
      </w:r>
      <w:r>
        <w:rPr>
          <w:rFonts w:ascii="仿宋_GB2312" w:hAnsi="仿宋_GB2312" w:cs="仿宋_GB2312" w:eastAsia="仿宋_GB2312"/>
          <w:b/>
          <w:bCs/>
          <w:sz w:val="22"/>
          <w:szCs w:val="22"/>
          <w:lang w:val="en-US" w:eastAsia="zh-CN"/>
        </w:rPr>
        <w:t>、沈阳市市场监督管理局联合制定</w:t>
      </w:r>
      <w:r>
        <w:rPr>
          <w:rFonts w:ascii="仿宋_GB2312" w:hAnsi="仿宋_GB2312" w:cs="仿宋_GB2312" w:eastAsia="仿宋_GB2312"/>
          <w:b/>
          <w:bCs/>
          <w:sz w:val="22"/>
          <w:szCs w:val="22"/>
          <w:lang w:eastAsia="zh-CN"/>
        </w:rPr>
        <w:t>）</w:t>
      </w:r>
    </w:p>
    <w:sectPr>
      <w:type w:val="nextPage"/>
      <w:pgSz w:w="11906" w:h="16838"/>
      <w:pgMar w:left="1474" w:right="1361" w:gutter="0" w:header="0" w:top="1984" w:footer="0" w:bottom="1417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0" w:characterSet="windows-1252"/>
    <w:family w:val="swiss"/>
    <w:pitch w:val="default"/>
  </w:font>
  <w:font w:name="宋体">
    <w:charset w:val="86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MingLiU">
    <w:altName w:val="MS Gothic"/>
    <w:charset w:val="00" w:characterSet="windows-1252"/>
    <w:family w:val="modern"/>
    <w:pitch w:val="default"/>
  </w:font>
  <w:font w:name="微软雅黑">
    <w:charset w:val="86"/>
    <w:family w:val="auto"/>
    <w:pitch w:val="default"/>
  </w:font>
  <w:font w:name="仿宋_GB2312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commondata" w:val="eyJoZGlkIjoiYjMzYzM5ZjY1MmVmZTMxN2VlZDg3MDM1ZmE0ZTQ4ZDgifQ=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华文宋体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character" w:styleId="font41">
    <w:name w:val="font41"/>
    <w:basedOn w:val="Style14"/>
    <w:qFormat/>
    <w:rPr>
      <w:rFonts w:ascii="宋体" w:hAnsi="宋体" w:eastAsia="宋体" w:cs="宋体"/>
      <w:color w:val="000000"/>
      <w:sz w:val="22"/>
      <w:szCs w:val="22"/>
      <w:u w:val="non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start"/>
    </w:pPr>
    <w:rPr>
      <w:sz w:val="18"/>
      <w:szCs w:val="18"/>
    </w:rPr>
  </w:style>
  <w:style w:type="paragraph" w:styleId="2">
    <w:name w:val="标题 #2"/>
    <w:basedOn w:val="Normal"/>
    <w:qFormat/>
    <w:pPr>
      <w:spacing w:before="0" w:after="300"/>
      <w:outlineLvl w:val="1"/>
    </w:pPr>
    <w:rPr>
      <w:rFonts w:ascii="MingLiU;MS Gothic" w:hAnsi="MingLiU;MS Gothic" w:eastAsia="MingLiU;MS Gothic" w:cs="MingLiU;MS Gothic"/>
      <w:sz w:val="18"/>
      <w:szCs w:val="18"/>
    </w:rPr>
  </w:style>
  <w:style w:type="paragraph" w:styleId="1">
    <w:name w:val="标题 #1"/>
    <w:basedOn w:val="Normal"/>
    <w:qFormat/>
    <w:pPr>
      <w:spacing w:before="0" w:after="340"/>
      <w:jc w:val="center"/>
      <w:outlineLvl w:val="0"/>
    </w:pPr>
    <w:rPr>
      <w:rFonts w:ascii="微软雅黑" w:hAnsi="微软雅黑" w:eastAsia="微软雅黑" w:cs="微软雅黑"/>
      <w:sz w:val="28"/>
      <w:szCs w:val="28"/>
    </w:rPr>
  </w:style>
  <w:style w:type="paragraph" w:styleId="11">
    <w:name w:val="正文文本1"/>
    <w:basedOn w:val="Normal"/>
    <w:qFormat/>
    <w:pPr>
      <w:spacing w:lineRule="auto" w:line="317"/>
      <w:ind w:firstLine="340" w:start="0" w:end="0"/>
    </w:pPr>
    <w:rPr>
      <w:rFonts w:ascii="MingLiU;MS Gothic" w:hAnsi="MingLiU;MS Gothic" w:eastAsia="MingLiU;MS Gothic" w:cs="MingLiU;MS Gothic"/>
      <w:sz w:val="17"/>
      <w:szCs w:val="17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36000</TotalTime>
  <Application>LibreOffice/25.2.2.2$MacOSX_AARCH64 LibreOffice_project/7370d4be9e3cf6031a51beef54ff3bda878e3fac</Application>
  <AppVersion>15.0000</AppVersion>
  <Pages>3</Pages>
  <Words>1400</Words>
  <Characters>1423</Characters>
  <CharactersWithSpaces>3040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2014-11-04T20:08:00Z</dcterms:created>
  <dc:creator>Administrator</dc:creator>
  <dc:description/>
  <dc:language>zh-CN</dc:language>
  <cp:lastModifiedBy>宋阳</cp:lastModifiedBy>
  <cp:lastPrinted>2023-03-16T01:10:00Z</cp:lastPrinted>
  <dcterms:modified xsi:type="dcterms:W3CDTF">2023-07-06T17:19:00Z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395F6700E64B4FBB87D80F1B96CCABFE_12</vt:lpwstr>
  </property>
  <property fmtid="{D5CDD505-2E9C-101B-9397-08002B2CF9AE}" pid="3" name="KSOProductBuildVer">
    <vt:lpwstr>2052-11.1.0.14309</vt:lpwstr>
  </property>
</Properties>
</file>