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Cs/>
          <w:sz w:val="28"/>
          <w:szCs w:val="28"/>
        </w:rPr>
        <w:t>MF</w:t>
      </w:r>
      <w:r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>2008</w:t>
      </w:r>
      <w:r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>009</w:t>
      </w:r>
    </w:p>
    <w:p>
      <w:pPr>
        <w:pStyle w:val="Normal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</w:r>
    </w:p>
    <w:p>
      <w:pPr>
        <w:pStyle w:val="Normal"/>
        <w:jc w:val="center"/>
        <w:rPr>
          <w:rFonts w:ascii="方正小标宋_GBK" w:hAnsi="方正小标宋_GBK" w:eastAsia="方正小标宋_GBK" w:cs="宋体;SimSun"/>
          <w:sz w:val="40"/>
          <w:szCs w:val="40"/>
        </w:rPr>
      </w:pPr>
      <w:r>
        <w:rPr>
          <w:rFonts w:ascii="方正小标宋_GBK" w:hAnsi="方正小标宋_GBK" w:eastAsia="方正小标宋_GBK"/>
          <w:bCs/>
          <w:sz w:val="40"/>
          <w:szCs w:val="40"/>
        </w:rPr>
        <w:t>福建省农作物种子买卖合同</w:t>
      </w:r>
    </w:p>
    <w:p>
      <w:pPr>
        <w:pStyle w:val="Normal"/>
        <w:jc w:val="center"/>
        <w:rPr>
          <w:rFonts w:ascii="方正书宋_GBK" w:hAnsi="方正书宋_GBK" w:eastAsia="方正书宋_GBK"/>
          <w:bCs/>
          <w:sz w:val="28"/>
          <w:szCs w:val="28"/>
        </w:rPr>
      </w:pPr>
      <w:r>
        <w:rPr>
          <w:rFonts w:ascii="方正楷体_GBK" w:hAnsi="方正楷体_GBK" w:eastAsia="方正楷体_GBK"/>
          <w:bCs/>
          <w:sz w:val="28"/>
          <w:szCs w:val="28"/>
        </w:rPr>
        <w:t>（示范文本）</w:t>
      </w:r>
    </w:p>
    <w:p>
      <w:pPr>
        <w:pStyle w:val="Normal"/>
        <w:spacing w:lineRule="exact" w:line="420"/>
        <w:ind w:firstLine="436" w:end="0"/>
        <w:rPr>
          <w:rFonts w:ascii="方正书宋_GBK" w:hAnsi="方正书宋_GBK" w:eastAsia="方正书宋_GBK"/>
          <w:bCs/>
          <w:sz w:val="22"/>
          <w:szCs w:val="22"/>
        </w:rPr>
      </w:pPr>
      <w:r>
        <w:rPr>
          <w:rFonts w:eastAsia="方正书宋_GBK" w:ascii="方正书宋_GBK" w:hAnsi="方正书宋_GBK"/>
          <w:bCs/>
          <w:sz w:val="22"/>
          <w:szCs w:val="22"/>
        </w:rPr>
      </w:r>
    </w:p>
    <w:p>
      <w:pPr>
        <w:pStyle w:val="Normal"/>
        <w:spacing w:lineRule="exact" w:line="420"/>
        <w:ind w:firstLine="436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需方：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为明确双方的权利义务，根据《中华人民共和国合同法》、《中华人民共和国种子法》及有关规定，双方本着平等互利的原则，经协商一致，签订本合同。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第一条</w:t>
      </w:r>
      <w:r>
        <w:rPr>
          <w:rFonts w:ascii="方正书宋_GBK" w:hAnsi="方正书宋_GBK" w:eastAsia="方正书宋_GBK"/>
          <w:sz w:val="22"/>
          <w:szCs w:val="22"/>
        </w:rPr>
        <w:t xml:space="preserve">  农作物种子种类、品种、质量、数量、金额</w:t>
      </w:r>
    </w:p>
    <w:tbl>
      <w:tblPr>
        <w:tblpPr w:vertAnchor="text" w:horzAnchor="margin" w:tblpXSpec="center" w:leftFromText="180" w:rightFromText="180" w:tblpY="158"/>
        <w:tblOverlap w:val="never"/>
        <w:tblW w:w="974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36"/>
        <w:gridCol w:w="720"/>
        <w:gridCol w:w="756"/>
        <w:gridCol w:w="756"/>
        <w:gridCol w:w="756"/>
        <w:gridCol w:w="720"/>
        <w:gridCol w:w="720"/>
        <w:gridCol w:w="756"/>
        <w:gridCol w:w="756"/>
        <w:gridCol w:w="936"/>
        <w:gridCol w:w="756"/>
        <w:gridCol w:w="1172"/>
      </w:tblGrid>
      <w:tr>
        <w:trPr>
          <w:trHeight w:val="518" w:hRule="atLeast"/>
          <w:cantSplit w:val="true"/>
        </w:trPr>
        <w:tc>
          <w:tcPr>
            <w:tcW w:w="93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农作物</w:t>
            </w:r>
          </w:p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种 类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品种名称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种子</w:t>
            </w:r>
          </w:p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类别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产地</w:t>
            </w:r>
          </w:p>
        </w:tc>
        <w:tc>
          <w:tcPr>
            <w:tcW w:w="75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/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生 产</w:t>
            </w:r>
          </w:p>
          <w:p>
            <w:pPr>
              <w:pStyle w:val="Normal"/>
              <w:spacing w:lineRule="exact" w:line="420"/>
              <w:rPr/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年 月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计量单位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320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质量（</w:t>
            </w:r>
            <w:r>
              <w:rPr>
                <w:rFonts w:eastAsia="方正书宋_GBK" w:ascii="方正书宋_GBK" w:hAnsi="方正书宋_GBK"/>
                <w:sz w:val="18"/>
                <w:szCs w:val="18"/>
              </w:rPr>
              <w:t>%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）</w:t>
            </w:r>
          </w:p>
        </w:tc>
        <w:tc>
          <w:tcPr>
            <w:tcW w:w="117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单价（元）</w:t>
            </w:r>
          </w:p>
        </w:tc>
      </w:tr>
      <w:tr>
        <w:trPr>
          <w:trHeight w:val="439" w:hRule="atLeast"/>
          <w:cantSplit w:val="true"/>
        </w:trPr>
        <w:tc>
          <w:tcPr>
            <w:tcW w:w="93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纯度</w:t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净度</w:t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发芽率</w:t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水份</w:t>
            </w:r>
          </w:p>
        </w:tc>
        <w:tc>
          <w:tcPr>
            <w:tcW w:w="117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7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06" w:hRule="atLeast"/>
          <w:cantSplit w:val="true"/>
        </w:trPr>
        <w:tc>
          <w:tcPr>
            <w:tcW w:w="9740" w:type="dxa"/>
            <w:gridSpan w:val="1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合计人民币金额（大写）：   万   仟   佰   拾   元   角   分  ￥：</w:t>
            </w:r>
          </w:p>
        </w:tc>
      </w:tr>
    </w:tbl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/>
      <w:r>
        <w:rPr>
          <w:rFonts w:ascii="方正书宋_GBK" w:hAnsi="方正书宋_GBK" w:eastAsia="方正书宋_GBK"/>
          <w:sz w:val="22"/>
          <w:szCs w:val="22"/>
        </w:rPr>
        <w:t>（一）对上表所列各批次种子，双方应共同扦封样品，分别保存，以备种子复检和鉴定，样品保存至该批种子用于生产收获以后。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（二）其他：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                          </w:t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 xml:space="preserve">第二条 </w:t>
      </w:r>
      <w:r>
        <w:rPr>
          <w:rFonts w:ascii="方正书宋_GBK" w:hAnsi="方正书宋_GBK" w:eastAsia="方正书宋_GBK"/>
          <w:sz w:val="22"/>
          <w:szCs w:val="22"/>
        </w:rPr>
        <w:t xml:space="preserve"> 农作物种子的检验、检疫及标签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供方应严格按国家和省颁布的种子检验检疫管理办法、标准、技术规范及有关规定进行农作物种子检验检疫，农作物种子检验规程执行</w:t>
      </w:r>
      <w:r>
        <w:rPr>
          <w:rFonts w:eastAsia="方正书宋_GBK" w:ascii="方正书宋_GBK" w:hAnsi="方正书宋_GBK"/>
          <w:sz w:val="22"/>
          <w:szCs w:val="22"/>
        </w:rPr>
        <w:t>GB/T3543</w:t>
      </w:r>
      <w:r>
        <w:rPr>
          <w:rFonts w:ascii="方正书宋_GBK" w:hAnsi="方正书宋_GBK" w:eastAsia="方正书宋_GBK"/>
          <w:sz w:val="22"/>
          <w:szCs w:val="22"/>
        </w:rPr>
        <w:t>《农作物种子检验规程》。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（一）种子质量应达到国家标准或行业标准或地方标准，没有国家标准或行业标准或地方标准的，由双方约定标准。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（二）供方必须提供符合有关规定的种子标签、《植物检疫证书》。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（三）需方收货后复检，净度、发芽率、水分三项指标在收货后两个发芽周期内复检完毕，纯度在收货后该作物第一生产周期内复检完毕，发现问题应及时通知对方，逾期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天视为种子合格。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（四）对种子质量等提出异议要求检验和鉴定的，由双方共同指定检验、鉴定单位，申请种子委托检验和鉴定的，其费用由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eastAsia="方正书宋_GBK"/>
          <w:sz w:val="22"/>
          <w:szCs w:val="22"/>
        </w:rPr>
        <w:t>（单位）负担。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第三条</w:t>
      </w:r>
      <w:r>
        <w:rPr>
          <w:rFonts w:ascii="方正书宋_GBK" w:hAnsi="方正书宋_GBK" w:eastAsia="方正书宋_GBK"/>
          <w:sz w:val="22"/>
          <w:szCs w:val="22"/>
        </w:rPr>
        <w:t xml:space="preserve">  超幅度损耗及计算方法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第四条</w:t>
      </w:r>
      <w:r>
        <w:rPr>
          <w:rFonts w:ascii="方正书宋_GBK" w:hAnsi="方正书宋_GBK" w:eastAsia="方正书宋_GBK"/>
          <w:sz w:val="22"/>
          <w:szCs w:val="22"/>
        </w:rPr>
        <w:t xml:space="preserve">  包装要求及包装费负担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第五条</w:t>
      </w:r>
      <w:r>
        <w:rPr>
          <w:rFonts w:ascii="方正书宋_GBK" w:hAnsi="方正书宋_GBK" w:eastAsia="方正书宋_GBK"/>
          <w:sz w:val="22"/>
          <w:szCs w:val="22"/>
        </w:rPr>
        <w:t xml:space="preserve">  交（提）货时间、地点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sz w:val="22"/>
          <w:szCs w:val="22"/>
        </w:rPr>
        <w:t xml:space="preserve">  发运方式、运费负担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第七条</w:t>
      </w:r>
      <w:r>
        <w:rPr>
          <w:rFonts w:ascii="方正书宋_GBK" w:hAnsi="方正书宋_GBK" w:eastAsia="方正书宋_GBK"/>
          <w:sz w:val="22"/>
          <w:szCs w:val="22"/>
        </w:rPr>
        <w:t xml:space="preserve">  交付定金数额、时间及货款结算方式和期限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在执行政府指导价时，在合同约定的交付期限内政府价格调整的，按照交付时的价格计价。逾期交付种子的，遇价格上涨时，按照原价格执行；价格下降时，按照新价格执行。逾期提取种子或者逾期付款的，遇价格上涨时，按照新价格执行；价格下降时，按照原价格执行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第八条</w:t>
      </w:r>
      <w:r>
        <w:rPr>
          <w:rFonts w:ascii="方正书宋_GBK" w:hAnsi="方正书宋_GBK" w:eastAsia="方正书宋_GBK"/>
          <w:sz w:val="22"/>
          <w:szCs w:val="22"/>
        </w:rPr>
        <w:t xml:space="preserve">  本合同变更、解除的条件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因不可抗力因素造成种子数量或质量达不到本合同约定条款的，供方应及时通知需方进行实地考查，提供具有法律效力的有关资料，由双方协商变更合同，签订补充协议。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第九条</w:t>
      </w:r>
      <w:r>
        <w:rPr>
          <w:rFonts w:ascii="方正书宋_GBK" w:hAnsi="方正书宋_GBK" w:eastAsia="方正书宋_GBK"/>
          <w:sz w:val="22"/>
          <w:szCs w:val="22"/>
        </w:rPr>
        <w:t xml:space="preserve">  违约责任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应保证所供种子的类别、品种、数量、质量、产地、生产年月符合合同约定，并按合同约定的时间、地点交付需方；需方应按合同约定的时间接收供方提供的符合本合同要求的种子，并保证按时支付货款；一方违约，应承担另一方实际损失责任。</w:t>
      </w:r>
    </w:p>
    <w:p>
      <w:pPr>
        <w:pStyle w:val="Normal"/>
        <w:spacing w:lineRule="exact" w:line="420"/>
        <w:ind w:firstLine="55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供方违约责任：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eastAsia="方正书宋_GBK"/>
          <w:sz w:val="22"/>
          <w:szCs w:val="22"/>
        </w:rPr>
        <w:t>（一）供方迟延交货，每逾期一日按照未交货部分货物价款的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 xml:space="preserve">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付给需方违约金；交货超过约定时间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日，按延误农时不能交货处理。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二）供方所供种子的种类、类别、品种、数量、质量、产地、生产年月不符合合同约定，造成农作物种植收成损失，应依法承担赔偿需方经济损失；及时采取纠正或补救措施，未造成农作物种植收成损失，应赔偿需方购种子的货款、利息、交通费、误工费等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（三）供方不能按时交货或交货数量不足，应按照未交货部分货物价款的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 xml:space="preserve">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付给需方违约金，并赔偿由此造成的经济损失。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需方违约责任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（一）需方不按照合同规定的期限结算货款的，每逾期一日应按照未付款部分的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 xml:space="preserve"> </w:t>
      </w:r>
      <w:r>
        <w:rPr>
          <w:rFonts w:eastAsia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eastAsia="方正书宋_GBK"/>
          <w:sz w:val="22"/>
          <w:szCs w:val="22"/>
        </w:rPr>
        <w:t>付给供方违约金。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（二）需方如无正当理由不履行合同的，所交定金不予返还。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（三）需方不按合同约定支付定金的，承担解除合同责任，并相应赔偿供方的经济损失。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     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第十条</w:t>
      </w:r>
      <w:r>
        <w:rPr>
          <w:rFonts w:ascii="方正书宋_GBK" w:hAnsi="方正书宋_GBK" w:eastAsia="方正书宋_GBK"/>
          <w:sz w:val="22"/>
          <w:szCs w:val="22"/>
        </w:rPr>
        <w:t xml:space="preserve">  本合同附件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种子标签、《产地检疫合格证》、《植物（调运）检疫证书》及合同双方的《农作物种子生产许可证》、《农作物种子经营证可证》及《营业执照》（副本）复印件均作为本合同附件。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第十一条</w:t>
      </w:r>
      <w:r>
        <w:rPr>
          <w:rFonts w:ascii="方正书宋_GBK" w:hAnsi="方正书宋_GBK" w:eastAsia="方正书宋_GBK"/>
          <w:sz w:val="22"/>
          <w:szCs w:val="22"/>
        </w:rPr>
        <w:t xml:space="preserve">  合同争议的解决方式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种子质量发生纠纷，需要进行技术质量鉴定的，由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eastAsia="方正书宋_GBK"/>
          <w:sz w:val="22"/>
          <w:szCs w:val="22"/>
        </w:rPr>
        <w:t xml:space="preserve">（法定机构或单位）进行技术质量鉴定，检验和鉴定费用由责任方承担。本合同在履行中发生纠纷，由双方当事人协商解决或向当地行政主管理部门申请行政调解；协商或调解不成时，按下列第 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</w:rPr>
        <w:t xml:space="preserve"> 种方式解决：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（一）提交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eastAsia="方正书宋_GBK"/>
          <w:sz w:val="22"/>
          <w:szCs w:val="22"/>
        </w:rPr>
        <w:t>仲裁委员会仲裁；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（二）依法向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eastAsia="方正书宋_GBK"/>
          <w:sz w:val="22"/>
          <w:szCs w:val="22"/>
        </w:rPr>
        <w:t>人民法院起诉。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黑体_GBK" w:hAnsi="方正黑体_GBK" w:eastAsia="方正黑体_GBK"/>
          <w:sz w:val="22"/>
          <w:szCs w:val="22"/>
        </w:rPr>
        <w:t>第十二条</w:t>
      </w:r>
      <w:r>
        <w:rPr>
          <w:rFonts w:ascii="方正书宋_GBK" w:hAnsi="方正书宋_GBK" w:eastAsia="方正书宋_GBK"/>
          <w:sz w:val="22"/>
          <w:szCs w:val="22"/>
        </w:rPr>
        <w:t xml:space="preserve">  其它约定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</w:p>
    <w:p>
      <w:pPr>
        <w:pStyle w:val="Normal"/>
        <w:spacing w:lineRule="exact" w:line="420"/>
        <w:ind w:firstLine="321" w:start="147" w:end="0"/>
        <w:rPr/>
      </w:pPr>
      <w:r>
        <w:rPr>
          <w:rFonts w:ascii="方正黑体_GBK" w:hAnsi="方正黑体_GBK" w:eastAsia="方正黑体_GBK"/>
          <w:sz w:val="22"/>
          <w:szCs w:val="22"/>
        </w:rPr>
        <w:t>第十三条</w:t>
      </w:r>
      <w:r>
        <w:rPr>
          <w:rFonts w:ascii="方正书宋_GBK" w:hAnsi="方正书宋_GBK" w:eastAsia="方正书宋_GBK"/>
          <w:sz w:val="22"/>
          <w:szCs w:val="22"/>
        </w:rPr>
        <w:t xml:space="preserve">  合同的生效。本合同自双方当事人签字盖章之日起生效。本合同一式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份，双方各持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份，未尽事宜经合同双方当事人协商一致，签订补充协议，补充协议与本合同具有同等法律效力。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附件：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</w:t>
      </w:r>
    </w:p>
    <w:p>
      <w:pPr>
        <w:pStyle w:val="Normal"/>
        <w:spacing w:lineRule="exact" w:line="420"/>
        <w:ind w:firstLine="66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</w:t>
      </w:r>
    </w:p>
    <w:p>
      <w:pPr>
        <w:pStyle w:val="Normal"/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供方（章）：                       需方（章）：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单位地址：                        单位地址：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法定代表人：                      法定代表人：</w:t>
      </w:r>
    </w:p>
    <w:p>
      <w:pPr>
        <w:pStyle w:val="Normal"/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代理人：                          代理人：</w:t>
      </w:r>
    </w:p>
    <w:p>
      <w:pPr>
        <w:pStyle w:val="Normal"/>
        <w:spacing w:lineRule="exact" w:line="420"/>
        <w:ind w:firstLine="264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eastAsia="方正书宋_GBK" w:cs="宋体;SimSun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385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eastAsia="方正书宋_GBK" w:cs="宋体;SimSun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385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ascii="方正书宋_GBK" w:hAnsi="方正书宋_GBK" w:cs="宋体;SimSun" w:eastAsia="方正书宋_GBK"/>
          <w:sz w:val="22"/>
          <w:szCs w:val="22"/>
        </w:rPr>
        <w:t>签订地点：</w:t>
      </w:r>
    </w:p>
    <w:p>
      <w:pPr>
        <w:pStyle w:val="Normal"/>
        <w:spacing w:lineRule="exact" w:line="420"/>
        <w:ind w:firstLine="3850" w:end="0"/>
        <w:rPr/>
      </w:pPr>
      <w:r>
        <w:rPr>
          <w:rFonts w:ascii="方正书宋_GBK" w:hAnsi="方正书宋_GBK" w:cs="宋体;SimSun" w:eastAsia="方正书宋_GBK"/>
          <w:sz w:val="22"/>
          <w:szCs w:val="22"/>
        </w:rPr>
        <w:t>签订日期：</w:t>
      </w:r>
      <w:r>
        <w:rPr>
          <w:rFonts w:ascii="方正书宋_GBK" w:hAnsi="方正书宋_GBK" w:eastAsia="方正书宋_GBK"/>
          <w:sz w:val="22"/>
          <w:szCs w:val="22"/>
        </w:rPr>
        <w:t xml:space="preserve">     年    月    日</w:t>
      </w:r>
    </w:p>
    <w:sectPr>
      <w:footerReference w:type="default" r:id="rId2"/>
      <w:type w:val="nextPage"/>
      <w:pgSz w:w="11906" w:h="16838"/>
      <w:pgMar w:left="1418" w:right="1418" w:gutter="0" w:header="0" w:top="1701" w:footer="992" w:bottom="1701"/>
      <w:pgNumType w:fmt="decimal"/>
      <w:formProt w:val="false"/>
      <w:textDirection w:val="lrTb"/>
      <w:docGrid w:type="lines" w:linePitch="312" w:charSpace="215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script"/>
    <w:pitch w:val="default"/>
  </w:font>
  <w:font w:name="方正书宋_GBK">
    <w:charset w:val="86"/>
    <w:family w:val="script"/>
    <w:pitch w:val="default"/>
  </w:font>
  <w:font w:name="方正黑体_GBK">
    <w:charset w:val="86"/>
    <w:family w:val="script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360"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365760" cy="238125"/>
              <wp:effectExtent l="0" t="0" r="0" b="0"/>
              <wp:wrapSquare wrapText="bothSides"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381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ind w:start="210" w:end="210"/>
                            <w:rPr>
                              <w:rStyle w:val="PageNumber"/>
                              <w:rFonts w:ascii="宋体;SimSun" w:hAnsi="宋体;SimSun" w:cs="宋体;SimSu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;SimSun" w:hAnsi="宋体;SimSun" w:cs="宋体;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t>4</w:t>
                          </w:r>
                          <w:r>
                            <w:rPr>
                              <w:sz w:val="28"/>
                              <w:szCs w:val="28"/>
                              <w:rFonts w:ascii="宋体;SimSun" w:hAnsi="宋体;SimSun" w:cs="宋体;SimSu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28.8pt;height:18.7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ind w:start="210" w:end="210"/>
                      <w:rPr>
                        <w:rStyle w:val="PageNumber"/>
                        <w:rFonts w:ascii="宋体;SimSun" w:hAnsi="宋体;SimSun" w:cs="宋体;SimSun"/>
                        <w:sz w:val="28"/>
                        <w:szCs w:val="28"/>
                      </w:rPr>
                    </w:pPr>
                    <w:r>
                      <w:rPr>
                        <w:rFonts w:ascii="宋体;SimSun" w:hAnsi="宋体;SimSun" w:cs="宋体;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t>4</w:t>
                    </w:r>
                    <w:r>
                      <w:rPr>
                        <w:sz w:val="28"/>
                        <w:szCs w:val="28"/>
                        <w:rFonts w:ascii="宋体;SimSun" w:hAnsi="宋体;SimSun" w:cs="宋体;SimSun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IsProcessingDocument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GB2312">
    <w:name w:val="样式 仿宋_GB2312"/>
    <w:basedOn w:val="Style14"/>
    <w:qFormat/>
    <w:rPr>
      <w:rFonts w:ascii="仿宋_GB2312" w:hAnsi="仿宋_GB2312" w:eastAsia="仿宋_GB2312" w:cs="仿宋_GB2312"/>
      <w:sz w:val="32"/>
    </w:rPr>
  </w:style>
  <w:style w:type="character" w:styleId="Style15">
    <w:name w:val="主题词"/>
    <w:qFormat/>
    <w:rPr>
      <w:rFonts w:eastAsia="黑体;SimHei"/>
      <w:sz w:val="32"/>
    </w:rPr>
  </w:style>
  <w:style w:type="character" w:styleId="Style16">
    <w:name w:val="主题词内容"/>
    <w:qFormat/>
    <w:rPr>
      <w:rFonts w:eastAsia="方正小标宋简体"/>
      <w:sz w:val="32"/>
    </w:rPr>
  </w:style>
  <w:style w:type="character" w:styleId="GB23121">
    <w:name w:val="样式 仿宋_GB23121"/>
    <w:basedOn w:val="Style14"/>
    <w:qFormat/>
    <w:rPr>
      <w:rFonts w:ascii="仿宋_GB2312" w:hAnsi="仿宋_GB2312" w:eastAsia="仿宋_GB2312" w:cs="仿宋_GB2312"/>
      <w:sz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公文正文"/>
    <w:basedOn w:val="Normal"/>
    <w:qFormat/>
    <w:pPr/>
    <w:rPr>
      <w:rFonts w:eastAsia="仿宋_GB2312"/>
      <w:sz w:val="32"/>
      <w:szCs w:val="30"/>
    </w:rPr>
  </w:style>
  <w:style w:type="paragraph" w:styleId="Style19">
    <w:name w:val="字号、主送"/>
    <w:basedOn w:val="Normal"/>
    <w:next w:val="Style18"/>
    <w:qFormat/>
    <w:pPr/>
    <w:rPr>
      <w:rFonts w:eastAsia="仿宋_GB2312"/>
      <w:sz w:val="32"/>
    </w:rPr>
  </w:style>
  <w:style w:type="paragraph" w:styleId="Style20">
    <w:name w:val="小标题（仿宋）"/>
    <w:basedOn w:val="Normal"/>
    <w:next w:val="Style18"/>
    <w:qFormat/>
    <w:pPr/>
    <w:rPr>
      <w:rFonts w:eastAsia="仿宋_GB2312"/>
      <w:sz w:val="30"/>
    </w:rPr>
  </w:style>
  <w:style w:type="paragraph" w:styleId="Style21">
    <w:name w:val="印发"/>
    <w:next w:val="Normal"/>
    <w:qFormat/>
    <w:pPr>
      <w:widowControl/>
      <w:bidi w:val="0"/>
    </w:pPr>
    <w:rPr>
      <w:rFonts w:ascii="Times New Roman" w:hAnsi="Times New Roman" w:eastAsia="仿宋_GB2312" w:cs="Times New Roman"/>
      <w:color w:val="auto"/>
      <w:kern w:val="2"/>
      <w:sz w:val="32"/>
      <w:szCs w:val="24"/>
      <w:lang w:val="en-US" w:eastAsia="zh-CN" w:bidi="ar-SA"/>
    </w:rPr>
  </w:style>
  <w:style w:type="paragraph" w:styleId="Style22">
    <w:name w:val="发文机关"/>
    <w:basedOn w:val="Normal"/>
    <w:next w:val="Style18"/>
    <w:qFormat/>
    <w:pPr/>
    <w:rPr>
      <w:rFonts w:eastAsia="方正小标宋简体"/>
      <w:color w:val="FF0000"/>
      <w:sz w:val="56"/>
      <w:szCs w:val="56"/>
    </w:rPr>
  </w:style>
  <w:style w:type="paragraph" w:styleId="Style23">
    <w:name w:val="小标题（宋体）"/>
    <w:basedOn w:val="Normal"/>
    <w:next w:val="Style18"/>
    <w:qFormat/>
    <w:pPr/>
    <w:rPr>
      <w:sz w:val="30"/>
    </w:rPr>
  </w:style>
  <w:style w:type="paragraph" w:styleId="Style24">
    <w:name w:val="词目"/>
    <w:basedOn w:val="Normal"/>
    <w:next w:val="Style18"/>
    <w:qFormat/>
    <w:pPr/>
    <w:rPr>
      <w:sz w:val="30"/>
    </w:rPr>
  </w:style>
  <w:style w:type="paragraph" w:styleId="Style25">
    <w:name w:val="小标题（黑体）"/>
    <w:basedOn w:val="Normal"/>
    <w:next w:val="Style18"/>
    <w:qFormat/>
    <w:pPr/>
    <w:rPr>
      <w:rFonts w:eastAsia="黑体;SimHei"/>
      <w:sz w:val="30"/>
    </w:rPr>
  </w:style>
  <w:style w:type="paragraph" w:styleId="Style26">
    <w:name w:val="公文标题"/>
    <w:basedOn w:val="Normal"/>
    <w:next w:val="Style18"/>
    <w:qFormat/>
    <w:pPr/>
    <w:rPr>
      <w:rFonts w:eastAsia="方正小标宋简体"/>
      <w:sz w:val="44"/>
    </w:rPr>
  </w:style>
  <w:style w:type="paragraph" w:styleId="Style27">
    <w:name w:val="传真眉首"/>
    <w:next w:val="Style18"/>
    <w:qFormat/>
    <w:pPr>
      <w:widowControl/>
      <w:bidi w:val="0"/>
    </w:pPr>
    <w:rPr>
      <w:rFonts w:ascii="Times New Roman" w:hAnsi="Times New Roman" w:eastAsia="仿宋_GB2312" w:cs="Times New Roman"/>
      <w:color w:val="FF0000"/>
      <w:kern w:val="2"/>
      <w:sz w:val="32"/>
      <w:szCs w:val="24"/>
      <w:lang w:val="en-US" w:eastAsia="zh-CN" w:bidi="ar-SA"/>
    </w:rPr>
  </w:style>
  <w:style w:type="paragraph" w:styleId="Style28">
    <w:name w:val="密级、缓急"/>
    <w:next w:val="Style18"/>
    <w:qFormat/>
    <w:pPr>
      <w:widowControl/>
      <w:bidi w:val="0"/>
    </w:pPr>
    <w:rPr>
      <w:rFonts w:ascii="Times New Roman" w:hAnsi="Times New Roman" w:eastAsia="黑体;SimHei" w:cs="Times New Roman"/>
      <w:color w:val="auto"/>
      <w:kern w:val="2"/>
      <w:sz w:val="30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2013-05-27T16:13:00Z</dcterms:created>
  <dc:creator>admin</dc:creator>
  <dc:description/>
  <cp:keywords/>
  <dc:language>zh-CN</dc:language>
  <cp:lastModifiedBy>李良彬</cp:lastModifiedBy>
  <cp:lastPrinted>2018-12-21T15:35:00Z</cp:lastPrinted>
  <dcterms:modified xsi:type="dcterms:W3CDTF">2022-02-24T15:31:00Z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