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bCs/>
          <w:sz w:val="28"/>
          <w:szCs w:val="28"/>
        </w:rPr>
        <w:t>MF—2013—002</w:t>
      </w:r>
    </w:p>
    <w:p>
      <w:pPr>
        <w:pStyle w:val="Normal"/>
        <w:ind w:firstLine="1966" w:end="0"/>
        <w:rPr>
          <w:rFonts w:eastAsia="仿宋_GB2312"/>
          <w:b/>
          <w:sz w:val="44"/>
          <w:szCs w:val="44"/>
        </w:rPr>
      </w:pPr>
      <w:r>
        <w:rPr>
          <w:rFonts w:eastAsia="仿宋_GB2312"/>
          <w:b/>
          <w:sz w:val="44"/>
          <w:szCs w:val="44"/>
        </w:rPr>
      </w:r>
    </w:p>
    <w:p>
      <w:pPr>
        <w:pStyle w:val="Heading2"/>
        <w:ind w:firstLine="663" w:start="0" w:end="0"/>
        <w:jc w:val="center"/>
        <w:rPr>
          <w:rFonts w:ascii="Times New Roman" w:hAnsi="Times New Roman" w:eastAsia="仿宋_GB2312" w:cs="Times New Roman"/>
          <w:b w:val="false"/>
          <w:sz w:val="44"/>
          <w:szCs w:val="44"/>
        </w:rPr>
      </w:pPr>
      <w:r>
        <w:rPr>
          <w:rFonts w:eastAsia="仿宋_GB2312" w:cs="Times New Roman" w:ascii="Times New Roman" w:hAnsi="Times New Roman"/>
          <w:b w:val="false"/>
          <w:sz w:val="44"/>
          <w:szCs w:val="44"/>
        </w:rPr>
      </w:r>
    </w:p>
    <w:p>
      <w:pPr>
        <w:pStyle w:val="Heading2"/>
        <w:ind w:hanging="0" w:start="0"/>
        <w:jc w:val="center"/>
        <w:rPr>
          <w:rFonts w:ascii="方正小标宋_GBK" w:hAnsi="方正小标宋_GBK" w:eastAsia="方正小标宋_GBK" w:cs="Times New Roman"/>
          <w:b w:val="false"/>
          <w:sz w:val="40"/>
          <w:szCs w:val="40"/>
        </w:rPr>
      </w:pPr>
      <w:r>
        <w:rPr>
          <w:rFonts w:ascii="方正小标宋_GBK" w:hAnsi="方正小标宋_GBK" w:cs="Times New Roman" w:eastAsia="方正小标宋_GBK"/>
          <w:b w:val="false"/>
          <w:sz w:val="40"/>
          <w:szCs w:val="40"/>
        </w:rPr>
        <w:t>福建省商标事务代理委托合同</w:t>
      </w:r>
    </w:p>
    <w:p>
      <w:pPr>
        <w:pStyle w:val="Normal"/>
        <w:jc w:val="center"/>
        <w:rPr/>
      </w:pPr>
      <w:r>
        <w:rPr>
          <w:rFonts w:eastAsia="方正楷体_GBK" w:ascii="方正楷体_GBK" w:hAnsi="方正楷体_GBK"/>
          <w:sz w:val="28"/>
          <w:szCs w:val="28"/>
        </w:rPr>
        <w:t>(</w:t>
      </w:r>
      <w:r>
        <w:rPr>
          <w:rFonts w:ascii="方正楷体_GBK" w:hAnsi="方正楷体_GBK" w:eastAsia="方正楷体_GBK"/>
          <w:bCs/>
          <w:sz w:val="28"/>
          <w:szCs w:val="28"/>
        </w:rPr>
        <w:t>示范文本</w:t>
      </w:r>
      <w:r>
        <w:rPr>
          <w:rFonts w:eastAsia="方正楷体_GBK" w:ascii="方正楷体_GBK" w:hAnsi="方正楷体_GBK"/>
          <w:bCs/>
          <w:sz w:val="28"/>
          <w:szCs w:val="28"/>
        </w:rPr>
        <w:t>)</w:t>
      </w:r>
    </w:p>
    <w:p>
      <w:pPr>
        <w:pStyle w:val="Heading2"/>
        <w:ind w:firstLine="3357" w:start="0" w:end="0"/>
        <w:rPr>
          <w:rFonts w:ascii="Times New Roman" w:hAnsi="Times New Roman" w:eastAsia="仿宋_GB2312" w:cs="Times New Roman"/>
          <w:bCs w:val="false"/>
          <w:sz w:val="28"/>
          <w:szCs w:val="28"/>
        </w:rPr>
      </w:pPr>
      <w:r>
        <w:rPr>
          <w:rFonts w:eastAsia="仿宋_GB2312" w:cs="Times New Roman" w:ascii="Times New Roman" w:hAnsi="Times New Roman"/>
          <w:bCs w:val="false"/>
          <w:sz w:val="28"/>
          <w:szCs w:val="28"/>
        </w:rPr>
      </w:r>
    </w:p>
    <w:p>
      <w:pPr>
        <w:pStyle w:val="Normal"/>
        <w:rPr>
          <w:rFonts w:ascii="Times New Roman" w:hAnsi="Times New Roman" w:eastAsia="仿宋_GB2312" w:cs="Times New Roman"/>
        </w:rPr>
      </w:pPr>
      <w:r>
        <w:rPr>
          <w:rFonts w:eastAsia="仿宋_GB2312" w:cs="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方正楷体_GBK" w:hAnsi="方正楷体_GBK" w:eastAsia="方正楷体_GBK"/>
          <w:bCs/>
          <w:sz w:val="28"/>
          <w:szCs w:val="28"/>
        </w:rPr>
      </w:pPr>
      <w:r>
        <w:rPr>
          <w:rFonts w:ascii="方正楷体_GBK" w:hAnsi="方正楷体_GBK" w:eastAsia="方正楷体_GBK"/>
          <w:bCs/>
          <w:sz w:val="28"/>
          <w:szCs w:val="28"/>
        </w:rPr>
        <w:t>福建省工商行政管理局制定</w:t>
      </w:r>
    </w:p>
    <w:p>
      <w:pPr>
        <w:pStyle w:val="Normal"/>
        <w:ind w:firstLine="885" w:end="0"/>
        <w:rPr>
          <w:rFonts w:ascii="仿宋_GB2312" w:hAnsi="仿宋_GB2312" w:eastAsia="仿宋_GB2312"/>
          <w:b/>
          <w:bCs/>
          <w:sz w:val="36"/>
          <w:szCs w:val="36"/>
        </w:rPr>
      </w:pPr>
      <w:r>
        <w:rPr>
          <w:rFonts w:eastAsia="仿宋_GB2312" w:ascii="仿宋_GB2312" w:hAnsi="仿宋_GB2312"/>
          <w:b/>
          <w:bCs/>
          <w:sz w:val="36"/>
          <w:szCs w:val="36"/>
        </w:rPr>
      </w:r>
    </w:p>
    <w:p>
      <w:pPr>
        <w:pStyle w:val="Heading2"/>
        <w:ind w:firstLine="2233" w:start="0" w:end="0"/>
        <w:rPr>
          <w:rFonts w:ascii="Times New Roman" w:hAnsi="Times New Roman" w:eastAsia="仿宋_GB2312" w:cs="Times New Roman"/>
          <w:b w:val="false"/>
          <w:sz w:val="36"/>
          <w:szCs w:val="36"/>
        </w:rPr>
      </w:pPr>
      <w:r>
        <w:rPr>
          <w:rFonts w:eastAsia="仿宋_GB2312" w:cs="Times New Roman" w:ascii="Times New Roman" w:hAnsi="Times New Roman"/>
          <w:b w:val="false"/>
          <w:sz w:val="36"/>
          <w:szCs w:val="36"/>
        </w:rPr>
      </w:r>
    </w:p>
    <w:p>
      <w:pPr>
        <w:pStyle w:val="Normal"/>
        <w:rPr>
          <w:rFonts w:ascii="Times New Roman" w:hAnsi="Times New Roman" w:eastAsia="仿宋_GB2312" w:cs="Times New Roman"/>
        </w:rPr>
      </w:pPr>
      <w:r>
        <w:rPr>
          <w:rFonts w:eastAsia="仿宋_GB2312" w:cs="Times New Roman"/>
        </w:rPr>
      </w:r>
    </w:p>
    <w:p>
      <w:pPr>
        <w:pStyle w:val="Normal"/>
        <w:rPr/>
      </w:pPr>
      <w:r>
        <w:rPr/>
      </w:r>
    </w:p>
    <w:p>
      <w:pPr>
        <w:pStyle w:val="Normal"/>
        <w:rPr/>
      </w:pPr>
      <w:r>
        <w:rPr/>
      </w:r>
    </w:p>
    <w:p>
      <w:pPr>
        <w:pStyle w:val="Heading2"/>
        <w:ind w:hanging="0" w:start="0"/>
        <w:jc w:val="center"/>
        <w:rPr>
          <w:rFonts w:ascii="方正黑体_GBK" w:hAnsi="方正黑体_GBK" w:eastAsia="方正黑体_GBK" w:cs="Times New Roman"/>
          <w:b w:val="false"/>
          <w:sz w:val="28"/>
          <w:szCs w:val="28"/>
        </w:rPr>
      </w:pPr>
      <w:r>
        <w:rPr>
          <w:rFonts w:ascii="方正黑体_GBK" w:hAnsi="方正黑体_GBK" w:cs="Times New Roman" w:eastAsia="方正黑体_GBK"/>
          <w:b w:val="false"/>
          <w:sz w:val="28"/>
          <w:szCs w:val="28"/>
        </w:rPr>
        <w:t>福建省商标事务代理委托合同说明</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本合同文本是根据《中华人民共和国合同法》、《中华人民共和国商标法》等有关法律的规定制定，供当事人签约使用的示范文本。</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本合同文本中相关条款后面留有空白行或空白格，供双方自行约定或补充约定。</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对本合同中不选择的内容，可用横线将其划去并予以注明。</w:t>
      </w:r>
      <w:r>
        <w:br w:type="page"/>
      </w:r>
    </w:p>
    <w:p>
      <w:pPr>
        <w:pStyle w:val="Normal"/>
        <w:spacing w:lineRule="exact" w:line="420"/>
        <w:rPr>
          <w:sz w:val="28"/>
          <w:szCs w:val="28"/>
        </w:rPr>
      </w:pPr>
      <w:r>
        <w:rPr>
          <w:bCs/>
          <w:sz w:val="28"/>
          <w:szCs w:val="28"/>
        </w:rPr>
        <w:t>MF—2013—002</w:t>
      </w:r>
    </w:p>
    <w:p>
      <w:pPr>
        <w:pStyle w:val="Normal"/>
        <w:jc w:val="center"/>
        <w:rPr>
          <w:rFonts w:ascii="宋体;SimSun" w:hAnsi="宋体;SimSun" w:cs="宋体;SimSun"/>
          <w:b/>
          <w:sz w:val="24"/>
          <w:szCs w:val="28"/>
        </w:rPr>
      </w:pPr>
      <w:r>
        <w:rPr>
          <w:rFonts w:cs="宋体;SimSun" w:ascii="宋体;SimSun" w:hAnsi="宋体;SimSun"/>
          <w:b/>
          <w:sz w:val="24"/>
          <w:szCs w:val="28"/>
        </w:rPr>
      </w:r>
    </w:p>
    <w:p>
      <w:pPr>
        <w:pStyle w:val="Normal"/>
        <w:jc w:val="center"/>
        <w:rPr>
          <w:rFonts w:ascii="方正小标宋_GBK" w:hAnsi="方正小标宋_GBK" w:eastAsia="方正小标宋_GBK"/>
          <w:bCs/>
          <w:sz w:val="40"/>
          <w:szCs w:val="40"/>
        </w:rPr>
      </w:pPr>
      <w:r>
        <w:rPr>
          <w:rFonts w:ascii="方正小标宋_GBK" w:hAnsi="方正小标宋_GBK" w:eastAsia="方正小标宋_GBK"/>
          <w:bCs/>
          <w:sz w:val="40"/>
          <w:szCs w:val="40"/>
        </w:rPr>
        <w:t>福建省商标事务代理委托合同</w:t>
      </w:r>
    </w:p>
    <w:p>
      <w:pPr>
        <w:pStyle w:val="Normal"/>
        <w:rPr>
          <w:rFonts w:ascii="方正小标宋_GBK" w:hAnsi="方正小标宋_GBK" w:eastAsia="方正小标宋_GBK"/>
          <w:bCs/>
          <w:sz w:val="24"/>
          <w:szCs w:val="40"/>
        </w:rPr>
      </w:pPr>
      <w:r>
        <w:rPr>
          <w:rFonts w:eastAsia="方正小标宋_GBK" w:ascii="方正小标宋_GBK" w:hAnsi="方正小标宋_GBK"/>
          <w:bCs/>
          <w:sz w:val="24"/>
          <w:szCs w:val="40"/>
        </w:rPr>
      </w:r>
    </w:p>
    <w:p>
      <w:pPr>
        <w:pStyle w:val="Normal"/>
        <w:spacing w:lineRule="exact" w:line="300"/>
        <w:rPr>
          <w:rFonts w:eastAsia="Times New Roman"/>
          <w:sz w:val="24"/>
        </w:rPr>
      </w:pPr>
      <w:r>
        <w:rPr>
          <w:rFonts w:eastAsia="Times New Roman"/>
          <w:sz w:val="24"/>
        </w:rPr>
        <w:t xml:space="preserve"> </w:t>
      </w:r>
    </w:p>
    <w:p>
      <w:pPr>
        <w:pStyle w:val="Normal"/>
        <w:spacing w:lineRule="exact" w:line="420"/>
        <w:ind w:firstLine="4510" w:end="0"/>
        <w:rPr/>
      </w:pPr>
      <w:r>
        <w:rPr>
          <w:rFonts w:ascii="方正书宋_GBK" w:hAnsi="方正书宋_GBK" w:cs="宋体;SimSun" w:eastAsia="方正书宋_GBK"/>
          <w:sz w:val="22"/>
          <w:szCs w:val="22"/>
        </w:rPr>
        <w:t>合同编号：</w:t>
      </w:r>
      <w:r>
        <w:rPr>
          <w:rFonts w:ascii="方正书宋_GBK" w:hAnsi="方正书宋_GBK" w:cs="宋体;SimSun" w:eastAsia="方正书宋_GBK"/>
          <w:sz w:val="22"/>
          <w:szCs w:val="22"/>
          <w:u w:val="single"/>
        </w:rPr>
        <w:t xml:space="preserve">                </w:t>
      </w:r>
    </w:p>
    <w:p>
      <w:pPr>
        <w:pStyle w:val="Normal"/>
        <w:spacing w:lineRule="exact" w:line="420"/>
        <w:ind w:firstLine="4510" w:end="0"/>
        <w:rPr>
          <w:rFonts w:ascii="方正书宋_GBK" w:hAnsi="方正书宋_GBK" w:eastAsia="方正书宋_GBK" w:cs="宋体;SimSun"/>
          <w:sz w:val="22"/>
          <w:szCs w:val="22"/>
          <w:u w:val="single"/>
        </w:rPr>
      </w:pPr>
      <w:r>
        <w:rPr>
          <w:rFonts w:ascii="方正书宋_GBK" w:hAnsi="方正书宋_GBK" w:cs="宋体;SimSun" w:eastAsia="方正书宋_GBK"/>
          <w:sz w:val="22"/>
          <w:szCs w:val="22"/>
        </w:rPr>
        <w:t>签订时间</w:t>
      </w:r>
      <w:r>
        <w:rPr>
          <w:rFonts w:eastAsia="方正书宋_GBK" w:cs="宋体;SimSun" w:ascii="方正书宋_GBK" w:hAnsi="方正书宋_GBK"/>
          <w:sz w:val="22"/>
          <w:szCs w:val="22"/>
        </w:rPr>
        <w:t xml:space="preserve">:  </w:t>
      </w:r>
      <w:r>
        <w:rPr>
          <w:rFonts w:eastAsia="方正书宋_GBK" w:cs="宋体;SimSun" w:ascii="方正书宋_GBK" w:hAnsi="方正书宋_GBK"/>
          <w:sz w:val="22"/>
          <w:szCs w:val="22"/>
          <w:u w:val="single"/>
        </w:rPr>
        <w:t xml:space="preserve">    </w:t>
      </w:r>
      <w:r>
        <w:rPr>
          <w:rFonts w:ascii="方正书宋_GBK" w:hAnsi="方正书宋_GBK" w:cs="宋体;SimSun" w:eastAsia="方正书宋_GBK"/>
          <w:sz w:val="22"/>
          <w:szCs w:val="22"/>
        </w:rPr>
        <w:t>年</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月</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w:t>
      </w:r>
    </w:p>
    <w:p>
      <w:pPr>
        <w:pStyle w:val="Normal"/>
        <w:spacing w:lineRule="exact" w:line="420"/>
        <w:ind w:firstLine="4510" w:end="0"/>
        <w:rPr>
          <w:rFonts w:ascii="方正书宋_GBK" w:hAnsi="方正书宋_GBK" w:eastAsia="方正书宋_GBK" w:cs="宋体;SimSun"/>
          <w:sz w:val="22"/>
          <w:szCs w:val="22"/>
        </w:rPr>
      </w:pPr>
      <w:r>
        <w:rPr>
          <w:rFonts w:ascii="方正书宋_GBK" w:hAnsi="方正书宋_GBK" w:cs="宋体;SimSun" w:eastAsia="方正书宋_GBK"/>
          <w:sz w:val="22"/>
          <w:szCs w:val="22"/>
        </w:rPr>
        <w:t>签订地点</w:t>
      </w:r>
      <w:r>
        <w:rPr>
          <w:rFonts w:eastAsia="方正书宋_GBK" w:cs="宋体;SimSun" w:ascii="方正书宋_GBK" w:hAnsi="方正书宋_GBK"/>
          <w:sz w:val="22"/>
          <w:szCs w:val="22"/>
        </w:rPr>
        <w:t xml:space="preserve">:  </w:t>
      </w:r>
      <w:r>
        <w:rPr>
          <w:rFonts w:eastAsia="方正书宋_GBK" w:cs="宋体;SimSun" w:ascii="方正书宋_GBK" w:hAnsi="方正书宋_GBK"/>
          <w:sz w:val="22"/>
          <w:szCs w:val="22"/>
          <w:u w:val="single"/>
        </w:rPr>
        <w:t xml:space="preserve">               </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委托人（甲方）单位名称：</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法定代表人（负责人）：</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委托代理人（签约人）：</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通讯地址：</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联系电话：</w:t>
      </w:r>
    </w:p>
    <w:p>
      <w:pPr>
        <w:pStyle w:val="Normal"/>
        <w:spacing w:lineRule="exact" w:line="420"/>
        <w:ind w:firstLine="33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33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受托人（乙方）单位名称：</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法定代表人（负责人）：</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受托代理人（签约人）：</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通讯地址：</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联系电话：</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35" w:end="0"/>
        <w:rPr>
          <w:rFonts w:ascii="方正书宋_GBK" w:hAnsi="方正书宋_GBK" w:eastAsia="方正书宋_GBK"/>
          <w:sz w:val="22"/>
          <w:szCs w:val="22"/>
        </w:rPr>
      </w:pPr>
      <w:r>
        <w:rPr>
          <w:rFonts w:ascii="方正书宋_GBK" w:hAnsi="方正书宋_GBK" w:eastAsia="方正书宋_GBK"/>
          <w:sz w:val="22"/>
          <w:szCs w:val="22"/>
        </w:rPr>
        <w:t>根据《中华人民共和国民法通则》、《中华人民共和国合同法》、《中华人民共和国商标法》、《中华人民共和国商标法实施条例》等有关法律法规的规定，并遵守诚实信用原则，现就甲方委托乙方代理商标有关事宜，订立本合同。</w:t>
      </w:r>
    </w:p>
    <w:p>
      <w:pPr>
        <w:pStyle w:val="Normal"/>
        <w:numPr>
          <w:ilvl w:val="0"/>
          <w:numId w:val="7"/>
        </w:numPr>
        <w:spacing w:lineRule="exact" w:line="420"/>
        <w:rPr>
          <w:rFonts w:ascii="方正书宋_GBK" w:hAnsi="方正书宋_GBK" w:eastAsia="方正书宋_GBK"/>
          <w:sz w:val="22"/>
          <w:szCs w:val="22"/>
        </w:rPr>
      </w:pPr>
      <w:r>
        <w:rPr>
          <w:rFonts w:ascii="方正黑体_GBK" w:hAnsi="方正黑体_GBK" w:eastAsia="方正黑体_GBK"/>
          <w:sz w:val="22"/>
          <w:szCs w:val="22"/>
        </w:rPr>
        <w:t>商标代理委托事项</w:t>
      </w:r>
      <w:r>
        <w:rPr>
          <w:rFonts w:ascii="方正书宋_GBK" w:hAnsi="方正书宋_GBK" w:eastAsia="方正书宋_GBK"/>
          <w:sz w:val="22"/>
          <w:szCs w:val="22"/>
        </w:rPr>
        <w:t>（选项请在□中打勾，未选项请在□中打叉）：</w:t>
      </w:r>
    </w:p>
    <w:p>
      <w:pPr>
        <w:pStyle w:val="Normal"/>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w:t>
      </w:r>
      <w:r>
        <w:rPr>
          <w:rFonts w:ascii="方正书宋_GBK" w:hAnsi="方正书宋_GBK" w:eastAsia="方正书宋_GBK"/>
          <w:sz w:val="22"/>
          <w:szCs w:val="22"/>
        </w:rPr>
        <w:t>商标注册申请    □商标事项变更申请    □商标续展注册申请    □转让申请</w:t>
      </w:r>
      <w:r>
        <w:rPr>
          <w:rFonts w:eastAsia="方正书宋_GBK" w:ascii="方正书宋_GBK" w:hAnsi="方正书宋_GBK"/>
          <w:sz w:val="22"/>
          <w:szCs w:val="22"/>
        </w:rPr>
        <w:t>/</w:t>
      </w:r>
      <w:r>
        <w:rPr>
          <w:rFonts w:ascii="方正书宋_GBK" w:hAnsi="方正书宋_GBK" w:eastAsia="方正书宋_GBK"/>
          <w:sz w:val="22"/>
          <w:szCs w:val="22"/>
        </w:rPr>
        <w:t>注册商标申请    □商标使用许可合同备案申请    □补发商标证件申请    □商标异议申请    □商标异议答辩    □商标注销申请    □商标驳回复审申请    □商标评审答辩    □商标撤销注册商标复审申请   □注册商标宣告无效申请    □其他：</w:t>
      </w:r>
      <w:r>
        <w:rPr>
          <w:rFonts w:eastAsia="方正书宋_GBK" w:ascii="方正书宋_GBK" w:hAnsi="方正书宋_GBK"/>
          <w:sz w:val="22"/>
          <w:szCs w:val="22"/>
        </w:rPr>
        <w:t>____________________</w:t>
      </w:r>
      <w:r>
        <w:rPr>
          <w:rFonts w:ascii="方正书宋_GBK" w:hAnsi="方正书宋_GBK" w:eastAsia="方正书宋_GBK"/>
          <w:sz w:val="22"/>
          <w:szCs w:val="22"/>
        </w:rPr>
        <w:t>。</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委托代理商标：</w:t>
      </w:r>
    </w:p>
    <w:p>
      <w:pPr>
        <w:pStyle w:val="Normal"/>
        <w:numPr>
          <w:ilvl w:val="0"/>
          <w:numId w:val="2"/>
        </w:numPr>
        <w:spacing w:lineRule="exact" w:line="420"/>
        <w:rPr>
          <w:rFonts w:ascii="方正黑体_GBK" w:hAnsi="方正黑体_GBK" w:eastAsia="方正黑体_GBK"/>
          <w:sz w:val="22"/>
          <w:szCs w:val="22"/>
        </w:rPr>
      </w:pPr>
      <w:r>
        <w:rPr>
          <w:rFonts w:ascii="方正黑体_GBK" w:hAnsi="方正黑体_GBK" w:eastAsia="方正黑体_GBK"/>
          <w:sz w:val="22"/>
          <w:szCs w:val="22"/>
        </w:rPr>
        <w:t>双方的权利和义务：</w:t>
      </w:r>
    </w:p>
    <w:p>
      <w:pPr>
        <w:pStyle w:val="Normal"/>
        <w:numPr>
          <w:ilvl w:val="0"/>
          <w:numId w:val="8"/>
        </w:numPr>
        <w:spacing w:lineRule="exact" w:line="420"/>
        <w:rPr>
          <w:rFonts w:ascii="方正书宋_GBK" w:hAnsi="方正书宋_GBK" w:eastAsia="方正书宋_GBK"/>
          <w:sz w:val="22"/>
          <w:szCs w:val="22"/>
        </w:rPr>
      </w:pPr>
      <w:r>
        <w:rPr>
          <w:rFonts w:ascii="方正书宋_GBK" w:hAnsi="方正书宋_GBK" w:eastAsia="方正书宋_GBK"/>
          <w:sz w:val="22"/>
          <w:szCs w:val="22"/>
        </w:rPr>
        <w:t>甲方的权利：</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、对与商标事务代理的有关法律问题享有咨询权；</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、对商标事务代理的进展程度、结果等享有知悉权和监督权；</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、在商标事务代理过程中有选择权和决定权。</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、其他：</w:t>
      </w:r>
    </w:p>
    <w:p>
      <w:pPr>
        <w:pStyle w:val="Normal"/>
        <w:numPr>
          <w:ilvl w:val="0"/>
          <w:numId w:val="5"/>
        </w:numPr>
        <w:spacing w:lineRule="exact" w:line="420"/>
        <w:rPr>
          <w:rFonts w:ascii="方正书宋_GBK" w:hAnsi="方正书宋_GBK" w:eastAsia="方正书宋_GBK"/>
          <w:sz w:val="22"/>
          <w:szCs w:val="22"/>
        </w:rPr>
      </w:pPr>
      <w:r>
        <w:rPr>
          <w:rFonts w:ascii="方正书宋_GBK" w:hAnsi="方正书宋_GBK" w:eastAsia="方正书宋_GBK"/>
          <w:sz w:val="22"/>
          <w:szCs w:val="22"/>
        </w:rPr>
        <w:t>甲方的义务</w:t>
      </w:r>
    </w:p>
    <w:p>
      <w:pPr>
        <w:pStyle w:val="Normal"/>
        <w:numPr>
          <w:ilvl w:val="0"/>
          <w:numId w:val="9"/>
        </w:numPr>
        <w:spacing w:lineRule="exact" w:line="420"/>
        <w:rPr>
          <w:rFonts w:ascii="方正书宋_GBK" w:hAnsi="方正书宋_GBK" w:eastAsia="方正书宋_GBK"/>
          <w:sz w:val="22"/>
          <w:szCs w:val="22"/>
        </w:rPr>
      </w:pPr>
      <w:r>
        <w:rPr>
          <w:rFonts w:ascii="方正书宋_GBK" w:hAnsi="方正书宋_GBK" w:eastAsia="方正书宋_GBK"/>
          <w:sz w:val="22"/>
          <w:szCs w:val="22"/>
        </w:rPr>
        <w:t>及时向乙方提供委托事项所需的相关材料，并应当保证材料的完整性、真实性、合法性和有效性；甲方提供材料如违反前述规定，所产生的法律后果由甲方承担；</w:t>
      </w:r>
    </w:p>
    <w:p>
      <w:pPr>
        <w:pStyle w:val="Normal"/>
        <w:numPr>
          <w:ilvl w:val="0"/>
          <w:numId w:val="3"/>
        </w:numPr>
        <w:spacing w:lineRule="exact" w:line="420"/>
        <w:rPr>
          <w:rFonts w:ascii="方正书宋_GBK" w:hAnsi="方正书宋_GBK" w:eastAsia="方正书宋_GBK"/>
          <w:sz w:val="22"/>
          <w:szCs w:val="22"/>
        </w:rPr>
      </w:pPr>
      <w:r>
        <w:rPr>
          <w:rFonts w:ascii="方正书宋_GBK" w:hAnsi="方正书宋_GBK" w:eastAsia="方正书宋_GBK"/>
          <w:sz w:val="22"/>
          <w:szCs w:val="22"/>
        </w:rPr>
        <w:t>按照约定的方式及时支付本合同的各项费用；</w:t>
      </w:r>
    </w:p>
    <w:p>
      <w:pPr>
        <w:pStyle w:val="Normal"/>
        <w:numPr>
          <w:ilvl w:val="0"/>
          <w:numId w:val="3"/>
        </w:numPr>
        <w:spacing w:lineRule="exact" w:line="420"/>
        <w:rPr>
          <w:rFonts w:ascii="方正书宋_GBK" w:hAnsi="方正书宋_GBK" w:eastAsia="方正书宋_GBK"/>
          <w:sz w:val="22"/>
          <w:szCs w:val="22"/>
        </w:rPr>
      </w:pPr>
      <w:r>
        <w:rPr>
          <w:rFonts w:ascii="方正书宋_GBK" w:hAnsi="方正书宋_GBK" w:eastAsia="方正书宋_GBK"/>
          <w:sz w:val="22"/>
          <w:szCs w:val="22"/>
        </w:rPr>
        <w:t>甲方住所及联系方式如有变更，应及时通知乙方；</w:t>
      </w:r>
    </w:p>
    <w:p>
      <w:pPr>
        <w:pStyle w:val="Normal"/>
        <w:numPr>
          <w:ilvl w:val="0"/>
          <w:numId w:val="3"/>
        </w:numPr>
        <w:tabs>
          <w:tab w:val="clear" w:pos="420"/>
          <w:tab w:val="left" w:pos="0" w:leader="none"/>
        </w:tabs>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甲方应当如实告知乙方申请商标有关事宜的意图，并保证申请商标有关事宜不存在恶意、抢先注册等行为；在代理期间，乙方得知甲方存在前述情形，有权终止本合同，对甲方前述行为产生的法律后果不承担法律责任；</w:t>
      </w:r>
    </w:p>
    <w:p>
      <w:pPr>
        <w:pStyle w:val="Normal"/>
        <w:numPr>
          <w:ilvl w:val="0"/>
          <w:numId w:val="3"/>
        </w:numPr>
        <w:spacing w:lineRule="exact" w:line="420"/>
        <w:rPr>
          <w:rFonts w:ascii="方正书宋_GBK" w:hAnsi="方正书宋_GBK" w:eastAsia="方正书宋_GBK"/>
          <w:sz w:val="22"/>
          <w:szCs w:val="22"/>
        </w:rPr>
      </w:pPr>
      <w:r>
        <w:rPr>
          <w:rFonts w:ascii="方正书宋_GBK" w:hAnsi="方正书宋_GBK" w:eastAsia="方正书宋_GBK"/>
          <w:sz w:val="22"/>
          <w:szCs w:val="22"/>
        </w:rPr>
        <w:t>甲方应对代理委托过程中所知悉的乙方商业秘密予以保护；</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6</w:t>
      </w:r>
      <w:r>
        <w:rPr>
          <w:rFonts w:ascii="方正书宋_GBK" w:hAnsi="方正书宋_GBK" w:eastAsia="方正书宋_GBK"/>
          <w:sz w:val="22"/>
          <w:szCs w:val="22"/>
        </w:rPr>
        <w:t>、甲方承担委托事宜的法律后果；</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7</w:t>
      </w:r>
      <w:r>
        <w:rPr>
          <w:rFonts w:ascii="方正书宋_GBK" w:hAnsi="方正书宋_GBK" w:eastAsia="方正书宋_GBK"/>
          <w:sz w:val="22"/>
          <w:szCs w:val="22"/>
        </w:rPr>
        <w:t>、其他：</w:t>
      </w:r>
    </w:p>
    <w:p>
      <w:pPr>
        <w:pStyle w:val="Normal"/>
        <w:numPr>
          <w:ilvl w:val="0"/>
          <w:numId w:val="5"/>
        </w:numPr>
        <w:spacing w:lineRule="exact" w:line="420"/>
        <w:rPr>
          <w:rFonts w:ascii="方正书宋_GBK" w:hAnsi="方正书宋_GBK" w:eastAsia="方正书宋_GBK"/>
          <w:sz w:val="22"/>
          <w:szCs w:val="22"/>
        </w:rPr>
      </w:pPr>
      <w:r>
        <w:rPr>
          <w:rFonts w:ascii="方正书宋_GBK" w:hAnsi="方正书宋_GBK" w:eastAsia="方正书宋_GBK"/>
          <w:sz w:val="22"/>
          <w:szCs w:val="22"/>
        </w:rPr>
        <w:t>乙方的权利</w:t>
      </w:r>
    </w:p>
    <w:p>
      <w:pPr>
        <w:pStyle w:val="Normal"/>
        <w:numPr>
          <w:ilvl w:val="0"/>
          <w:numId w:val="10"/>
        </w:numPr>
        <w:spacing w:lineRule="exact" w:line="420"/>
        <w:rPr>
          <w:rFonts w:ascii="方正书宋_GBK" w:hAnsi="方正书宋_GBK" w:eastAsia="方正书宋_GBK"/>
          <w:sz w:val="22"/>
          <w:szCs w:val="22"/>
        </w:rPr>
      </w:pPr>
      <w:r>
        <w:rPr>
          <w:rFonts w:ascii="方正书宋_GBK" w:hAnsi="方正书宋_GBK" w:eastAsia="方正书宋_GBK"/>
          <w:sz w:val="22"/>
          <w:szCs w:val="22"/>
        </w:rPr>
        <w:t>有权收取完成约定代理事务的各项费用；</w:t>
      </w:r>
    </w:p>
    <w:p>
      <w:pPr>
        <w:pStyle w:val="Normal"/>
        <w:numPr>
          <w:ilvl w:val="0"/>
          <w:numId w:val="6"/>
        </w:numPr>
        <w:spacing w:lineRule="exact" w:line="420"/>
        <w:rPr>
          <w:rFonts w:ascii="方正书宋_GBK" w:hAnsi="方正书宋_GBK" w:eastAsia="方正书宋_GBK"/>
          <w:sz w:val="22"/>
          <w:szCs w:val="22"/>
        </w:rPr>
      </w:pPr>
      <w:r>
        <w:rPr>
          <w:rFonts w:ascii="方正书宋_GBK" w:hAnsi="方正书宋_GBK" w:eastAsia="方正书宋_GBK"/>
          <w:sz w:val="22"/>
          <w:szCs w:val="22"/>
        </w:rPr>
        <w:t>有权要求甲方在合理时间内提供必要、真实、合法、有效、完整的材料；</w:t>
      </w:r>
    </w:p>
    <w:p>
      <w:pPr>
        <w:pStyle w:val="Normal"/>
        <w:numPr>
          <w:ilvl w:val="0"/>
          <w:numId w:val="6"/>
        </w:numPr>
        <w:spacing w:lineRule="exact" w:line="420"/>
        <w:rPr>
          <w:rFonts w:ascii="方正书宋_GBK" w:hAnsi="方正书宋_GBK" w:eastAsia="方正书宋_GBK"/>
          <w:sz w:val="22"/>
          <w:szCs w:val="22"/>
        </w:rPr>
      </w:pPr>
      <w:r>
        <w:rPr>
          <w:rFonts w:ascii="方正书宋_GBK" w:hAnsi="方正书宋_GBK" w:eastAsia="方正书宋_GBK"/>
          <w:sz w:val="22"/>
          <w:szCs w:val="22"/>
        </w:rPr>
        <w:t>其他：</w:t>
      </w:r>
    </w:p>
    <w:p>
      <w:pPr>
        <w:pStyle w:val="Normal"/>
        <w:numPr>
          <w:ilvl w:val="0"/>
          <w:numId w:val="5"/>
        </w:numPr>
        <w:spacing w:lineRule="exact" w:line="420"/>
        <w:rPr>
          <w:rFonts w:ascii="方正书宋_GBK" w:hAnsi="方正书宋_GBK" w:eastAsia="方正书宋_GBK"/>
          <w:sz w:val="22"/>
          <w:szCs w:val="22"/>
        </w:rPr>
      </w:pPr>
      <w:r>
        <w:rPr>
          <w:rFonts w:ascii="方正书宋_GBK" w:hAnsi="方正书宋_GBK" w:eastAsia="方正书宋_GBK"/>
          <w:sz w:val="22"/>
          <w:szCs w:val="22"/>
        </w:rPr>
        <w:t>乙方的义务</w:t>
      </w:r>
    </w:p>
    <w:p>
      <w:pPr>
        <w:pStyle w:val="Normal"/>
        <w:numPr>
          <w:ilvl w:val="0"/>
          <w:numId w:val="11"/>
        </w:numPr>
        <w:spacing w:lineRule="exact" w:line="420"/>
        <w:rPr>
          <w:rFonts w:ascii="方正书宋_GBK" w:hAnsi="方正书宋_GBK" w:eastAsia="方正书宋_GBK"/>
          <w:sz w:val="22"/>
          <w:szCs w:val="22"/>
        </w:rPr>
      </w:pPr>
      <w:r>
        <w:rPr>
          <w:rFonts w:ascii="方正书宋_GBK" w:hAnsi="方正书宋_GBK" w:eastAsia="方正书宋_GBK"/>
          <w:sz w:val="22"/>
          <w:szCs w:val="22"/>
        </w:rPr>
        <w:t>按照甲方委托的代理事务的内容和范围，履行应尽义务，维护甲方的合法权益；</w:t>
      </w:r>
    </w:p>
    <w:p>
      <w:pPr>
        <w:pStyle w:val="Normal"/>
        <w:numPr>
          <w:ilvl w:val="0"/>
          <w:numId w:val="4"/>
        </w:numPr>
        <w:tabs>
          <w:tab w:val="clear" w:pos="420"/>
          <w:tab w:val="left" w:pos="0" w:leader="none"/>
        </w:tabs>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对甲方委托的问题提供及时、合理的咨询服务，及时告知甲方申请商标有关事宜的风险情况，具体申请风险为：</w:t>
      </w:r>
      <w:r>
        <w:rPr>
          <w:rFonts w:eastAsia="方正书宋_GBK" w:ascii="方正书宋_GBK" w:hAnsi="方正书宋_GBK"/>
          <w:sz w:val="22"/>
          <w:szCs w:val="22"/>
        </w:rPr>
        <w:t>______________________________</w:t>
      </w:r>
      <w:r>
        <w:rPr>
          <w:rFonts w:ascii="方正书宋_GBK" w:hAnsi="方正书宋_GBK" w:eastAsia="方正书宋_GBK"/>
          <w:sz w:val="22"/>
          <w:szCs w:val="22"/>
        </w:rPr>
        <w:t xml:space="preserve">，如甲方执意申请，由甲方相应法律责任； </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乙方保证于收到上述款项和材料后</w:t>
      </w:r>
      <w:r>
        <w:rPr>
          <w:rFonts w:eastAsia="方正书宋_GBK" w:ascii="方正书宋_GBK" w:hAnsi="方正书宋_GBK"/>
          <w:sz w:val="22"/>
          <w:szCs w:val="22"/>
        </w:rPr>
        <w:t>____</w:t>
      </w:r>
      <w:r>
        <w:rPr>
          <w:rFonts w:ascii="方正书宋_GBK" w:hAnsi="方正书宋_GBK" w:eastAsia="方正书宋_GBK"/>
          <w:sz w:val="22"/>
          <w:szCs w:val="22"/>
        </w:rPr>
        <w:t>天内向国家工商行政管理总局商标局或商标评审委员会办理有关手续。非乙方原因造成委托事务不能在约定时间内完成提交的，乙方应向甲方说明；</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及时向甲方告知委托事项的进展状况。对有关国家机关的决定、裁定和通知等法律文书，必须及时告知甲方，并在甲方做出明确表示后继续或另案委托代理事务；</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应对代理委托过程中所知悉的甲方商业秘密予以保密；</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乙方名称、住所及联系方式如有变更，应及时通知甲方；</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其他：</w:t>
      </w:r>
    </w:p>
    <w:p>
      <w:pPr>
        <w:pStyle w:val="Normal"/>
        <w:spacing w:lineRule="exact" w:line="420"/>
        <w:ind w:firstLine="330" w:end="0"/>
        <w:rPr/>
      </w:pPr>
      <w:r>
        <w:rPr>
          <w:rFonts w:ascii="方正黑体_GBK" w:hAnsi="方正黑体_GBK" w:eastAsia="方正黑体_GBK"/>
          <w:sz w:val="22"/>
          <w:szCs w:val="22"/>
        </w:rPr>
        <w:t>三、代理时限：</w:t>
      </w:r>
      <w:r>
        <w:rPr>
          <w:rFonts w:ascii="方正书宋_GBK" w:hAnsi="方正书宋_GBK" w:eastAsia="方正书宋_GBK"/>
          <w:sz w:val="22"/>
          <w:szCs w:val="22"/>
        </w:rPr>
        <w:t>自本合同签订之日起至</w:t>
      </w:r>
      <w:r>
        <w:rPr>
          <w:rFonts w:eastAsia="方正书宋_GBK" w:ascii="方正书宋_GBK" w:hAnsi="方正书宋_GBK"/>
          <w:sz w:val="22"/>
          <w:szCs w:val="22"/>
        </w:rPr>
        <w:t>__________________</w:t>
      </w:r>
      <w:r>
        <w:rPr>
          <w:rFonts w:ascii="方正书宋_GBK" w:hAnsi="方正书宋_GBK" w:eastAsia="方正书宋_GBK"/>
          <w:sz w:val="22"/>
          <w:szCs w:val="22"/>
        </w:rPr>
        <w:t>止。</w:t>
      </w:r>
    </w:p>
    <w:p>
      <w:pPr>
        <w:pStyle w:val="Normal"/>
        <w:spacing w:lineRule="exact" w:line="420"/>
        <w:ind w:firstLine="330" w:end="0"/>
        <w:rPr>
          <w:rFonts w:ascii="方正黑体_GBK" w:hAnsi="方正黑体_GBK" w:eastAsia="方正黑体_GBK"/>
          <w:sz w:val="22"/>
          <w:szCs w:val="22"/>
        </w:rPr>
      </w:pPr>
      <w:r>
        <w:rPr>
          <w:rFonts w:ascii="方正黑体_GBK" w:hAnsi="方正黑体_GBK" w:eastAsia="方正黑体_GBK"/>
          <w:sz w:val="22"/>
          <w:szCs w:val="22"/>
        </w:rPr>
        <w:t>四、费用及支付方式</w:t>
      </w:r>
    </w:p>
    <w:p>
      <w:pPr>
        <w:pStyle w:val="Normal"/>
        <w:spacing w:lineRule="exact" w:line="420"/>
        <w:ind w:firstLine="480" w:end="0"/>
        <w:rPr>
          <w:rFonts w:ascii="方正书宋_GBK" w:hAnsi="方正书宋_GBK" w:eastAsia="方正书宋_GBK"/>
          <w:sz w:val="22"/>
          <w:szCs w:val="22"/>
        </w:rPr>
      </w:pPr>
      <w:r>
        <w:rPr>
          <w:rFonts w:ascii="方正书宋_GBK" w:hAnsi="方正书宋_GBK" w:eastAsia="方正书宋_GBK"/>
          <w:sz w:val="22"/>
          <w:szCs w:val="22"/>
        </w:rPr>
        <w:t>本合同约定的委托代理事项费用共计人民币：    拾    万    仟    佰    拾    元整（￥          ），甲方按下列第    种方式支付代理费用：</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、甲方于签约时以                  方式一次性付清。</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、甲方于签约后       日内以                    方式一次性付清。</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、分期付款：</w:t>
      </w:r>
    </w:p>
    <w:p>
      <w:pPr>
        <w:pStyle w:val="Normal"/>
        <w:spacing w:lineRule="exact" w:line="420"/>
        <w:ind w:firstLine="480" w:end="0"/>
        <w:rPr>
          <w:rFonts w:ascii="方正书宋_GBK" w:hAnsi="方正书宋_GBK" w:eastAsia="方正书宋_GBK"/>
          <w:sz w:val="22"/>
          <w:szCs w:val="22"/>
        </w:rPr>
      </w:pPr>
      <w:r>
        <w:rPr>
          <w:rFonts w:ascii="方正书宋_GBK" w:hAnsi="方正书宋_GBK" w:cs="方正书宋_GBK" w:eastAsia="方正书宋_GBK"/>
          <w:sz w:val="22"/>
          <w:szCs w:val="22"/>
        </w:rPr>
        <w:t xml:space="preserve">    </w:t>
      </w:r>
      <w:r>
        <w:rPr>
          <w:rFonts w:ascii="方正书宋_GBK" w:hAnsi="方正书宋_GBK" w:eastAsia="方正书宋_GBK"/>
          <w:sz w:val="22"/>
          <w:szCs w:val="22"/>
        </w:rPr>
        <w:t>甲方于签约时支付首期费用人民币         元整（￥        ），并于代理事务完成后支付余款人民币           元整（￥         ）；</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、其他支付方式：</w:t>
      </w:r>
    </w:p>
    <w:p>
      <w:pPr>
        <w:pStyle w:val="Normal"/>
        <w:spacing w:lineRule="exact" w:line="420"/>
        <w:ind w:firstLine="480" w:end="0"/>
        <w:rPr>
          <w:rFonts w:ascii="方正黑体_GBK" w:hAnsi="方正黑体_GBK" w:eastAsia="方正黑体_GBK"/>
          <w:sz w:val="22"/>
          <w:szCs w:val="22"/>
        </w:rPr>
      </w:pPr>
      <w:r>
        <w:rPr>
          <w:rFonts w:ascii="方正黑体_GBK" w:hAnsi="方正黑体_GBK" w:eastAsia="方正黑体_GBK"/>
          <w:sz w:val="22"/>
          <w:szCs w:val="22"/>
        </w:rPr>
        <w:t>五、合同的变更及解除</w:t>
      </w:r>
    </w:p>
    <w:p>
      <w:pPr>
        <w:pStyle w:val="Normal"/>
        <w:spacing w:lineRule="exact" w:line="420"/>
        <w:ind w:firstLine="54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、合同履行期间，如因法律法规以及国家政策的变动或者因不可抗力的因素而使合同不能继续履行的，委托代理合同自动解除，其间发生的合理费用，双方协商解决；</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、甲方如未履行本合同规定的义务，乙方有权解除本合同。乙方未履行本合同规定的义务，甲方有权解除本合同。合同解除前发生的合理费用，由双方协商解决。</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、其他：</w:t>
      </w:r>
    </w:p>
    <w:p>
      <w:pPr>
        <w:pStyle w:val="Normal"/>
        <w:spacing w:lineRule="exact" w:line="420"/>
        <w:ind w:firstLine="480" w:end="0"/>
        <w:rPr>
          <w:rFonts w:ascii="方正黑体_GBK" w:hAnsi="方正黑体_GBK" w:eastAsia="方正黑体_GBK"/>
          <w:sz w:val="22"/>
          <w:szCs w:val="22"/>
        </w:rPr>
      </w:pPr>
      <w:r>
        <w:rPr>
          <w:rFonts w:ascii="方正黑体_GBK" w:hAnsi="方正黑体_GBK" w:eastAsia="方正黑体_GBK"/>
          <w:sz w:val="22"/>
          <w:szCs w:val="22"/>
        </w:rPr>
        <w:t>六、违约责任</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、本合同一经双方签订即生效，双方必须共同遵守，严格履行各自相应的义务。因一方的违约或过错造成合同无法履行或无法实现合同目的，违约方或过错方应承担相应的法律责任；</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、其他：</w:t>
      </w:r>
    </w:p>
    <w:p>
      <w:pPr>
        <w:pStyle w:val="Normal"/>
        <w:spacing w:lineRule="exact" w:line="420"/>
        <w:ind w:firstLine="480" w:end="0"/>
        <w:rPr>
          <w:rFonts w:ascii="方正黑体_GBK" w:hAnsi="方正黑体_GBK" w:eastAsia="方正黑体_GBK"/>
          <w:sz w:val="22"/>
          <w:szCs w:val="22"/>
        </w:rPr>
      </w:pPr>
      <w:r>
        <w:rPr>
          <w:rFonts w:ascii="方正黑体_GBK" w:hAnsi="方正黑体_GBK" w:eastAsia="方正黑体_GBK"/>
          <w:sz w:val="22"/>
          <w:szCs w:val="22"/>
        </w:rPr>
        <w:t>七、解决争议的办法</w:t>
      </w:r>
    </w:p>
    <w:p>
      <w:pPr>
        <w:pStyle w:val="Normal"/>
        <w:spacing w:lineRule="exact" w:line="420"/>
        <w:ind w:firstLine="480" w:end="0"/>
        <w:rPr>
          <w:rFonts w:ascii="方正书宋_GBK" w:hAnsi="方正书宋_GBK" w:eastAsia="方正书宋_GBK"/>
          <w:sz w:val="22"/>
          <w:szCs w:val="22"/>
        </w:rPr>
      </w:pPr>
      <w:r>
        <w:rPr>
          <w:rFonts w:ascii="方正书宋_GBK" w:hAnsi="方正书宋_GBK" w:eastAsia="方正书宋_GBK"/>
          <w:sz w:val="22"/>
          <w:szCs w:val="22"/>
        </w:rPr>
        <w:t>本合同在具体履行过程中如发生争议，双方应友好协商解决或向工商行政管理部门申请行政调解，协商或调解不成的，向</w:t>
      </w:r>
      <w:r>
        <w:rPr>
          <w:rFonts w:eastAsia="方正书宋_GBK" w:ascii="方正书宋_GBK" w:hAnsi="方正书宋_GBK"/>
          <w:sz w:val="22"/>
          <w:szCs w:val="22"/>
        </w:rPr>
        <w:t>_________</w:t>
      </w:r>
      <w:r>
        <w:rPr>
          <w:rFonts w:ascii="方正书宋_GBK" w:hAnsi="方正书宋_GBK" w:eastAsia="方正书宋_GBK"/>
          <w:sz w:val="22"/>
          <w:szCs w:val="22"/>
        </w:rPr>
        <w:t>仲裁委员会申请仲裁，或者直接向</w:t>
      </w:r>
      <w:r>
        <w:rPr>
          <w:rFonts w:eastAsia="方正书宋_GBK" w:ascii="方正书宋_GBK" w:hAnsi="方正书宋_GBK"/>
          <w:sz w:val="22"/>
          <w:szCs w:val="22"/>
        </w:rPr>
        <w:t>_____________</w:t>
      </w:r>
      <w:r>
        <w:rPr>
          <w:rFonts w:ascii="方正书宋_GBK" w:hAnsi="方正书宋_GBK" w:eastAsia="方正书宋_GBK"/>
          <w:sz w:val="22"/>
          <w:szCs w:val="22"/>
        </w:rPr>
        <w:t>法院提起诉讼。</w:t>
      </w:r>
    </w:p>
    <w:p>
      <w:pPr>
        <w:pStyle w:val="Normal"/>
        <w:spacing w:lineRule="exact" w:line="420"/>
        <w:ind w:firstLine="480" w:end="0"/>
        <w:rPr/>
      </w:pPr>
      <w:r>
        <w:rPr>
          <w:rFonts w:ascii="方正黑体_GBK" w:hAnsi="方正黑体_GBK" w:eastAsia="方正黑体_GBK"/>
          <w:sz w:val="22"/>
          <w:szCs w:val="22"/>
        </w:rPr>
        <w:t>八、</w:t>
      </w:r>
      <w:r>
        <w:rPr>
          <w:rFonts w:ascii="方正书宋_GBK" w:hAnsi="方正书宋_GBK" w:eastAsia="方正书宋_GBK"/>
          <w:sz w:val="22"/>
          <w:szCs w:val="22"/>
        </w:rPr>
        <w:t>本合同未尽事宜双方可另行协商。双方因本合同有关事宜达成的补充协议视为本合同不可分割的一部分。</w:t>
      </w:r>
    </w:p>
    <w:p>
      <w:pPr>
        <w:pStyle w:val="Normal"/>
        <w:spacing w:lineRule="exact" w:line="420"/>
        <w:ind w:firstLine="480" w:end="0"/>
        <w:rPr/>
      </w:pPr>
      <w:r>
        <w:rPr>
          <w:rFonts w:ascii="方正黑体_GBK" w:hAnsi="方正黑体_GBK" w:eastAsia="方正黑体_GBK"/>
          <w:sz w:val="22"/>
          <w:szCs w:val="22"/>
        </w:rPr>
        <w:t>九、</w:t>
      </w:r>
      <w:r>
        <w:rPr>
          <w:rFonts w:ascii="方正书宋_GBK" w:hAnsi="方正书宋_GBK" w:eastAsia="方正书宋_GBK"/>
          <w:sz w:val="22"/>
          <w:szCs w:val="22"/>
        </w:rPr>
        <w:t>本合同一式</w:t>
      </w:r>
      <w:r>
        <w:rPr>
          <w:rFonts w:eastAsia="方正书宋_GBK" w:ascii="方正书宋_GBK" w:hAnsi="方正书宋_GBK"/>
          <w:sz w:val="22"/>
          <w:szCs w:val="22"/>
        </w:rPr>
        <w:t>_______</w:t>
      </w:r>
      <w:r>
        <w:rPr>
          <w:rFonts w:ascii="方正书宋_GBK" w:hAnsi="方正书宋_GBK" w:eastAsia="方正书宋_GBK"/>
          <w:sz w:val="22"/>
          <w:szCs w:val="22"/>
        </w:rPr>
        <w:t>份，甲乙双方各执</w:t>
      </w:r>
      <w:r>
        <w:rPr>
          <w:rFonts w:eastAsia="方正书宋_GBK" w:ascii="方正书宋_GBK" w:hAnsi="方正书宋_GBK"/>
          <w:sz w:val="22"/>
          <w:szCs w:val="22"/>
        </w:rPr>
        <w:t>_______</w:t>
      </w:r>
      <w:r>
        <w:rPr>
          <w:rFonts w:ascii="方正书宋_GBK" w:hAnsi="方正书宋_GBK" w:eastAsia="方正书宋_GBK"/>
          <w:sz w:val="22"/>
          <w:szCs w:val="22"/>
        </w:rPr>
        <w:t>份。本合同自签订之日起生效。</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80" w:end="0"/>
        <w:rPr>
          <w:rFonts w:ascii="方正书宋_GBK" w:hAnsi="方正书宋_GBK" w:eastAsia="方正书宋_GBK"/>
          <w:sz w:val="22"/>
          <w:szCs w:val="22"/>
        </w:rPr>
      </w:pPr>
      <w:r>
        <w:rPr>
          <w:rFonts w:ascii="方正书宋_GBK" w:hAnsi="方正书宋_GBK" w:eastAsia="方正书宋_GBK"/>
          <w:sz w:val="22"/>
          <w:szCs w:val="22"/>
        </w:rPr>
        <w:t>甲方（盖章）：                       乙方（盖章）：</w:t>
      </w:r>
    </w:p>
    <w:p>
      <w:pPr>
        <w:pStyle w:val="Normal"/>
        <w:spacing w:lineRule="exact" w:line="420"/>
        <w:ind w:firstLine="48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80" w:end="0"/>
        <w:rPr>
          <w:rFonts w:ascii="方正书宋_GBK" w:hAnsi="方正书宋_GBK" w:eastAsia="方正书宋_GBK" w:cs="宋体;SimSun"/>
          <w:sz w:val="22"/>
          <w:szCs w:val="22"/>
        </w:rPr>
      </w:pPr>
      <w:r>
        <w:rPr>
          <w:rFonts w:ascii="方正书宋_GBK" w:hAnsi="方正书宋_GBK" w:cs="宋体;SimSun" w:eastAsia="方正书宋_GBK"/>
          <w:sz w:val="22"/>
          <w:szCs w:val="22"/>
        </w:rPr>
        <w:t>签约人（签字）：                     签约人（签字）：</w:t>
      </w:r>
    </w:p>
    <w:p>
      <w:pPr>
        <w:pStyle w:val="Normal"/>
        <w:spacing w:lineRule="exact" w:line="420"/>
        <w:ind w:firstLine="55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签字时间：                           签字时间：</w:t>
      </w:r>
    </w:p>
    <w:p>
      <w:pPr>
        <w:pStyle w:val="Normal"/>
        <w:spacing w:lineRule="exact" w:line="420"/>
        <w:ind w:firstLine="48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r>
    </w:p>
    <w:p>
      <w:pPr>
        <w:pStyle w:val="Style17"/>
        <w:spacing w:lineRule="exact" w:line="42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sectPr>
      <w:footerReference w:type="default" r:id="rId2"/>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楷体_GBK">
    <w:charset w:val="86"/>
    <w:family w:val="script"/>
    <w:pitch w:val="default"/>
  </w:font>
  <w:font w:name="方正黑体_GBK">
    <w:charset w:val="86"/>
    <w:family w:val="script"/>
    <w:pitch w:val="default"/>
  </w:font>
  <w:font w:name="方正书宋_GBK">
    <w:charset w:val="86"/>
    <w:family w:val="script"/>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3657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taiwaneseCountingThousand"/>
      <w:lvlText w:val="%1、"/>
      <w:lvlJc w:val="start"/>
      <w:pPr>
        <w:tabs>
          <w:tab w:val="num" w:pos="915"/>
        </w:tabs>
        <w:ind w:start="915" w:hanging="480"/>
      </w:pPr>
    </w:lvl>
  </w:abstractNum>
  <w:abstractNum w:abstractNumId="3">
    <w:lvl w:ilvl="0">
      <w:start w:val="1"/>
      <w:numFmt w:val="decimal"/>
      <w:lvlText w:val="%1、"/>
      <w:lvlJc w:val="start"/>
      <w:pPr>
        <w:tabs>
          <w:tab w:val="num" w:pos="795"/>
        </w:tabs>
        <w:ind w:start="795" w:hanging="360"/>
      </w:pPr>
      <w:rPr>
        <w:rFonts w:ascii="Times New Roman" w:hAnsi="Times New Roman" w:eastAsia="Times New Roman" w:cs="Times New Roman"/>
      </w:rPr>
    </w:lvl>
  </w:abstractNum>
  <w:abstractNum w:abstractNumId="4">
    <w:lvl w:ilvl="0">
      <w:start w:val="1"/>
      <w:numFmt w:val="decimal"/>
      <w:lvlText w:val="%1、"/>
      <w:lvlJc w:val="start"/>
      <w:pPr>
        <w:tabs>
          <w:tab w:val="num" w:pos="795"/>
        </w:tabs>
        <w:ind w:start="795" w:hanging="360"/>
      </w:pPr>
      <w:rPr>
        <w:rFonts w:ascii="Times New Roman" w:hAnsi="Times New Roman" w:eastAsia="Times New Roman" w:cs="Times New Roman"/>
      </w:rPr>
    </w:lvl>
  </w:abstractNum>
  <w:abstractNum w:abstractNumId="5">
    <w:lvl w:ilvl="0">
      <w:start w:val="1"/>
      <w:numFmt w:val="taiwaneseCountingThousand"/>
      <w:lvlText w:val="（%1）"/>
      <w:lvlJc w:val="start"/>
      <w:pPr>
        <w:tabs>
          <w:tab w:val="num" w:pos="1155"/>
        </w:tabs>
        <w:ind w:start="1155" w:hanging="720"/>
      </w:pPr>
    </w:lvl>
  </w:abstractNum>
  <w:abstractNum w:abstractNumId="6">
    <w:lvl w:ilvl="0">
      <w:start w:val="1"/>
      <w:numFmt w:val="decimal"/>
      <w:lvlText w:val="%1、"/>
      <w:lvlJc w:val="start"/>
      <w:pPr>
        <w:tabs>
          <w:tab w:val="num" w:pos="795"/>
        </w:tabs>
        <w:ind w:start="795" w:hanging="360"/>
      </w:pPr>
      <w:rPr>
        <w:rFonts w:ascii="Times New Roman" w:hAnsi="Times New Roman" w:eastAsia="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5"/>
    <w:lvlOverride w:ilvl="0">
      <w:startOverride w:val="1"/>
    </w:lvlOverride>
  </w:num>
  <w:num w:numId="9">
    <w:abstractNumId w:val="3"/>
    <w:lvlOverride w:ilvl="0">
      <w:startOverride w:val="1"/>
    </w:lvlOverride>
  </w:num>
  <w:num w:numId="10">
    <w:abstractNumId w:val="6"/>
    <w:lvlOverride w:ilvl="0">
      <w:startOverride w:val="1"/>
    </w:lvlOverride>
  </w:num>
  <w:num w:numId="11">
    <w:abstractNumId w:val="4"/>
    <w:lvlOverride w:ilvl="0">
      <w:startOverride w:val="1"/>
    </w:lvlOverride>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0" w:before="260" w:after="260"/>
      <w:outlineLvl w:val="1"/>
    </w:pPr>
    <w:rPr>
      <w:rFonts w:ascii="Arial" w:hAnsi="Arial" w:eastAsia="黑体;SimHei" w:cs="Arial"/>
      <w:b/>
      <w:bCs/>
      <w:sz w:val="32"/>
      <w:szCs w:val="32"/>
    </w:rPr>
  </w:style>
  <w:style w:type="character" w:styleId="WW8Num2z0">
    <w:name w:val="WW8Num2z0"/>
    <w:qFormat/>
    <w:rPr>
      <w:rFonts w:ascii="Times New Roman" w:hAnsi="Times New Roman" w:eastAsia="Times New Roman" w:cs="Times New Roman"/>
    </w:rPr>
  </w:style>
  <w:style w:type="character" w:styleId="WW8Num3z0">
    <w:name w:val="WW8Num3z0"/>
    <w:qFormat/>
    <w:rPr>
      <w:rFonts w:ascii="Times New Roman" w:hAnsi="Times New Roman" w:eastAsia="Times New Roman" w:cs="Times New Roman"/>
    </w:rPr>
  </w:style>
  <w:style w:type="character" w:styleId="WW8Num5z0">
    <w:name w:val="WW8Num5z0"/>
    <w:qFormat/>
    <w:rPr>
      <w:rFonts w:ascii="Times New Roman" w:hAnsi="Times New Roman" w:eastAsia="Times New Roman" w:cs="Times New Roman"/>
    </w:rPr>
  </w:style>
  <w:style w:type="character" w:styleId="Style13">
    <w:name w:val="默认段落字体"/>
    <w:qFormat/>
    <w:rPr/>
  </w:style>
  <w:style w:type="character" w:styleId="PageNumber">
    <w:name w:val="page number"/>
    <w:basedOn w:val="Style13"/>
    <w:rPr/>
  </w:style>
  <w:style w:type="character" w:styleId="GB2312">
    <w:name w:val="样式 仿宋_GB2312"/>
    <w:basedOn w:val="Style13"/>
    <w:qFormat/>
    <w:rPr>
      <w:rFonts w:ascii="仿宋_GB2312" w:hAnsi="仿宋_GB2312" w:eastAsia="仿宋_GB2312" w:cs="仿宋_GB2312"/>
      <w:sz w:val="32"/>
    </w:rPr>
  </w:style>
  <w:style w:type="character" w:styleId="Style14">
    <w:name w:val="主题词"/>
    <w:qFormat/>
    <w:rPr>
      <w:rFonts w:eastAsia="黑体;SimHei"/>
      <w:sz w:val="32"/>
    </w:rPr>
  </w:style>
  <w:style w:type="character" w:styleId="Style15">
    <w:name w:val="主题词内容"/>
    <w:qFormat/>
    <w:rPr>
      <w:rFonts w:eastAsia="方正小标宋简体"/>
      <w:sz w:val="32"/>
    </w:rPr>
  </w:style>
  <w:style w:type="character" w:styleId="GB23121">
    <w:name w:val="样式 仿宋_GB23121"/>
    <w:basedOn w:val="Style13"/>
    <w:qFormat/>
    <w:rPr>
      <w:rFonts w:ascii="仿宋_GB2312" w:hAnsi="仿宋_GB2312" w:eastAsia="仿宋_GB2312" w:cs="仿宋_GB2312"/>
      <w:sz w:val="32"/>
    </w:rPr>
  </w:style>
  <w:style w:type="character" w:styleId="2Char">
    <w:name w:val="标题 2 Char"/>
    <w:basedOn w:val="Style13"/>
    <w:qFormat/>
    <w:rPr>
      <w:rFonts w:ascii="Arial" w:hAnsi="Arial" w:eastAsia="黑体;SimHei" w:cs="Arial"/>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7">
    <w:name w:val="公文正文"/>
    <w:basedOn w:val="Normal"/>
    <w:qFormat/>
    <w:pPr/>
    <w:rPr>
      <w:rFonts w:eastAsia="仿宋_GB2312"/>
      <w:sz w:val="32"/>
      <w:szCs w:val="30"/>
    </w:rPr>
  </w:style>
  <w:style w:type="paragraph" w:styleId="Style18">
    <w:name w:val="字号、主送"/>
    <w:basedOn w:val="Normal"/>
    <w:next w:val="Style17"/>
    <w:qFormat/>
    <w:pPr/>
    <w:rPr>
      <w:rFonts w:eastAsia="仿宋_GB2312"/>
      <w:sz w:val="32"/>
    </w:rPr>
  </w:style>
  <w:style w:type="paragraph" w:styleId="Style19">
    <w:name w:val="小标题（仿宋）"/>
    <w:basedOn w:val="Normal"/>
    <w:next w:val="Style17"/>
    <w:qFormat/>
    <w:pPr/>
    <w:rPr>
      <w:rFonts w:eastAsia="仿宋_GB2312"/>
      <w:sz w:val="30"/>
    </w:rPr>
  </w:style>
  <w:style w:type="paragraph" w:styleId="Style20">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1">
    <w:name w:val="发文机关"/>
    <w:basedOn w:val="Normal"/>
    <w:next w:val="Style17"/>
    <w:qFormat/>
    <w:pPr/>
    <w:rPr>
      <w:rFonts w:eastAsia="方正小标宋简体"/>
      <w:color w:val="FF0000"/>
      <w:sz w:val="56"/>
      <w:szCs w:val="56"/>
    </w:rPr>
  </w:style>
  <w:style w:type="paragraph" w:styleId="Style22">
    <w:name w:val="小标题（宋体）"/>
    <w:basedOn w:val="Normal"/>
    <w:next w:val="Style17"/>
    <w:qFormat/>
    <w:pPr/>
    <w:rPr>
      <w:sz w:val="30"/>
    </w:rPr>
  </w:style>
  <w:style w:type="paragraph" w:styleId="Style23">
    <w:name w:val="词目"/>
    <w:basedOn w:val="Normal"/>
    <w:next w:val="Style17"/>
    <w:qFormat/>
    <w:pPr/>
    <w:rPr>
      <w:sz w:val="30"/>
    </w:rPr>
  </w:style>
  <w:style w:type="paragraph" w:styleId="Style24">
    <w:name w:val="小标题（黑体）"/>
    <w:basedOn w:val="Normal"/>
    <w:next w:val="Style17"/>
    <w:qFormat/>
    <w:pPr/>
    <w:rPr>
      <w:rFonts w:eastAsia="黑体;SimHei"/>
      <w:sz w:val="30"/>
    </w:rPr>
  </w:style>
  <w:style w:type="paragraph" w:styleId="Style25">
    <w:name w:val="公文标题"/>
    <w:basedOn w:val="Normal"/>
    <w:next w:val="Style17"/>
    <w:qFormat/>
    <w:pPr/>
    <w:rPr>
      <w:rFonts w:eastAsia="方正小标宋简体"/>
      <w:sz w:val="44"/>
    </w:rPr>
  </w:style>
  <w:style w:type="paragraph" w:styleId="Style26">
    <w:name w:val="传真眉首"/>
    <w:next w:val="Style17"/>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7">
    <w:name w:val="密级、缓急"/>
    <w:next w:val="Style17"/>
    <w:qFormat/>
    <w:pPr>
      <w:widowControl/>
      <w:bidi w:val="0"/>
    </w:pPr>
    <w:rPr>
      <w:rFonts w:ascii="Times New Roman" w:hAnsi="Times New Roman" w:eastAsia="黑体;SimHei" w:cs="Times New Roman"/>
      <w:color w:val="auto"/>
      <w:kern w:val="2"/>
      <w:sz w:val="30"/>
      <w:szCs w:val="24"/>
      <w:lang w:val="en-US" w:eastAsia="zh-CN" w:bidi="ar-S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2022-02-24T15:32:00Z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