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JF-2003-010</w:t>
      </w:r>
    </w:p>
    <w:p>
      <w:pPr>
        <w:pStyle w:val="Normal"/>
        <w:snapToGrid w:val="false"/>
        <w:spacing w:lineRule="auto" w:line="360"/>
        <w:ind w:firstLine="420" w:end="0"/>
        <w:rPr>
          <w:sz w:val="28"/>
          <w:szCs w:val="21"/>
        </w:rPr>
      </w:pPr>
      <w:r>
        <w:rPr>
          <w:sz w:val="28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天津市房产买卖合同</w:t>
      </w:r>
    </w:p>
    <w:p>
      <w:pPr>
        <w:pStyle w:val="Normal"/>
        <w:snapToGrid w:val="false"/>
        <w:spacing w:lineRule="auto" w:line="360"/>
        <w:jc w:val="center"/>
        <w:rPr>
          <w:sz w:val="24"/>
        </w:rPr>
      </w:pPr>
      <w:r>
        <w:rPr>
          <w:sz w:val="24"/>
        </w:rPr>
        <w:t>TIANJIN HOUSE SALE CONTRACT</w:t>
      </w:r>
    </w:p>
    <w:p>
      <w:pPr>
        <w:pStyle w:val="Normal"/>
        <w:snapToGrid w:val="false"/>
        <w:spacing w:lineRule="auto" w:line="360"/>
        <w:ind w:firstLine="420" w:end="0"/>
        <w:rPr>
          <w:sz w:val="24"/>
          <w:szCs w:val="21"/>
        </w:rPr>
      </w:pPr>
      <w:r>
        <w:rPr>
          <w:sz w:val="24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1680" w:end="0"/>
        <w:rPr>
          <w:sz w:val="28"/>
          <w:szCs w:val="28"/>
        </w:rPr>
      </w:pPr>
      <w:r>
        <w:rPr>
          <w:sz w:val="28"/>
          <w:szCs w:val="28"/>
        </w:rPr>
        <w:t>天津市工商行政管理局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2857500</wp:posOffset>
                </wp:positionH>
                <wp:positionV relativeFrom="paragraph">
                  <wp:posOffset>81280</wp:posOffset>
                </wp:positionV>
                <wp:extent cx="609600" cy="3962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监制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pt;height:31.2pt;mso-wrap-distance-left:9.05pt;mso-wrap-distance-right:9.05pt;mso-wrap-distance-top:0pt;mso-wrap-distance-bottom:0pt;margin-top:6.4pt;mso-position-vertical-relative:text;margin-left:2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napToGrid w:val="false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监制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auto" w:line="360"/>
        <w:ind w:firstLine="1664" w:end="0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天津市房地产管理局</w:t>
      </w:r>
    </w:p>
    <w:p>
      <w:pPr>
        <w:pStyle w:val="Normal"/>
        <w:snapToGrid w:val="false"/>
        <w:spacing w:lineRule="auto" w:line="360"/>
        <w:ind w:firstLine="420" w:end="0"/>
        <w:rPr>
          <w:spacing w:val="20"/>
          <w:sz w:val="28"/>
          <w:szCs w:val="21"/>
        </w:rPr>
      </w:pPr>
      <w:r>
        <w:rPr>
          <w:spacing w:val="20"/>
          <w:sz w:val="28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3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填  写  说  明</w:t>
      </w:r>
    </w:p>
    <w:p>
      <w:pPr>
        <w:pStyle w:val="Normal"/>
        <w:snapToGrid w:val="false"/>
        <w:spacing w:lineRule="auto" w:line="360"/>
        <w:ind w:firstLine="420" w:end="0"/>
        <w:rPr>
          <w:rFonts w:ascii="方正黑体_GBK" w:hAnsi="方正黑体_GBK" w:eastAsia="方正黑体_GBK" w:cs="方正黑体_GBK"/>
          <w:sz w:val="28"/>
          <w:szCs w:val="21"/>
        </w:rPr>
      </w:pPr>
      <w:r>
        <w:rPr>
          <w:rFonts w:eastAsia="方正黑体_GBK" w:cs="方正黑体_GBK" w:ascii="方正黑体_GBK" w:hAnsi="方正黑体_GBK"/>
          <w:sz w:val="28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、本合同适用于我市行政区域内存量房买卖。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、合同当事人订立合同前，须认真协商各项条款。一经双方签字或盖章即生效（当事人另有约定的除外），任何条款的变更须经双方协商一致后，签字或盖章确认。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、合同一律用钢笔、毛笔填写，空格部分若为空白句，应用 “／”划掉。涂改之处，须经双方当事人签字或盖章确认。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、本合同不得翻印。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1"/>
        </w:rPr>
      </w:pPr>
      <w:r>
        <w:rPr>
          <w:rFonts w:eastAsia="方正书宋_GBK" w:cs="方正书宋_GBK" w:ascii="方正书宋_GBK" w:hAnsi="方正书宋_GBK"/>
          <w:sz w:val="22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  <w:t>合同编号：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天津市房产买卖合同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出卖人（甲方）：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买受人（乙方）：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根据《中华人民共和国合同法》、《中华人民共和国城市房地产管理法》等有关法律、法规的规定，甲方双方遵循平等、自愿、公平、诚实信用、守法的原则，经协商一致，达成如下条款：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第一条  房产情况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该房屋坐落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。产别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，结构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，建筑面积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平方米。房屋所有权证号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，所有权人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；房屋为共有的，其他共有权人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，共有权证号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，共有方式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，共有权人同意出售证明见附件三。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该房屋土地使用权证号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，土地使用面积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平方米，土地来源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。以出让方式取得土地使用权的，土地使用年限为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年，自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经双方实地查勘，房产实物状况及相关设施，符合双方约定。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房屋相关设施及平面图见附件一，房屋抵押、租赁情况见附件二。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第二条  房产价款、其他价款及交付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房产价款为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（币种：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），计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（大写），其他价款为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（币种：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），计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（大写）。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乙方付款形式、付款时间为：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  房产交付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房产实物状况、权利状况、符合有关规定和双方约定的，方可交付；不符合有关规定和双方约定的，不得交付。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甲方须于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日前，将该房产及相关证明交付乙方。如遇不可抗力，双方约定处理方式：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上述相关证明包括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  产权转移登记及其他相关设施登记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合同订立后，甲乙双方应在</w:t>
      </w:r>
      <w:r>
        <w:rPr>
          <w:rFonts w:eastAsia="方正书宋_GBK" w:cs="方正书宋_GBK" w:ascii="方正书宋_GBK" w:hAnsi="方正书宋_GBK"/>
          <w:sz w:val="22"/>
          <w:szCs w:val="22"/>
        </w:rPr>
        <w:t>30</w:t>
      </w:r>
      <w:r>
        <w:rPr>
          <w:rFonts w:ascii="方正书宋_GBK" w:hAnsi="方正书宋_GBK" w:cs="方正书宋_GBK" w:eastAsia="方正书宋_GBK"/>
          <w:sz w:val="22"/>
          <w:szCs w:val="22"/>
        </w:rPr>
        <w:t>日内，到房屋所有权登记机关办理房屋所有权转移登记手续。按照有关规定，其他相关设施应办理登记的，应在规定期限内办理。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如因一方原因造成另一方未能及时办理房屋所有权转移登记、其他相关设施登记造成损失的，应依法承担违约责任。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  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、甲方逾期交付房产的，应承担违约责任如下：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、乙方逾期付款或不符合付款形式的，应承担违约责任如下：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、其他约定：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  产权纠纷和债权债务纠纷的约定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甲方保证在该房产交付时，无产权纠纷和债权债务纠纷。如有在产权纠纷和债权债务纠纷，由甲方承担全部责任。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第七条  争议处理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本合同发生争议，甲乙双方协商解决。协商不成时，按下列第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种方式处理：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第八条  合同附件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本合同未尽事宜，甲乙双方另行订立补充合同（见附件四）。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附件一至附件四均为本合同不可分割部分，具有同等法律效力。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第九条  合同份数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页。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第十条  合同生效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本合同自甲乙双方签字或盖章之日起生效。当事人另有约定的，按照其约定。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                         乙方：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6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 月    日                 年    月    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6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 月    日                 年    月    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jc w:val="center"/>
        <w:textAlignment w:val="auto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附件一：房屋相关设施及房屋平面图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房屋平面图</w:t>
      </w:r>
    </w:p>
    <w:p>
      <w:pPr>
        <w:pStyle w:val="Normal"/>
        <w:snapToGrid w:val="false"/>
        <w:spacing w:lineRule="auto" w:line="360"/>
        <w:ind w:firstLine="420" w:end="0"/>
        <w:rPr>
          <w:rFonts w:ascii="方正黑体_GBK" w:hAnsi="方正黑体_GBK" w:eastAsia="方正黑体_GBK" w:cs="方正黑体_GBK"/>
          <w:sz w:val="28"/>
          <w:szCs w:val="21"/>
        </w:rPr>
      </w:pPr>
      <w:r>
        <w:rPr>
          <w:rFonts w:eastAsia="方正黑体_GBK" w:cs="方正黑体_GBK" w:ascii="方正黑体_GBK" w:hAnsi="方正黑体_GBK"/>
          <w:sz w:val="28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  <w:r>
        <w:br w:type="page"/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附件二：房屋抵押、租赁情况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附件三：房屋共有权人同意出售证明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附件四：补充合同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rFonts w:eastAsia="Times New Roman"/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0490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8.7pt;height:10.35pt;mso-wrap-distance-left:0pt;mso-wrap-distance-right:0pt;mso-wrap-distance-top:0pt;mso-wrap-distance-bottom:0pt;margin-top:0.05pt;mso-position-vertical-relative:text;margin-left:158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Char">
    <w:name w:val="批注框文本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cp:lastPrinted>2018-08-08T09:28:00Z</cp:lastPrinted>
  <dcterms:modified xsi:type="dcterms:W3CDTF">2022-02-18T15:44:39Z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