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b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天津市房地产经纪服务合同</w:t>
      </w:r>
    </w:p>
    <w:p>
      <w:pPr>
        <w:pStyle w:val="Normal"/>
        <w:jc w:val="center"/>
        <w:rPr>
          <w:rFonts w:ascii="Times New Roman" w:hAnsi="Times New Roman" w:eastAsia="楷体_GB2312;楷体" w:cs="Times New Roman"/>
          <w:sz w:val="28"/>
          <w:szCs w:val="28"/>
        </w:rPr>
      </w:pPr>
      <w:r>
        <w:rPr>
          <w:rFonts w:ascii="Times New Roman" w:hAnsi="Times New Roman" w:cs="Times New Roman" w:eastAsia="楷体_GB2312;楷体"/>
          <w:sz w:val="28"/>
          <w:szCs w:val="28"/>
        </w:rPr>
        <w:t>（</w:t>
      </w:r>
      <w:r>
        <w:rPr>
          <w:rFonts w:eastAsia="楷体_GB2312;楷体" w:cs="Times New Roman"/>
          <w:sz w:val="28"/>
          <w:szCs w:val="28"/>
        </w:rPr>
        <w:t>JF–2011-057</w:t>
      </w:r>
      <w:r>
        <w:rPr>
          <w:rFonts w:ascii="Times New Roman" w:hAnsi="Times New Roman" w:cs="Times New Roman" w:eastAsia="楷体_GB2312;楷体"/>
          <w:sz w:val="28"/>
          <w:szCs w:val="28"/>
        </w:rPr>
        <w:t>）</w:t>
      </w:r>
    </w:p>
    <w:p>
      <w:pPr>
        <w:pStyle w:val="Normal"/>
        <w:jc w:val="center"/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ascii="方正楷体_GBK" w:hAnsi="方正楷体_GBK" w:cs="方正楷体_GBK" w:eastAsia="方正楷体_GBK"/>
          <w:sz w:val="28"/>
          <w:szCs w:val="28"/>
        </w:rPr>
        <w:t>（房产承购）</w:t>
      </w:r>
    </w:p>
    <w:p>
      <w:pPr>
        <w:pStyle w:val="Normal"/>
        <w:jc w:val="center"/>
        <w:rPr>
          <w:rFonts w:ascii="楷体_GB2312;楷体" w:hAnsi="楷体_GB2312;楷体" w:eastAsia="楷体_GB2312;楷体" w:cs="方正楷体_GBK"/>
          <w:b/>
          <w:sz w:val="24"/>
          <w:szCs w:val="28"/>
        </w:rPr>
      </w:pPr>
      <w:r>
        <w:rPr>
          <w:rFonts w:eastAsia="楷体_GB2312;楷体" w:cs="方正楷体_GBK" w:ascii="楷体_GB2312;楷体" w:hAnsi="楷体_GB2312;楷体"/>
          <w:b/>
          <w:sz w:val="24"/>
          <w:szCs w:val="28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snapToGrid w:val="false"/>
        <w:spacing w:lineRule="atLeast" w:line="240"/>
        <w:ind w:firstLine="2240" w:end="0"/>
        <w:rPr>
          <w:rFonts w:ascii="楷体_GB2312;楷体" w:hAnsi="楷体_GB2312;楷体" w:eastAsia="楷体_GB2312;楷体"/>
          <w:spacing w:val="60"/>
          <w:sz w:val="32"/>
          <w:szCs w:val="32"/>
        </w:rPr>
      </w:pPr>
      <w:r>
        <w:rPr>
          <w:rFonts w:ascii="楷体_GB2312;楷体" w:hAnsi="楷体_GB2312;楷体" w:eastAsia="楷体_GB2312;楷体"/>
          <w:sz w:val="32"/>
          <w:szCs w:val="32"/>
        </w:rPr>
        <w:t>天津市国土资源和房屋管理</w:t>
      </w:r>
      <w:r>
        <w:rPr>
          <w:rFonts w:ascii="楷体_GB2312;楷体" w:hAnsi="楷体_GB2312;楷体" w:eastAsia="楷体_GB2312;楷体"/>
          <w:spacing w:val="60"/>
          <w:sz w:val="32"/>
          <w:szCs w:val="32"/>
        </w:rPr>
        <w:t>局</w:t>
      </w:r>
    </w:p>
    <w:p>
      <w:pPr>
        <w:pStyle w:val="Normal"/>
        <w:snapToGrid w:val="false"/>
        <w:spacing w:lineRule="atLeast" w:line="240"/>
        <w:ind w:firstLine="6560" w:end="0"/>
        <w:rPr>
          <w:rFonts w:ascii="楷体_GB2312;楷体" w:hAnsi="楷体_GB2312;楷体" w:eastAsia="楷体_GB2312;楷体"/>
          <w:sz w:val="32"/>
          <w:szCs w:val="32"/>
        </w:rPr>
      </w:pPr>
      <w:r>
        <w:rPr>
          <w:rFonts w:ascii="楷体_GB2312;楷体" w:hAnsi="楷体_GB2312;楷体" w:eastAsia="楷体_GB2312;楷体"/>
          <w:sz w:val="32"/>
          <w:szCs w:val="32"/>
        </w:rPr>
        <w:t>监制</w:t>
      </w:r>
    </w:p>
    <w:p>
      <w:pPr>
        <w:pStyle w:val="Normal"/>
        <w:snapToGrid w:val="false"/>
        <w:spacing w:lineRule="atLeast" w:line="240"/>
        <w:ind w:firstLine="2180" w:end="0"/>
        <w:rPr>
          <w:rFonts w:ascii="楷体_GB2312;楷体" w:hAnsi="楷体_GB2312;楷体" w:eastAsia="楷体_GB2312;楷体"/>
          <w:spacing w:val="58"/>
          <w:sz w:val="32"/>
          <w:szCs w:val="32"/>
        </w:rPr>
      </w:pPr>
      <w:r>
        <w:rPr>
          <w:rFonts w:ascii="楷体_GB2312;楷体" w:hAnsi="楷体_GB2312;楷体" w:eastAsia="楷体_GB2312;楷体"/>
          <w:spacing w:val="58"/>
          <w:sz w:val="32"/>
          <w:szCs w:val="32"/>
        </w:rPr>
        <w:t>天津市工商行政管理局</w:t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pacing w:val="58"/>
          <w:sz w:val="24"/>
          <w:szCs w:val="32"/>
        </w:rPr>
      </w:pPr>
      <w:r>
        <w:rPr>
          <w:rFonts w:eastAsia="楷体_GB2312;楷体" w:ascii="楷体_GB2312;楷体" w:hAnsi="楷体_GB2312;楷体"/>
          <w:b/>
          <w:spacing w:val="58"/>
          <w:sz w:val="24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sz w:val="48"/>
        </w:rPr>
      </w:pPr>
      <w:r>
        <w:rPr>
          <w:rFonts w:eastAsia="楷体_GB2312;楷体" w:ascii="楷体_GB2312;楷体" w:hAnsi="楷体_GB2312;楷体"/>
          <w:sz w:val="48"/>
        </w:rPr>
      </w:r>
    </w:p>
    <w:p>
      <w:pPr>
        <w:pStyle w:val="Normal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填 写 说 明</w:t>
      </w:r>
    </w:p>
    <w:p>
      <w:pPr>
        <w:pStyle w:val="Normal"/>
        <w:jc w:val="both"/>
        <w:rPr>
          <w:rFonts w:ascii="楷体_GB2312;楷体" w:hAnsi="楷体_GB2312;楷体" w:eastAsia="楷体_GB2312;楷体" w:cs="方正黑体_GBK"/>
          <w:b/>
          <w:sz w:val="32"/>
          <w:szCs w:val="28"/>
        </w:rPr>
      </w:pPr>
      <w:r>
        <w:rPr>
          <w:rFonts w:eastAsia="楷体_GB2312;楷体" w:cs="方正黑体_GBK" w:ascii="楷体_GB2312;楷体" w:hAnsi="楷体_GB2312;楷体"/>
          <w:b/>
          <w:sz w:val="32"/>
          <w:szCs w:val="28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、本合同适用于我市行政区域内承购存量房的经纪服务活动。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FF0000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、当事人订立合同前，须认真协商各项条款。一经双方签字或盖章即生效（当事人另有约定的除外），任何条款的变更须经双方协商一致后，签字或盖章确认。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合同应当用钢笔、毛笔、签字笔及打印填写，</w:t>
      </w:r>
      <w:r>
        <w:rPr>
          <w:rFonts w:ascii="方正书宋_GBK" w:hAnsi="方正书宋_GBK" w:cs="方正书宋_GBK" w:eastAsia="方正书宋_GBK"/>
          <w:sz w:val="22"/>
          <w:szCs w:val="22"/>
        </w:rPr>
        <w:t>空格部分若为空白句，应用“</w:t>
      </w:r>
      <w:r>
        <w:rPr>
          <w:rFonts w:eastAsia="方正书宋_GBK" w:cs="方正书宋_GBK" w:ascii="方正书宋_GBK" w:hAnsi="方正书宋_GBK"/>
          <w:sz w:val="22"/>
          <w:szCs w:val="22"/>
        </w:rPr>
        <w:t>/”</w:t>
      </w:r>
      <w:r>
        <w:rPr>
          <w:rFonts w:ascii="方正书宋_GBK" w:hAnsi="方正书宋_GBK" w:cs="方正书宋_GBK" w:eastAsia="方正书宋_GBK"/>
          <w:sz w:val="22"/>
          <w:szCs w:val="22"/>
        </w:rPr>
        <w:t>划掉。涂改之处，须经合同当事人签字或盖章确认。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snapToGrid w:val="false"/>
        <w:jc w:val="center"/>
        <w:rPr>
          <w:rFonts w:ascii="楷体_GB2312;楷体" w:hAnsi="楷体_GB2312;楷体" w:eastAsia="楷体_GB2312;楷体" w:cs="方正书宋_GBK"/>
          <w:b/>
          <w:sz w:val="36"/>
          <w:szCs w:val="22"/>
        </w:rPr>
      </w:pPr>
      <w:r>
        <w:rPr>
          <w:rFonts w:eastAsia="楷体_GB2312;楷体" w:cs="方正书宋_GBK" w:ascii="楷体_GB2312;楷体" w:hAnsi="楷体_GB2312;楷体"/>
          <w:b/>
          <w:sz w:val="36"/>
          <w:szCs w:val="22"/>
        </w:rPr>
      </w:r>
    </w:p>
    <w:p>
      <w:pPr>
        <w:pStyle w:val="Normal"/>
        <w:snapToGrid w:val="false"/>
        <w:jc w:val="center"/>
        <w:rPr>
          <w:rFonts w:ascii="楷体_GB2312;楷体" w:hAnsi="楷体_GB2312;楷体" w:eastAsia="楷体_GB2312;楷体"/>
          <w:sz w:val="36"/>
        </w:rPr>
      </w:pPr>
      <w:r>
        <w:rPr>
          <w:rFonts w:eastAsia="楷体_GB2312;楷体" w:ascii="楷体_GB2312;楷体" w:hAnsi="楷体_GB2312;楷体"/>
          <w:sz w:val="36"/>
        </w:rPr>
      </w:r>
    </w:p>
    <w:p>
      <w:pPr>
        <w:pStyle w:val="Normal"/>
        <w:snapToGrid w:val="false"/>
        <w:jc w:val="center"/>
        <w:rPr>
          <w:rFonts w:ascii="楷体_GB2312;楷体" w:hAnsi="楷体_GB2312;楷体" w:eastAsia="楷体_GB2312;楷体"/>
          <w:sz w:val="36"/>
        </w:rPr>
      </w:pPr>
      <w:r>
        <w:rPr>
          <w:rFonts w:eastAsia="楷体_GB2312;楷体" w:ascii="楷体_GB2312;楷体" w:hAnsi="楷体_GB2312;楷体"/>
          <w:sz w:val="36"/>
        </w:rPr>
      </w:r>
    </w:p>
    <w:p>
      <w:pPr>
        <w:pStyle w:val="Normal"/>
        <w:snapToGrid w:val="false"/>
        <w:jc w:val="center"/>
        <w:rPr>
          <w:rFonts w:ascii="楷体_GB2312;楷体" w:hAnsi="楷体_GB2312;楷体" w:eastAsia="楷体_GB2312;楷体"/>
          <w:sz w:val="36"/>
        </w:rPr>
      </w:pPr>
      <w:r>
        <w:rPr>
          <w:rFonts w:eastAsia="楷体_GB2312;楷体" w:ascii="楷体_GB2312;楷体" w:hAnsi="楷体_GB2312;楷体"/>
          <w:sz w:val="36"/>
        </w:rPr>
      </w:r>
    </w:p>
    <w:p>
      <w:pPr>
        <w:pStyle w:val="Normal"/>
        <w:snapToGrid w:val="false"/>
        <w:jc w:val="center"/>
        <w:rPr>
          <w:rFonts w:ascii="楷体_GB2312;楷体" w:hAnsi="楷体_GB2312;楷体" w:eastAsia="楷体_GB2312;楷体"/>
          <w:sz w:val="36"/>
        </w:rPr>
      </w:pPr>
      <w:r>
        <w:rPr>
          <w:rFonts w:eastAsia="楷体_GB2312;楷体" w:ascii="楷体_GB2312;楷体" w:hAnsi="楷体_GB2312;楷体"/>
          <w:sz w:val="36"/>
        </w:rPr>
      </w:r>
    </w:p>
    <w:p>
      <w:pPr>
        <w:pStyle w:val="Normal"/>
        <w:snapToGrid w:val="false"/>
        <w:jc w:val="center"/>
        <w:rPr>
          <w:rFonts w:ascii="楷体_GB2312;楷体" w:hAnsi="楷体_GB2312;楷体" w:eastAsia="楷体_GB2312;楷体"/>
          <w:sz w:val="36"/>
        </w:rPr>
      </w:pPr>
      <w:r>
        <w:rPr>
          <w:rFonts w:eastAsia="楷体_GB2312;楷体" w:ascii="楷体_GB2312;楷体" w:hAnsi="楷体_GB2312;楷体"/>
          <w:sz w:val="36"/>
        </w:rPr>
      </w:r>
    </w:p>
    <w:p>
      <w:pPr>
        <w:pStyle w:val="Normal"/>
        <w:snapToGrid w:val="false"/>
        <w:jc w:val="center"/>
        <w:rPr>
          <w:rFonts w:ascii="楷体_GB2312;楷体" w:hAnsi="楷体_GB2312;楷体" w:eastAsia="楷体_GB2312;楷体"/>
          <w:sz w:val="36"/>
        </w:rPr>
      </w:pPr>
      <w:r>
        <w:rPr>
          <w:rFonts w:eastAsia="楷体_GB2312;楷体" w:ascii="楷体_GB2312;楷体" w:hAnsi="楷体_GB2312;楷体"/>
          <w:sz w:val="36"/>
        </w:rPr>
      </w:r>
    </w:p>
    <w:p>
      <w:pPr>
        <w:pStyle w:val="Normal"/>
        <w:spacing w:lineRule="auto" w:line="360"/>
        <w:ind w:firstLine="555" w:end="0"/>
        <w:rPr>
          <w:rFonts w:ascii="楷体_GB2312;楷体" w:hAnsi="楷体_GB2312;楷体" w:eastAsia="楷体_GB2312;楷体"/>
          <w:b/>
          <w:sz w:val="32"/>
          <w:u w:val="single"/>
        </w:rPr>
      </w:pPr>
      <w:r>
        <w:rPr>
          <w:rFonts w:eastAsia="楷体_GB2312;楷体" w:ascii="楷体_GB2312;楷体" w:hAnsi="楷体_GB2312;楷体"/>
          <w:b/>
          <w:sz w:val="32"/>
          <w:u w:val="single"/>
        </w:rPr>
      </w:r>
    </w:p>
    <w:p>
      <w:pPr>
        <w:pStyle w:val="Normal"/>
        <w:spacing w:lineRule="auto" w:line="360"/>
        <w:ind w:firstLine="555" w:end="0"/>
        <w:rPr>
          <w:rFonts w:ascii="楷体_GB2312;楷体" w:hAnsi="楷体_GB2312;楷体" w:eastAsia="楷体_GB2312;楷体"/>
          <w:b/>
          <w:sz w:val="32"/>
          <w:u w:val="single"/>
        </w:rPr>
      </w:pPr>
      <w:r>
        <w:rPr>
          <w:rFonts w:eastAsia="楷体_GB2312;楷体" w:ascii="楷体_GB2312;楷体" w:hAnsi="楷体_GB2312;楷体"/>
          <w:b/>
          <w:sz w:val="32"/>
          <w:u w:val="single"/>
        </w:rPr>
      </w:r>
    </w:p>
    <w:p>
      <w:pPr>
        <w:pStyle w:val="Normal"/>
        <w:spacing w:lineRule="auto" w:line="360"/>
        <w:ind w:firstLine="555" w:end="0"/>
        <w:rPr>
          <w:rFonts w:ascii="楷体_GB2312;楷体" w:hAnsi="楷体_GB2312;楷体" w:eastAsia="楷体_GB2312;楷体"/>
          <w:b/>
          <w:sz w:val="32"/>
          <w:u w:val="single"/>
        </w:rPr>
      </w:pPr>
      <w:r>
        <w:rPr>
          <w:rFonts w:eastAsia="楷体_GB2312;楷体" w:ascii="楷体_GB2312;楷体" w:hAnsi="楷体_GB2312;楷体"/>
          <w:b/>
          <w:sz w:val="32"/>
          <w:u w:val="single"/>
        </w:rPr>
      </w:r>
    </w:p>
    <w:p>
      <w:pPr>
        <w:pStyle w:val="Normal"/>
        <w:spacing w:lineRule="exact" w:line="600"/>
        <w:ind w:firstLine="640" w:end="0"/>
        <w:rPr>
          <w:rFonts w:ascii="楷体_GB2312;楷体" w:hAnsi="楷体_GB2312;楷体" w:eastAsia="仿宋_GB2312;仿宋"/>
          <w:b/>
          <w:sz w:val="32"/>
          <w:u w:val="single"/>
        </w:rPr>
      </w:pPr>
      <w:r>
        <w:rPr>
          <w:rFonts w:eastAsia="仿宋_GB2312;仿宋" w:ascii="楷体_GB2312;楷体" w:hAnsi="楷体_GB2312;楷体"/>
          <w:b/>
          <w:sz w:val="32"/>
          <w:u w:val="single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580"/>
        <w:rPr>
          <w:rFonts w:ascii="楷体_GB2312;楷体" w:hAnsi="楷体_GB2312;楷体" w:eastAsia="楷体_GB2312;楷体"/>
          <w:sz w:val="28"/>
        </w:rPr>
      </w:pPr>
      <w:r>
        <w:rPr>
          <w:rFonts w:ascii="楷体_GB2312;楷体" w:hAnsi="楷体_GB2312;楷体" w:cs="楷体_GB2312;楷体" w:eastAsia="楷体_GB2312;楷体"/>
          <w:sz w:val="28"/>
        </w:rPr>
        <w:t xml:space="preserve">                                          </w:t>
      </w:r>
      <w:r>
        <w:rPr>
          <w:rFonts w:ascii="楷体_GB2312;楷体" w:hAnsi="楷体_GB2312;楷体" w:eastAsia="楷体_GB2312;楷体"/>
          <w:sz w:val="28"/>
        </w:rPr>
        <w:t>合同编号：</w:t>
      </w:r>
    </w:p>
    <w:p>
      <w:pPr>
        <w:pStyle w:val="Normal"/>
        <w:spacing w:lineRule="exact" w:line="580"/>
        <w:jc w:val="center"/>
        <w:rPr>
          <w:rFonts w:ascii="方正小标宋_GBK" w:hAnsi="方正小标宋_GBK" w:eastAsia="方正小标宋_GBK" w:cs="方正小标宋_GBK"/>
          <w:b w:val="false"/>
          <w:bCs/>
          <w:sz w:val="40"/>
          <w:szCs w:val="4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40"/>
          <w:szCs w:val="40"/>
        </w:rPr>
        <w:t>天津市房地产经纪服务合同（房产承购）</w:t>
      </w:r>
    </w:p>
    <w:p>
      <w:pPr>
        <w:pStyle w:val="Normal"/>
        <w:spacing w:lineRule="exact" w:line="580"/>
        <w:jc w:val="center"/>
        <w:rPr>
          <w:rFonts w:ascii="楷体_GB2312;楷体" w:hAnsi="楷体_GB2312;楷体" w:eastAsia="楷体_GB2312;楷体" w:cs="方正小标宋_GBK"/>
          <w:b/>
          <w:bCs/>
          <w:sz w:val="44"/>
          <w:szCs w:val="40"/>
        </w:rPr>
      </w:pPr>
      <w:r>
        <w:rPr>
          <w:rFonts w:eastAsia="楷体_GB2312;楷体" w:cs="方正小标宋_GBK" w:ascii="楷体_GB2312;楷体" w:hAnsi="楷体_GB2312;楷体"/>
          <w:b/>
          <w:bCs/>
          <w:sz w:val="44"/>
          <w:szCs w:val="40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委托人（以下简称甲方）：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（个人）姓名：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国籍：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身份证（护照）号码：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（法人或其他组织）名称：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营业执照号码：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</w:t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4794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5849620</wp:posOffset>
                </wp:positionH>
                <wp:positionV relativeFrom="paragraph">
                  <wp:posOffset>216535</wp:posOffset>
                </wp:positionV>
                <wp:extent cx="635" cy="0"/>
                <wp:effectExtent l="0" t="5080" r="0" b="5080"/>
                <wp:wrapNone/>
                <wp:docPr id="1" name="直线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6pt,17.05pt" to="460.6pt,17.05pt" ID="直线 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5849620</wp:posOffset>
                </wp:positionH>
                <wp:positionV relativeFrom="paragraph">
                  <wp:posOffset>216535</wp:posOffset>
                </wp:positionV>
                <wp:extent cx="635" cy="0"/>
                <wp:effectExtent l="0" t="5080" r="0" b="5080"/>
                <wp:wrapNone/>
                <wp:docPr id="2" name="直线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6pt,17.05pt" to="460.6pt,17.05pt" ID="直线 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方正书宋_GBK" w:hAnsi="方正书宋_GBK" w:cs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联系电话：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受托人（以下简称乙方）：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营业执照号码：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房地产经纪机构备案证号：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</w:t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4794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5849620</wp:posOffset>
                </wp:positionH>
                <wp:positionV relativeFrom="paragraph">
                  <wp:posOffset>216535</wp:posOffset>
                </wp:positionV>
                <wp:extent cx="635" cy="0"/>
                <wp:effectExtent l="0" t="5080" r="0" b="5080"/>
                <wp:wrapNone/>
                <wp:docPr id="3" name="直线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6pt,17.05pt" to="460.6pt,17.05pt" ID="直线 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5849620</wp:posOffset>
                </wp:positionH>
                <wp:positionV relativeFrom="paragraph">
                  <wp:posOffset>216535</wp:posOffset>
                </wp:positionV>
                <wp:extent cx="635" cy="0"/>
                <wp:effectExtent l="0" t="5080" r="0" b="5080"/>
                <wp:wrapNone/>
                <wp:docPr id="4" name="直线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6pt,17.05pt" to="460.6pt,17.05pt" ID="直线 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方正书宋_GBK" w:hAnsi="方正书宋_GBK" w:cs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联系电话：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执业房地产经纪人员：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注册证号：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执业房地产经纪人员：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注册证号：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3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、《中华人民共和国城市房地产管理法》、《天津市房地产交易管理条例》、《房地产经纪管理办法》等有关法律、法规、规章的规定，甲乙双方遵循平等、自愿、公平、诚实信用、守法的原则，经协商一致，就甲方委托乙方提供房产购买的经纪服务，达成如下条款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63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第一条  购买房产需求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（一）需求房产区域：天津市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；户型：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；朝向：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；建筑面积：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</w:rPr>
        <w:t>平方米左右；计租面积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平方米左右；楼层范围：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（二）房产用途： □住宅  □商业  □写字楼 □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　　产别：□私产  □公产  □企业产  □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（三）室内装修情况：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（四）房价款（每套单元）：人民币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万元至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万元左右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（五）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（六）以上需求最终以甲方和售房人签订的房产交易合同内容为准。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63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第二条  提前告知事项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在签署本合同前，乙方应按照《房地产经纪管理办法》等相关规定，书面告知甲方房产交易的相关事项。书面告知材料应当经甲方签名（盖章）确认。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63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第三条  证件查验及留存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为保证本合同顺利履行，甲方应向乙方提供以下证件原件进行查验，并保证提供的资料真实、合法：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、身份证 □     护照 □    营业执照□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61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甲方允许乙方留存以下证件的复印件用于办理约定的经纪服务事项：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、身份证 □    护照 □     营业执照□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63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第四条   经纪服务具体内容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乙方为甲方提供的房地产经纪服务包括下列第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项：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提供与购买房产相关的法律法规、政策、市场行情咨询。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提供甲方意向购买房产的真实信息并促成签订房产交易合同。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对符合甲方基本要求的房产进行</w:t>
      </w:r>
      <w:r>
        <w:rPr>
          <w:rFonts w:ascii="方正书宋_GBK" w:hAnsi="方正书宋_GBK" w:cs="方正书宋_GBK" w:eastAsia="方正书宋_GBK"/>
          <w:sz w:val="22"/>
          <w:szCs w:val="22"/>
        </w:rPr>
        <w:t>产权调查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和实地看房。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指导甲方签订房产交易合同。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协助查验并接收房产、附属设施及家具设备等。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代办产权过户手续。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7.</w:t>
      </w:r>
      <w:r>
        <w:rPr>
          <w:rFonts w:ascii="方正书宋_GBK" w:hAnsi="方正书宋_GBK" w:cs="方正书宋_GBK" w:eastAsia="方正书宋_GBK"/>
          <w:sz w:val="22"/>
          <w:szCs w:val="22"/>
        </w:rPr>
        <w:t>代办贷款手续。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8.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61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第五条  委托期限与方式</w:t>
      </w:r>
    </w:p>
    <w:p>
      <w:pPr>
        <w:pStyle w:val="BodyTextIndent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（一）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委托期限按照下列第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种方式确定（只可选一项）：</w:t>
      </w:r>
    </w:p>
    <w:p>
      <w:pPr>
        <w:pStyle w:val="BodyTextIndent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１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自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日起，至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日止。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除甲、乙双方另有约定同意延期外，期限届满后本合同自行终止。</w:t>
      </w:r>
    </w:p>
    <w:p>
      <w:pPr>
        <w:pStyle w:val="BodyTextIndent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自本协议签订之日起，至甲方与售房人签订房产交易合同之日止。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3.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（二）甲方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 </w:t>
      </w:r>
      <w:r>
        <w:rPr>
          <w:rFonts w:ascii="方正书宋_GBK" w:hAnsi="方正书宋_GBK" w:cs="方正书宋_GBK" w:eastAsia="方正书宋_GBK"/>
          <w:b/>
          <w:kern w:val="0"/>
          <w:sz w:val="22"/>
          <w:szCs w:val="22"/>
          <w:u w:val="single"/>
        </w:rPr>
        <w:t xml:space="preserve">□承诺 </w:t>
      </w:r>
      <w:r>
        <w:rPr>
          <w:rFonts w:eastAsia="方正书宋_GBK" w:cs="方正书宋_GBK" w:ascii="方正书宋_GBK" w:hAnsi="方正书宋_GBK"/>
          <w:b/>
          <w:kern w:val="0"/>
          <w:sz w:val="22"/>
          <w:szCs w:val="22"/>
          <w:u w:val="single"/>
        </w:rPr>
        <w:t>/ □</w:t>
      </w:r>
      <w:r>
        <w:rPr>
          <w:rFonts w:ascii="方正书宋_GBK" w:hAnsi="方正书宋_GBK" w:cs="方正书宋_GBK" w:eastAsia="方正书宋_GBK"/>
          <w:b/>
          <w:kern w:val="0"/>
          <w:sz w:val="22"/>
          <w:szCs w:val="22"/>
          <w:u w:val="single"/>
        </w:rPr>
        <w:t xml:space="preserve">不承诺 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在委托期限内本合同约定的经纪服务事项为独家委托。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第六条  经纪服务费支付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甲方应按下列第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项约定向乙方支付经纪服务费：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按房产交易合同中房价款的百分之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（小写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>%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）支付，支付时间为房产交易合同签订之日起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代办贷款服务费（大写）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元（小写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元），支付时间为贷款手续完成之日起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日内。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代办产权过户手续服务费（大写）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元（小写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元），支付时间为产权过户手续完成之日起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日内。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11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第七条  甲方权利义务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（一）甲方应如实告知乙方购买房产的真实需求。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（二）甲方应积极协助、配合乙方完成经纪服务事项。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（三）甲方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□同意 </w:t>
      </w: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  <w:t>/ □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不同意  </w:t>
      </w:r>
      <w:r>
        <w:rPr>
          <w:rFonts w:ascii="方正书宋_GBK" w:hAnsi="方正书宋_GBK" w:cs="方正书宋_GBK" w:eastAsia="方正书宋_GBK"/>
          <w:sz w:val="22"/>
          <w:szCs w:val="22"/>
        </w:rPr>
        <w:t>由第三方代替乙方或者乙方与第三方共同完成甲方委托的事项。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第八条  乙方权利义务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（一）乙方对在提供经纪服务过程中知悉的甲方的商业秘密及个人隐私，负有保密义务。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（二）乙方应积极、努力依法完成甲方委托事项，并如实向甲方说明办理情况。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（三）乙方收取费用应开具合法规范的发票，不得收取除双方约定的经纪服务费之外的其他任何费用。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（四）未经甲方同意，乙方不得以任何理由扣押甲方的证书、资料原件。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（五）乙方不得隐瞒真实的房产交易信息，赚取房产交易差价。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（六）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第九条  甲方违约责任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（一）因甲方虚假委托或提供的有关证件和资料不实的，乙方有权单方解除本合同；给乙方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造成损失的，甲方应依法承担赔偿责任。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（二）甲方在委托期限内及委托期届满之后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个月内，与乙方介绍过的客户成交的，甲方应当支付约定的经纪服务费；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但甲方能证明该项交易与乙方的服务没有直接因果关系的除外。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（三）甲方如未能按时将约定的经纪服务费支付给乙方，每逾期一日向乙方支付违约金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元，直至经纪服务费支付完毕日止。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（四）甲方承诺为独家委托的，在独家委托期间，甲方与第三方签订房产交易合同的，应当向乙方支付约定的经纪服务费。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（七）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第十条  乙方违约责任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（一）乙方有下列情况之一的，甲方不向乙方支付约定的经纪服务费；给甲方造成损失的，乙方应依法承担赔偿责任：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未完成甲方委托的经纪服务事项。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乙方服务未达到合同约定的标准，或未经甲方书面同意，擅自改变房地产经纪服务内容、要求和标准。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未经甲方同意，由第三方代替乙方或者乙方与第三方共同完成甲方委托的事项。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乙方违反国家有关法律、法规及本市相关法规，损害甲方利益。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（二）乙方泄露甲方的商业秘密及个人隐私的，依法承担责任。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第十一条  争议处理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本合同发生争议，甲乙双方应协商解决。协商不成的，按下列第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种方式解决：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10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</w:t>
      </w: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仲裁委员会申请仲裁。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向人民法院提起诉讼。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55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第十二条  合同附件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本合同未尽事宜，甲乙双方订立补充合同（附件一）。补充合同与本合同具有同等法律效力。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55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第十三条  合同份数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本合同连同附件共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页，一式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份，甲乙双方各执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份，具有同等法律效力。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55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第十四条  合同生效</w:t>
      </w:r>
    </w:p>
    <w:p>
      <w:pPr>
        <w:pStyle w:val="3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本合同自甲乙双方签字或盖章之日起生效。当事人另有约定的，从其约定。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甲方：                         乙方：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执业经纪人员（签字）：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经纪人员注册号：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1423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年   月   日                          年   月   日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both"/>
        <w:textAlignment w:val="auto"/>
        <w:rPr>
          <w:rFonts w:ascii="方正楷体_GBK" w:hAnsi="方正楷体_GBK" w:eastAsia="方正楷体_GBK" w:cs="方正楷体_GBK"/>
          <w:b w:val="false"/>
          <w:bCs/>
          <w:sz w:val="28"/>
          <w:szCs w:val="28"/>
        </w:rPr>
      </w:pPr>
      <w:r>
        <w:rPr>
          <w:rFonts w:ascii="方正楷体_GBK" w:hAnsi="方正楷体_GBK" w:cs="方正楷体_GBK" w:eastAsia="方正楷体_GBK"/>
          <w:b w:val="false"/>
          <w:bCs/>
          <w:sz w:val="28"/>
          <w:szCs w:val="28"/>
        </w:rPr>
        <w:t>附件一：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both"/>
        <w:textAlignment w:val="auto"/>
        <w:rPr>
          <w:rFonts w:ascii="方正楷体_GBK" w:hAnsi="方正楷体_GBK" w:eastAsia="方正楷体_GBK" w:cs="方正楷体_GBK"/>
          <w:b w:val="false"/>
          <w:bCs/>
          <w:sz w:val="28"/>
          <w:szCs w:val="28"/>
        </w:rPr>
      </w:pPr>
      <w:r>
        <w:rPr>
          <w:rFonts w:eastAsia="方正楷体_GBK" w:cs="方正楷体_GBK" w:ascii="方正楷体_GBK" w:hAnsi="方正楷体_GBK"/>
          <w:b w:val="false"/>
          <w:bCs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40"/>
          <w:szCs w:val="40"/>
        </w:rPr>
      </w:pPr>
      <w:r>
        <w:rPr>
          <w:rFonts w:ascii="方正书宋_GBK" w:hAnsi="方正书宋_GBK" w:cs="方正书宋_GBK" w:eastAsia="方正书宋_GBK"/>
          <w:b/>
          <w:sz w:val="40"/>
          <w:szCs w:val="40"/>
        </w:rPr>
        <w:t>补 充 合 同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sectPr>
      <w:footerReference w:type="default" r:id="rId2"/>
      <w:type w:val="nextPage"/>
      <w:pgSz w:w="11906" w:h="16838"/>
      <w:pgMar w:left="1588" w:right="1474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楷体_GB2312">
    <w:altName w:val="楷体"/>
    <w:charset w:val="86"/>
    <w:family w:val="modern"/>
    <w:pitch w:val="default"/>
  </w:font>
  <w:font w:name="宋体">
    <w:charset w:val="86"/>
    <w:family w:val="auto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黑体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18.8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snapToGrid w:val="false"/>
      <w:spacing w:lineRule="auto" w:line="360"/>
      <w:ind w:firstLine="570" w:start="0" w:end="0"/>
    </w:pPr>
    <w:rPr>
      <w:rFonts w:ascii="楷体_GB2312;楷体" w:hAnsi="楷体_GB2312;楷体" w:eastAsia="楷体_GB2312;楷体"/>
      <w:sz w:val="30"/>
    </w:rPr>
  </w:style>
  <w:style w:type="paragraph" w:styleId="2">
    <w:name w:val="正文文本缩进 2"/>
    <w:basedOn w:val="Normal"/>
    <w:qFormat/>
    <w:pPr>
      <w:spacing w:lineRule="auto" w:line="360"/>
      <w:ind w:firstLine="210" w:start="0" w:end="0"/>
      <w:jc w:val="center"/>
    </w:pPr>
    <w:rPr>
      <w:rFonts w:ascii="宋体" w:hAnsi="宋体"/>
      <w:b/>
      <w:color w:val="000000"/>
      <w:sz w:val="8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start"/>
    </w:pPr>
    <w:rPr>
      <w:rFonts w:ascii="宋体" w:hAnsi="宋体" w:cs="宋体"/>
      <w:kern w:val="0"/>
      <w:sz w:val="24"/>
      <w:szCs w:val="24"/>
    </w:rPr>
  </w:style>
  <w:style w:type="paragraph" w:styleId="3">
    <w:name w:val="正文文本缩进 3"/>
    <w:basedOn w:val="Normal"/>
    <w:qFormat/>
    <w:pPr>
      <w:spacing w:before="0" w:after="120"/>
      <w:ind w:hanging="0" w:start="420" w:end="0"/>
    </w:pPr>
    <w:rPr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2011-11-25T16:39:00Z</dcterms:created>
  <dc:creator>袁弘信</dc:creator>
  <dc:description/>
  <dc:language>zh-CN</dc:language>
  <cp:lastModifiedBy>袁弘信</cp:lastModifiedBy>
  <dcterms:modified xsi:type="dcterms:W3CDTF">2022-02-18T16:58:17Z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