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仿宋_GB2312" w:hAnsi="仿宋_GB2312" w:eastAsia="仿宋_GB2312"/>
          <w:sz w:val="32"/>
          <w:szCs w:val="32"/>
        </w:rPr>
      </w:pPr>
      <w:r>
        <w:rPr>
          <w:rFonts w:eastAsia="仿宋_GB2312" w:ascii="仿宋_GB2312" w:hAnsi="仿宋_GB2312"/>
          <w:sz w:val="32"/>
          <w:szCs w:val="32"/>
        </w:rPr>
      </w:r>
    </w:p>
    <w:p>
      <w:pPr>
        <w:pStyle w:val="CM19"/>
        <w:spacing w:before="0" w:after="345"/>
        <w:ind w:start="322" w:end="0"/>
        <w:jc w:val="both"/>
        <w:rPr>
          <w:rFonts w:ascii="Times New Roman;Nimbus Roman No9 L" w:hAnsi="Times New Roman;Nimbus Roman No9 L" w:eastAsia="仿宋_GB2312" w:cs="Times New Roman;Nimbus Roman No9 L"/>
          <w:color w:val="000000"/>
          <w:kern w:val="0"/>
          <w:sz w:val="28"/>
          <w:szCs w:val="22"/>
          <w:lang w:val="en-US" w:eastAsia="zh-CN" w:bidi="ar-SA"/>
        </w:rPr>
      </w:pPr>
      <w:r>
        <w:rPr>
          <w:rFonts w:eastAsia="仿宋_GB2312" w:cs="Times New Roman;Nimbus Roman No9 L" w:ascii="Times New Roman;Nimbus Roman No9 L" w:hAnsi="Times New Roman;Nimbus Roman No9 L"/>
          <w:color w:val="000000"/>
          <w:kern w:val="0"/>
          <w:sz w:val="28"/>
          <w:szCs w:val="22"/>
          <w:lang w:val="en-US" w:eastAsia="zh-CN" w:bidi="ar-SA"/>
        </w:rPr>
        <w:t>LF</w:t>
      </w:r>
      <w:r>
        <w:rPr>
          <w:rFonts w:eastAsia="仿宋_GB2312" w:cs="仿宋_GB2312" w:ascii="仿宋_GB2312" w:hAnsi="仿宋_GB2312"/>
          <w:color w:val="000000"/>
          <w:kern w:val="0"/>
          <w:sz w:val="28"/>
          <w:szCs w:val="22"/>
          <w:lang w:val="en-US" w:eastAsia="zh-CN" w:bidi="ar-SA"/>
        </w:rPr>
        <w:t>—</w:t>
      </w:r>
      <w:r>
        <w:rPr>
          <w:rFonts w:eastAsia="仿宋_GB2312" w:cs="Times New Roman;Nimbus Roman No9 L" w:ascii="Times New Roman;Nimbus Roman No9 L" w:hAnsi="Times New Roman;Nimbus Roman No9 L"/>
          <w:color w:val="000000"/>
          <w:kern w:val="0"/>
          <w:sz w:val="28"/>
          <w:szCs w:val="22"/>
          <w:lang w:val="en-US" w:eastAsia="zh-CN" w:bidi="ar-SA"/>
        </w:rPr>
        <w:t>2017</w:t>
      </w:r>
      <w:r>
        <w:rPr>
          <w:rFonts w:eastAsia="仿宋_GB2312" w:cs="仿宋_GB2312" w:ascii="仿宋_GB2312" w:hAnsi="仿宋_GB2312"/>
          <w:color w:val="000000"/>
          <w:kern w:val="0"/>
          <w:sz w:val="28"/>
          <w:szCs w:val="22"/>
          <w:lang w:val="en-US" w:eastAsia="zh-CN" w:bidi="ar-SA"/>
        </w:rPr>
        <w:t>—</w:t>
      </w:r>
      <w:r>
        <w:rPr>
          <w:rFonts w:eastAsia="仿宋_GB2312" w:cs="Times New Roman;Nimbus Roman No9 L" w:ascii="Times New Roman;Nimbus Roman No9 L" w:hAnsi="Times New Roman;Nimbus Roman No9 L"/>
          <w:color w:val="000000"/>
          <w:kern w:val="0"/>
          <w:sz w:val="28"/>
          <w:szCs w:val="22"/>
          <w:lang w:val="en-US" w:eastAsia="zh-CN" w:bidi="ar-SA"/>
        </w:rPr>
        <w:t>0401</w:t>
      </w:r>
    </w:p>
    <w:p>
      <w:pPr>
        <w:pStyle w:val="Normal"/>
        <w:jc w:val="center"/>
        <w:rPr>
          <w:rFonts w:ascii="Times New Roman;Nimbus Roman No9 L" w:hAnsi="Times New Roman;Nimbus Roman No9 L" w:eastAsia="仿宋_GB2312" w:cs="Times New Roman;Nimbus Roman No9 L"/>
          <w:color w:val="000000"/>
          <w:kern w:val="0"/>
          <w:sz w:val="28"/>
          <w:szCs w:val="22"/>
          <w:lang w:val="en-US" w:eastAsia="zh-CN" w:bidi="ar-SA"/>
        </w:rPr>
      </w:pPr>
      <w:r>
        <w:rPr>
          <w:rFonts w:ascii="仿宋_GB2312" w:hAnsi="仿宋_GB2312" w:cs="仿宋_GB2312" w:eastAsia="仿宋_GB2312"/>
          <w:sz w:val="32"/>
          <w:szCs w:val="32"/>
          <w:lang w:val="en-US" w:eastAsia="zh-CN"/>
        </w:rPr>
        <w:t xml:space="preserve">      </w:t>
      </w:r>
      <w:r>
        <w:rPr>
          <w:rStyle w:val="Strong"/>
          <w:rFonts w:ascii="仿宋" w:hAnsi="仿宋" w:cs="仿宋" w:eastAsia="仿宋"/>
          <w:b/>
          <w:bCs/>
          <w:color w:val="000000"/>
          <w:kern w:val="0"/>
          <w:sz w:val="28"/>
          <w:szCs w:val="28"/>
          <w:lang w:val="en-US" w:eastAsia="zh-CN" w:bidi="ar-SA"/>
        </w:rPr>
        <w:t xml:space="preserve">     </w:t>
      </w:r>
      <w:r>
        <w:rPr>
          <w:rFonts w:ascii="Times New Roman;Nimbus Roman No9 L" w:hAnsi="Times New Roman;Nimbus Roman No9 L" w:cs="Times New Roman;Nimbus Roman No9 L" w:eastAsia="仿宋_GB2312"/>
          <w:color w:val="000000"/>
          <w:kern w:val="0"/>
          <w:sz w:val="28"/>
          <w:szCs w:val="22"/>
          <w:lang w:val="en-US" w:eastAsia="zh-CN" w:bidi="ar-SA"/>
        </w:rPr>
        <w:t>合同编号：</w:t>
      </w:r>
    </w:p>
    <w:p>
      <w:pPr>
        <w:pStyle w:val="Normal"/>
        <w:jc w:val="center"/>
        <w:rPr>
          <w:rFonts w:ascii="仿宋_GB2312" w:hAnsi="仿宋_GB2312" w:eastAsia="仿宋_GB2312" w:cs="Times New Roman;Nimbus Roman No9 L"/>
          <w:color w:val="000000"/>
          <w:kern w:val="0"/>
          <w:sz w:val="32"/>
          <w:szCs w:val="32"/>
          <w:lang w:val="en-US" w:eastAsia="zh-CN" w:bidi="ar-SA"/>
        </w:rPr>
      </w:pPr>
      <w:r>
        <w:rPr>
          <w:rFonts w:eastAsia="仿宋_GB2312" w:cs="Times New Roman;Nimbus Roman No9 L" w:ascii="仿宋_GB2312" w:hAnsi="仿宋_GB2312"/>
          <w:color w:val="000000"/>
          <w:kern w:val="0"/>
          <w:sz w:val="32"/>
          <w:szCs w:val="32"/>
          <w:lang w:val="en-US" w:eastAsia="zh-CN" w:bidi="ar-SA"/>
        </w:rPr>
      </w:r>
    </w:p>
    <w:p>
      <w:pPr>
        <w:pStyle w:val="Normal"/>
        <w:jc w:val="center"/>
        <w:rPr>
          <w:rFonts w:ascii="仿宋_GB2312" w:hAnsi="仿宋_GB2312" w:eastAsia="仿宋_GB2312"/>
          <w:sz w:val="32"/>
          <w:szCs w:val="32"/>
        </w:rPr>
      </w:pPr>
      <w:r>
        <w:rPr>
          <w:rFonts w:eastAsia="仿宋_GB2312" w:ascii="仿宋_GB2312" w:hAnsi="仿宋_GB2312"/>
          <w:sz w:val="32"/>
          <w:szCs w:val="32"/>
        </w:rPr>
      </w:r>
    </w:p>
    <w:p>
      <w:pPr>
        <w:pStyle w:val="Normal"/>
        <w:widowControl w:val="false"/>
        <w:jc w:val="center"/>
        <w:rPr>
          <w:rFonts w:ascii="方正小标宋_GBK" w:hAnsi="方正小标宋_GBK" w:eastAsia="方正小标宋_GBK" w:cs="方正小标宋_GBK"/>
          <w:color w:val="000000"/>
          <w:kern w:val="2"/>
          <w:sz w:val="40"/>
          <w:szCs w:val="40"/>
          <w:lang w:val="en-US" w:eastAsia="zh-CN" w:bidi="ar-SA"/>
        </w:rPr>
      </w:pPr>
      <w:r>
        <w:rPr>
          <w:rFonts w:ascii="方正小标宋_GBK" w:hAnsi="方正小标宋_GBK" w:cs="方正小标宋_GBK" w:eastAsia="方正小标宋_GBK"/>
          <w:color w:val="000000"/>
          <w:kern w:val="2"/>
          <w:sz w:val="40"/>
          <w:szCs w:val="40"/>
          <w:lang w:val="en-US" w:eastAsia="zh-CN" w:bidi="ar-SA"/>
        </w:rPr>
        <w:t>辽宁省汽车租赁合同</w:t>
      </w:r>
    </w:p>
    <w:p>
      <w:pPr>
        <w:pStyle w:val="Normal"/>
        <w:snapToGrid w:val="false"/>
        <w:jc w:val="center"/>
        <w:rPr>
          <w:rFonts w:ascii="方正楷体_GBK" w:hAnsi="方正楷体_GBK" w:eastAsia="方正楷体_GBK" w:cs="方正楷体_GBK"/>
          <w:sz w:val="28"/>
          <w:szCs w:val="28"/>
          <w:lang w:val="en-US" w:eastAsia="zh-CN" w:bidi="ar-SA"/>
        </w:rPr>
      </w:pPr>
      <w:r>
        <w:rPr>
          <w:rFonts w:ascii="方正楷体_GBK" w:hAnsi="方正楷体_GBK" w:cs="方正楷体_GBK" w:eastAsia="方正楷体_GBK"/>
          <w:sz w:val="28"/>
          <w:szCs w:val="28"/>
          <w:lang w:val="en-US" w:eastAsia="zh-CN" w:bidi="ar-SA"/>
        </w:rPr>
        <w:t>（示范文本）</w:t>
      </w:r>
    </w:p>
    <w:p>
      <w:pPr>
        <w:pStyle w:val="Normal"/>
        <w:rPr>
          <w:rFonts w:ascii="仿宋_GB2312" w:hAnsi="仿宋_GB2312" w:eastAsia="仿宋_GB2312" w:cs="宋体;方正书宋_GBK"/>
          <w:sz w:val="32"/>
          <w:szCs w:val="32"/>
          <w:lang w:val="en-US" w:eastAsia="zh-CN" w:bidi="ar-SA"/>
        </w:rPr>
      </w:pPr>
      <w:r>
        <w:rPr>
          <w:rFonts w:eastAsia="仿宋_GB2312" w:cs="宋体;方正书宋_GBK" w:ascii="仿宋_GB2312" w:hAnsi="仿宋_GB2312"/>
          <w:sz w:val="32"/>
          <w:szCs w:val="32"/>
          <w:lang w:val="en-US" w:eastAsia="zh-CN" w:bidi="ar-SA"/>
        </w:rPr>
      </w:r>
    </w:p>
    <w:p>
      <w:pPr>
        <w:pStyle w:val="Normal"/>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Normal"/>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Normal"/>
        <w:ind w:firstLine="960" w:end="0"/>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Normal"/>
        <w:ind w:firstLine="960" w:end="0"/>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Normal"/>
        <w:ind w:firstLine="960" w:end="0"/>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Normal"/>
        <w:jc w:val="center"/>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Normal"/>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Normal"/>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Normal"/>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Normal"/>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Style17"/>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宋体;方正书宋_GBK" w:eastAsia="楷体_GB2312;楷体"/>
          <w:color w:val="000000"/>
          <w:spacing w:val="18"/>
          <w:sz w:val="32"/>
          <w:szCs w:val="32"/>
          <w:lang w:val="en-US" w:eastAsia="zh-CN" w:bidi="ar-SA"/>
        </w:rPr>
        <w:t xml:space="preserve">辽宁省交通运输厅  </w:t>
      </w:r>
      <w:r>
        <mc:AlternateContent>
          <mc:Choice Requires="wps">
            <w:drawing>
              <wp:anchor behindDoc="0" distT="0" distB="0" distL="114935" distR="114935" simplePos="0" locked="0" layoutInCell="1" allowOverlap="1" relativeHeight="2">
                <wp:simplePos x="0" y="0"/>
                <wp:positionH relativeFrom="column">
                  <wp:posOffset>4142740</wp:posOffset>
                </wp:positionH>
                <wp:positionV relativeFrom="paragraph">
                  <wp:posOffset>116205</wp:posOffset>
                </wp:positionV>
                <wp:extent cx="701040" cy="449580"/>
                <wp:effectExtent l="0" t="0" r="0" b="0"/>
                <wp:wrapNone/>
                <wp:docPr id="1" name="Frame1"/>
                <a:graphic xmlns:a="http://schemas.openxmlformats.org/drawingml/2006/main">
                  <a:graphicData uri="http://schemas.microsoft.com/office/word/2010/wordprocessingShape">
                    <wps:wsp>
                      <wps:cNvSpPr txBox="1"/>
                      <wps:spPr>
                        <a:xfrm>
                          <a:off x="0" y="0"/>
                          <a:ext cx="701040" cy="449580"/>
                        </a:xfrm>
                        <a:prstGeom prst="rect"/>
                        <a:solidFill>
                          <a:srgbClr val="FFFFFF">
                            <a:alpha val="0"/>
                          </a:srgbClr>
                        </a:solidFill>
                      </wps:spPr>
                      <wps:txbx>
                        <w:txbxContent>
                          <w:p>
                            <w:pPr>
                              <w:pStyle w:val="Normal"/>
                              <w:rPr>
                                <w:rFonts w:ascii="楷体_GB2312;楷体" w:hAnsi="楷体_GB2312;楷体" w:eastAsia="楷体_GB2312;楷体" w:cs="Times New Roman;Nimbus Roman No9 L"/>
                                <w:sz w:val="28"/>
                                <w:szCs w:val="28"/>
                                <w:lang w:eastAsia="zh-CN"/>
                              </w:rPr>
                            </w:pPr>
                            <w:r>
                              <w:rPr>
                                <w:rFonts w:ascii="楷体_GB2312;楷体" w:hAnsi="楷体_GB2312;楷体" w:cs="Times New Roman;Nimbus Roman No9 L" w:eastAsia="楷体_GB2312;楷体"/>
                                <w:sz w:val="28"/>
                                <w:szCs w:val="28"/>
                                <w:lang w:eastAsia="zh-CN"/>
                              </w:rPr>
                              <w:t>印制</w:t>
                            </w:r>
                          </w:p>
                        </w:txbxContent>
                      </wps:txbx>
                      <wps:bodyPr anchor="t" lIns="92075" tIns="46355" rIns="92075" bIns="46355">
                        <a:noAutofit/>
                      </wps:bodyPr>
                    </wps:wsp>
                  </a:graphicData>
                </a:graphic>
              </wp:anchor>
            </w:drawing>
          </mc:Choice>
          <mc:Fallback>
            <w:pict>
              <v:rect fillcolor="#FFFFFF" style="position:absolute;rotation:-0;width:55.2pt;height:35.4pt;mso-wrap-distance-left:9.05pt;mso-wrap-distance-right:9.05pt;mso-wrap-distance-top:0pt;mso-wrap-distance-bottom:0pt;margin-top:9.15pt;mso-position-vertical-relative:text;margin-left:326.2pt;mso-position-horizontal-relative:text">
                <v:fill opacity="0f"/>
                <v:textbox inset="0.100694444444444in,0.0506944444444444in,0.100694444444444in,0.0506944444444444in">
                  <w:txbxContent>
                    <w:p>
                      <w:pPr>
                        <w:pStyle w:val="Normal"/>
                        <w:rPr>
                          <w:rFonts w:ascii="楷体_GB2312;楷体" w:hAnsi="楷体_GB2312;楷体" w:eastAsia="楷体_GB2312;楷体" w:cs="Times New Roman;Nimbus Roman No9 L"/>
                          <w:sz w:val="28"/>
                          <w:szCs w:val="28"/>
                          <w:lang w:eastAsia="zh-CN"/>
                        </w:rPr>
                      </w:pPr>
                      <w:r>
                        <w:rPr>
                          <w:rFonts w:ascii="楷体_GB2312;楷体" w:hAnsi="楷体_GB2312;楷体" w:cs="Times New Roman;Nimbus Roman No9 L" w:eastAsia="楷体_GB2312;楷体"/>
                          <w:sz w:val="28"/>
                          <w:szCs w:val="28"/>
                          <w:lang w:eastAsia="zh-CN"/>
                        </w:rPr>
                        <w:t>印制</w:t>
                      </w:r>
                    </w:p>
                  </w:txbxContent>
                </v:textbox>
                <w10:wrap type="none"/>
              </v:rect>
            </w:pict>
          </mc:Fallback>
        </mc:AlternateContent>
      </w:r>
    </w:p>
    <w:p>
      <w:pPr>
        <w:pStyle w:val="Style17"/>
        <w:widowControl w:val="false"/>
        <w:snapToGrid w:val="false"/>
        <w:spacing w:lineRule="exact" w:line="482"/>
        <w:jc w:val="center"/>
        <w:rPr>
          <w:rFonts w:ascii="仿宋_GB2312" w:hAnsi="仿宋_GB2312" w:eastAsia="仿宋_GB2312" w:cs="宋体;方正书宋_GBK"/>
          <w:sz w:val="32"/>
          <w:szCs w:val="32"/>
        </w:rPr>
      </w:pPr>
      <w:r>
        <w:rPr>
          <w:rFonts w:ascii="楷体_GB2312;楷体" w:hAnsi="楷体_GB2312;楷体" w:cs="楷体_GB2312;楷体" w:eastAsia="楷体_GB2312;楷体"/>
          <w:color w:val="000000"/>
          <w:spacing w:val="18"/>
          <w:sz w:val="32"/>
          <w:szCs w:val="32"/>
          <w:lang w:val="en-US" w:eastAsia="zh-CN" w:bidi="ar-SA"/>
        </w:rPr>
        <w:t xml:space="preserve"> </w:t>
      </w:r>
      <w:r>
        <w:rPr>
          <w:rFonts w:ascii="楷体_GB2312;楷体" w:hAnsi="楷体_GB2312;楷体" w:cs="宋体;方正书宋_GBK" w:eastAsia="楷体_GB2312;楷体"/>
          <w:color w:val="000000"/>
          <w:spacing w:val="18"/>
          <w:sz w:val="32"/>
          <w:szCs w:val="32"/>
          <w:lang w:val="en-US" w:eastAsia="zh-CN" w:bidi="ar-SA"/>
        </w:rPr>
        <w:t>辽宁省工商行政管理局</w:t>
      </w:r>
    </w:p>
    <w:p>
      <w:pPr>
        <w:pStyle w:val="Normal"/>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Normal"/>
        <w:jc w:val="center"/>
        <w:rPr>
          <w:rFonts w:ascii="黑体" w:hAnsi="黑体" w:eastAsia="黑体" w:cs="黑体"/>
          <w:sz w:val="32"/>
          <w:szCs w:val="32"/>
        </w:rPr>
      </w:pPr>
      <w:r>
        <w:rPr>
          <w:rFonts w:eastAsia="黑体" w:cs="黑体" w:ascii="黑体" w:hAnsi="黑体"/>
          <w:sz w:val="32"/>
          <w:szCs w:val="32"/>
        </w:rPr>
      </w:r>
    </w:p>
    <w:p>
      <w:pPr>
        <w:pStyle w:val="Normal"/>
        <w:jc w:val="center"/>
        <w:rPr>
          <w:rFonts w:ascii="黑体" w:hAnsi="黑体" w:eastAsia="黑体" w:cs="黑体"/>
          <w:sz w:val="32"/>
          <w:szCs w:val="32"/>
        </w:rPr>
      </w:pPr>
      <w:r>
        <w:rPr>
          <w:rFonts w:eastAsia="黑体" w:cs="黑体" w:ascii="黑体" w:hAnsi="黑体"/>
          <w:sz w:val="32"/>
          <w:szCs w:val="32"/>
        </w:rPr>
      </w:r>
    </w:p>
    <w:p>
      <w:pPr>
        <w:pStyle w:val="CM19"/>
        <w:keepNext w:val="false"/>
        <w:keepLines w:val="false"/>
        <w:pageBreakBefore w:val="false"/>
        <w:widowControl w:val="false"/>
        <w:kinsoku w:val="true"/>
        <w:overflowPunct w:val="true"/>
        <w:autoSpaceDE w:val="false"/>
        <w:bidi w:val="0"/>
        <w:snapToGrid w:val="true"/>
        <w:spacing w:lineRule="exact" w:line="420"/>
        <w:ind w:end="1230"/>
        <w:jc w:val="center"/>
        <w:textAlignment w:val="auto"/>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使用说明</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本合同由辽宁省交通运输厅和辽宁省工商行政管理局共同制定，供双方签订合同时使用，签订前请仔细阅读。</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本合同适用于辽宁省范围内汽车租赁经营者和承租人之间租车时使用，倡导分时租赁（俗称“汽车共享”）经营者和承租人使用本合同文本。</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合同具有法律效力，是确保双方权利义务的有效凭证。签订合同时，双方应当结合具体情况和实际需求，选择本合同中的协议条款如实填写。合同签订后，双方应妥善保存合同文本及合同履行过程中的票据、证明等相关资料，以便当合法权益受到侵害时，作为投诉凭据、索赔证据。</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本合同中有关条款留有空白行，供双方自行约定。对双方不予约定的空白行，应当划“</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以示没有特别约定。</w:t>
      </w:r>
    </w:p>
    <w:p>
      <w:pPr>
        <w:sectPr>
          <w:footerReference w:type="even" r:id="rId2"/>
          <w:footerReference w:type="default" r:id="rId3"/>
          <w:type w:val="nextPage"/>
          <w:pgSz w:w="11906" w:h="16838"/>
          <w:pgMar w:left="1701" w:right="1701" w:gutter="0" w:header="0" w:top="1418" w:footer="720" w:bottom="1418"/>
          <w:pgNumType w:start="3" w:fmt="decimal"/>
          <w:formProt w:val="false"/>
          <w:textDirection w:val="lrTb"/>
          <w:docGrid w:type="lines" w:linePitch="312" w:charSpace="0"/>
        </w:sect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本合同自</w:t>
      </w:r>
      <w:r>
        <w:rPr>
          <w:rFonts w:eastAsia="方正书宋_GBK" w:cs="方正书宋_GBK" w:ascii="方正书宋_GBK" w:hAnsi="方正书宋_GBK"/>
          <w:color w:val="000000"/>
          <w:kern w:val="2"/>
          <w:sz w:val="22"/>
          <w:szCs w:val="22"/>
          <w:u w:val="none"/>
          <w:lang w:val="en-US" w:eastAsia="zh-CN" w:bidi="ar-SA"/>
        </w:rPr>
        <w:t>2018</w:t>
      </w:r>
      <w:r>
        <w:rPr>
          <w:rFonts w:ascii="方正书宋_GBK" w:hAnsi="方正书宋_GBK" w:cs="方正书宋_GBK" w:eastAsia="方正书宋_GBK"/>
          <w:color w:val="000000"/>
          <w:kern w:val="2"/>
          <w:sz w:val="22"/>
          <w:szCs w:val="22"/>
          <w:u w:val="none"/>
          <w:lang w:val="en-US" w:eastAsia="zh-CN" w:bidi="ar-SA"/>
        </w:rPr>
        <w:t>年</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日起启用。合同条款均为推荐性使用，具体由辽宁省交通运输厅和辽宁省工商行政管理局负责解释。</w:t>
      </w:r>
      <w:r>
        <w:br w:type="page"/>
      </w:r>
    </w:p>
    <w:p>
      <w:pPr>
        <w:pStyle w:val="CM19"/>
        <w:keepNext w:val="false"/>
        <w:keepLines w:val="false"/>
        <w:pageBreakBefore w:val="false"/>
        <w:widowControl w:val="false"/>
        <w:kinsoku w:val="true"/>
        <w:overflowPunct w:val="true"/>
        <w:autoSpaceDE w:val="false"/>
        <w:bidi w:val="0"/>
        <w:snapToGrid w:val="true"/>
        <w:spacing w:lineRule="exact" w:line="420"/>
        <w:ind w:end="1230"/>
        <w:jc w:val="center"/>
        <w:textAlignment w:val="auto"/>
        <w:rPr>
          <w:rFonts w:ascii="方正小标宋_GBK" w:hAnsi="方正小标宋_GBK" w:eastAsia="方正小标宋_GBK" w:cs="方正小标宋_GBK"/>
          <w:color w:val="000000"/>
          <w:kern w:val="2"/>
          <w:sz w:val="40"/>
          <w:szCs w:val="40"/>
          <w:u w:val="none"/>
          <w:lang w:val="en-US" w:eastAsia="zh-CN" w:bidi="ar-SA"/>
        </w:rPr>
      </w:pPr>
      <w:r>
        <w:rPr>
          <w:rFonts w:ascii="方正小标宋_GBK" w:hAnsi="方正小标宋_GBK" w:cs="方正小标宋_GBK" w:eastAsia="方正小标宋_GBK"/>
          <w:color w:val="000000"/>
          <w:kern w:val="2"/>
          <w:sz w:val="40"/>
          <w:szCs w:val="40"/>
          <w:u w:val="none"/>
          <w:lang w:val="en-US" w:eastAsia="zh-CN" w:bidi="ar-SA"/>
        </w:rPr>
        <w:t>辽宁省汽车租赁合同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6"/>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出租方（以下简称甲方）：</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6"/>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统一社会信用代码：</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6"/>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承租方（以下简称乙方）：</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6"/>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统一社会信用代码或身份证号码：</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6"/>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根据《中华人民共和国合同法》《辽宁省客运出租汽车管理条例》《交通运输部 住房城乡建设部关于促进小微型客车租赁健康发展的指导意见》等有关要求，甲、乙双方遵循自愿、公平、诚实、信用原则，经协商一致签订本合同，以资共同遵守。</w:t>
      </w:r>
    </w:p>
    <w:p>
      <w:pPr>
        <w:pStyle w:val="Default"/>
        <w:keepNext w:val="false"/>
        <w:keepLines w:val="false"/>
        <w:pageBreakBefore w:val="false"/>
        <w:widowControl w:val="false"/>
        <w:numPr>
          <w:ilvl w:val="0"/>
          <w:numId w:val="2"/>
        </w:numPr>
        <w:kinsoku w:val="true"/>
        <w:overflowPunct w:val="true"/>
        <w:autoSpaceDE w:val="false"/>
        <w:bidi w:val="0"/>
        <w:snapToGrid w:val="true"/>
        <w:spacing w:lineRule="exact" w:line="420"/>
        <w:ind w:hanging="0" w:start="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约定事项</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租赁标的、租金。</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乙方向甲方承租载客汽车      辆，具体情况约定如下：</w:t>
      </w:r>
    </w:p>
    <w:tbl>
      <w:tblPr>
        <w:tblW w:w="8851" w:type="dxa"/>
        <w:jc w:val="start"/>
        <w:tblInd w:w="0" w:type="dxa"/>
        <w:tblLayout w:type="fixed"/>
        <w:tblCellMar>
          <w:top w:w="0" w:type="dxa"/>
          <w:start w:w="108" w:type="dxa"/>
          <w:bottom w:w="0" w:type="dxa"/>
          <w:end w:w="108" w:type="dxa"/>
        </w:tblCellMar>
      </w:tblPr>
      <w:tblGrid>
        <w:gridCol w:w="1161"/>
        <w:gridCol w:w="1150"/>
        <w:gridCol w:w="1181"/>
        <w:gridCol w:w="999"/>
        <w:gridCol w:w="1090"/>
        <w:gridCol w:w="1090"/>
        <w:gridCol w:w="1090"/>
        <w:gridCol w:w="1090"/>
      </w:tblGrid>
      <w:tr>
        <w:trPr/>
        <w:tc>
          <w:tcPr>
            <w:tcW w:w="1161" w:type="dxa"/>
            <w:tcBorders>
              <w:top w:val="single" w:sz="4" w:space="0" w:color="000000"/>
              <w:start w:val="single" w:sz="4" w:space="0" w:color="000000"/>
              <w:bottom w:val="single" w:sz="4" w:space="0" w:color="000000"/>
              <w:end w:val="single" w:sz="4" w:space="0" w:color="000000"/>
            </w:tcBorders>
            <w:vAlign w:val="center"/>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jc w:val="center"/>
              <w:textAlignment w:val="auto"/>
              <w:rPr>
                <w:rFonts w:ascii="方正书宋_GBK" w:hAnsi="方正书宋_GBK" w:eastAsia="方正书宋_GBK" w:cs="方正书宋_GBK"/>
                <w:color w:val="000000"/>
                <w:kern w:val="2"/>
                <w:position w:val="0"/>
                <w:sz w:val="18"/>
                <w:sz w:val="18"/>
                <w:szCs w:val="18"/>
                <w:u w:val="none"/>
                <w:vertAlign w:val="baseline"/>
                <w:lang w:val="en-US" w:eastAsia="zh-CN" w:bidi="ar-SA"/>
              </w:rPr>
            </w:pPr>
            <w:r>
              <w:rPr>
                <w:rFonts w:ascii="方正书宋_GBK" w:hAnsi="方正书宋_GBK" w:cs="方正书宋_GBK" w:eastAsia="方正书宋_GBK"/>
                <w:color w:val="000000"/>
                <w:kern w:val="2"/>
                <w:position w:val="0"/>
                <w:sz w:val="18"/>
                <w:sz w:val="18"/>
                <w:szCs w:val="18"/>
                <w:u w:val="none"/>
                <w:vertAlign w:val="baseline"/>
                <w:lang w:val="en-US" w:eastAsia="zh-CN" w:bidi="ar-SA"/>
              </w:rPr>
              <w:t>车牌号</w:t>
            </w:r>
          </w:p>
        </w:tc>
        <w:tc>
          <w:tcPr>
            <w:tcW w:w="1150" w:type="dxa"/>
            <w:tcBorders>
              <w:top w:val="single" w:sz="4" w:space="0" w:color="000000"/>
              <w:start w:val="single" w:sz="4" w:space="0" w:color="000000"/>
              <w:bottom w:val="single" w:sz="4" w:space="0" w:color="000000"/>
              <w:end w:val="single" w:sz="4" w:space="0" w:color="000000"/>
            </w:tcBorders>
            <w:vAlign w:val="center"/>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jc w:val="center"/>
              <w:textAlignment w:val="auto"/>
              <w:rPr>
                <w:rFonts w:ascii="方正书宋_GBK" w:hAnsi="方正书宋_GBK" w:eastAsia="方正书宋_GBK" w:cs="方正书宋_GBK"/>
                <w:color w:val="000000"/>
                <w:kern w:val="2"/>
                <w:position w:val="0"/>
                <w:sz w:val="18"/>
                <w:sz w:val="18"/>
                <w:szCs w:val="18"/>
                <w:u w:val="none"/>
                <w:vertAlign w:val="baseline"/>
                <w:lang w:val="en-US" w:eastAsia="zh-CN" w:bidi="ar-SA"/>
              </w:rPr>
            </w:pPr>
            <w:r>
              <w:rPr>
                <w:rFonts w:ascii="方正书宋_GBK" w:hAnsi="方正书宋_GBK" w:cs="方正书宋_GBK" w:eastAsia="方正书宋_GBK"/>
                <w:color w:val="000000"/>
                <w:kern w:val="2"/>
                <w:position w:val="0"/>
                <w:sz w:val="18"/>
                <w:sz w:val="18"/>
                <w:szCs w:val="18"/>
                <w:u w:val="none"/>
                <w:vertAlign w:val="baseline"/>
                <w:lang w:val="en-US" w:eastAsia="zh-CN" w:bidi="ar-SA"/>
              </w:rPr>
              <w:t>车辆品牌</w:t>
            </w:r>
          </w:p>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jc w:val="center"/>
              <w:textAlignment w:val="auto"/>
              <w:rPr>
                <w:rFonts w:ascii="方正书宋_GBK" w:hAnsi="方正书宋_GBK" w:eastAsia="方正书宋_GBK" w:cs="方正书宋_GBK"/>
                <w:color w:val="000000"/>
                <w:kern w:val="2"/>
                <w:position w:val="0"/>
                <w:sz w:val="18"/>
                <w:sz w:val="18"/>
                <w:szCs w:val="18"/>
                <w:u w:val="none"/>
                <w:vertAlign w:val="baseline"/>
                <w:lang w:val="en-US" w:eastAsia="zh-CN" w:bidi="ar-SA"/>
              </w:rPr>
            </w:pPr>
            <w:r>
              <w:rPr>
                <w:rFonts w:ascii="方正书宋_GBK" w:hAnsi="方正书宋_GBK" w:cs="方正书宋_GBK" w:eastAsia="方正书宋_GBK"/>
                <w:color w:val="000000"/>
                <w:kern w:val="2"/>
                <w:position w:val="0"/>
                <w:sz w:val="18"/>
                <w:sz w:val="18"/>
                <w:szCs w:val="18"/>
                <w:u w:val="none"/>
                <w:vertAlign w:val="baseline"/>
                <w:lang w:val="en-US" w:eastAsia="zh-CN" w:bidi="ar-SA"/>
              </w:rPr>
              <w:t>及型号</w:t>
            </w:r>
          </w:p>
        </w:tc>
        <w:tc>
          <w:tcPr>
            <w:tcW w:w="1181" w:type="dxa"/>
            <w:tcBorders>
              <w:top w:val="single" w:sz="4" w:space="0" w:color="000000"/>
              <w:start w:val="single" w:sz="4" w:space="0" w:color="000000"/>
              <w:bottom w:val="single" w:sz="4" w:space="0" w:color="000000"/>
              <w:end w:val="single" w:sz="4" w:space="0" w:color="000000"/>
            </w:tcBorders>
            <w:vAlign w:val="center"/>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jc w:val="center"/>
              <w:textAlignment w:val="auto"/>
              <w:rPr>
                <w:rFonts w:ascii="方正书宋_GBK" w:hAnsi="方正书宋_GBK" w:eastAsia="方正书宋_GBK" w:cs="方正书宋_GBK"/>
                <w:color w:val="000000"/>
                <w:kern w:val="2"/>
                <w:position w:val="0"/>
                <w:sz w:val="18"/>
                <w:sz w:val="18"/>
                <w:szCs w:val="18"/>
                <w:u w:val="none"/>
                <w:vertAlign w:val="baseline"/>
                <w:lang w:val="en-US" w:eastAsia="zh-CN" w:bidi="ar-SA"/>
              </w:rPr>
            </w:pPr>
            <w:r>
              <w:rPr>
                <w:rFonts w:ascii="方正书宋_GBK" w:hAnsi="方正书宋_GBK" w:cs="方正书宋_GBK" w:eastAsia="方正书宋_GBK"/>
                <w:color w:val="000000"/>
                <w:kern w:val="2"/>
                <w:position w:val="0"/>
                <w:sz w:val="18"/>
                <w:sz w:val="18"/>
                <w:szCs w:val="18"/>
                <w:u w:val="none"/>
                <w:vertAlign w:val="baseline"/>
                <w:lang w:val="en-US" w:eastAsia="zh-CN" w:bidi="ar-SA"/>
              </w:rPr>
              <w:t>本身颜色</w:t>
            </w:r>
          </w:p>
        </w:tc>
        <w:tc>
          <w:tcPr>
            <w:tcW w:w="999" w:type="dxa"/>
            <w:tcBorders>
              <w:top w:val="single" w:sz="4" w:space="0" w:color="000000"/>
              <w:start w:val="single" w:sz="4" w:space="0" w:color="000000"/>
              <w:bottom w:val="single" w:sz="4" w:space="0" w:color="000000"/>
              <w:end w:val="single" w:sz="4" w:space="0" w:color="000000"/>
            </w:tcBorders>
            <w:vAlign w:val="center"/>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jc w:val="center"/>
              <w:textAlignment w:val="auto"/>
              <w:rPr>
                <w:rFonts w:ascii="方正书宋_GBK" w:hAnsi="方正书宋_GBK" w:eastAsia="方正书宋_GBK" w:cs="方正书宋_GBK"/>
                <w:color w:val="000000"/>
                <w:kern w:val="2"/>
                <w:position w:val="0"/>
                <w:sz w:val="18"/>
                <w:sz w:val="18"/>
                <w:szCs w:val="18"/>
                <w:u w:val="none"/>
                <w:vertAlign w:val="baseline"/>
                <w:lang w:val="en-US" w:eastAsia="zh-CN" w:bidi="ar-SA"/>
              </w:rPr>
            </w:pPr>
            <w:r>
              <w:rPr>
                <w:rFonts w:ascii="方正书宋_GBK" w:hAnsi="方正书宋_GBK" w:cs="方正书宋_GBK" w:eastAsia="方正书宋_GBK"/>
                <w:color w:val="000000"/>
                <w:kern w:val="2"/>
                <w:position w:val="0"/>
                <w:sz w:val="18"/>
                <w:sz w:val="18"/>
                <w:szCs w:val="18"/>
                <w:u w:val="none"/>
                <w:vertAlign w:val="baseline"/>
                <w:lang w:val="en-US" w:eastAsia="zh-CN" w:bidi="ar-SA"/>
              </w:rPr>
              <w:t>车架号</w:t>
            </w:r>
          </w:p>
        </w:tc>
        <w:tc>
          <w:tcPr>
            <w:tcW w:w="1090" w:type="dxa"/>
            <w:tcBorders>
              <w:top w:val="single" w:sz="4" w:space="0" w:color="000000"/>
              <w:start w:val="single" w:sz="4" w:space="0" w:color="000000"/>
              <w:bottom w:val="single" w:sz="4" w:space="0" w:color="000000"/>
              <w:end w:val="single" w:sz="4" w:space="0" w:color="000000"/>
            </w:tcBorders>
            <w:vAlign w:val="center"/>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jc w:val="center"/>
              <w:textAlignment w:val="auto"/>
              <w:rPr>
                <w:rFonts w:ascii="方正书宋_GBK" w:hAnsi="方正书宋_GBK" w:eastAsia="方正书宋_GBK" w:cs="方正书宋_GBK"/>
                <w:color w:val="000000"/>
                <w:kern w:val="2"/>
                <w:position w:val="0"/>
                <w:sz w:val="18"/>
                <w:sz w:val="18"/>
                <w:szCs w:val="18"/>
                <w:u w:val="none"/>
                <w:vertAlign w:val="baseline"/>
                <w:lang w:val="en-US" w:eastAsia="zh-CN" w:bidi="ar-SA"/>
              </w:rPr>
            </w:pPr>
            <w:r>
              <w:rPr>
                <w:rFonts w:ascii="方正书宋_GBK" w:hAnsi="方正书宋_GBK" w:cs="方正书宋_GBK" w:eastAsia="方正书宋_GBK"/>
                <w:color w:val="000000"/>
                <w:kern w:val="2"/>
                <w:position w:val="0"/>
                <w:sz w:val="18"/>
                <w:sz w:val="18"/>
                <w:szCs w:val="18"/>
                <w:u w:val="none"/>
                <w:vertAlign w:val="baseline"/>
                <w:lang w:val="en-US" w:eastAsia="zh-CN" w:bidi="ar-SA"/>
              </w:rPr>
              <w:t>发动机号</w:t>
            </w:r>
          </w:p>
        </w:tc>
        <w:tc>
          <w:tcPr>
            <w:tcW w:w="1090" w:type="dxa"/>
            <w:tcBorders>
              <w:top w:val="single" w:sz="4" w:space="0" w:color="000000"/>
              <w:start w:val="single" w:sz="4" w:space="0" w:color="000000"/>
              <w:bottom w:val="single" w:sz="4" w:space="0" w:color="000000"/>
              <w:end w:val="single" w:sz="4" w:space="0" w:color="000000"/>
            </w:tcBorders>
            <w:vAlign w:val="center"/>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jc w:val="center"/>
              <w:textAlignment w:val="auto"/>
              <w:rPr>
                <w:rFonts w:ascii="方正书宋_GBK" w:hAnsi="方正书宋_GBK" w:eastAsia="方正书宋_GBK" w:cs="方正书宋_GBK"/>
                <w:color w:val="000000"/>
                <w:kern w:val="2"/>
                <w:position w:val="0"/>
                <w:sz w:val="18"/>
                <w:sz w:val="18"/>
                <w:szCs w:val="18"/>
                <w:u w:val="none"/>
                <w:vertAlign w:val="baseline"/>
                <w:lang w:val="en-US" w:eastAsia="zh-CN" w:bidi="ar-SA"/>
              </w:rPr>
            </w:pPr>
            <w:r>
              <w:rPr>
                <w:rFonts w:ascii="方正书宋_GBK" w:hAnsi="方正书宋_GBK" w:cs="方正书宋_GBK" w:eastAsia="方正书宋_GBK"/>
                <w:color w:val="000000"/>
                <w:kern w:val="2"/>
                <w:position w:val="0"/>
                <w:sz w:val="18"/>
                <w:sz w:val="18"/>
                <w:szCs w:val="18"/>
                <w:u w:val="none"/>
                <w:vertAlign w:val="baseline"/>
                <w:lang w:val="en-US" w:eastAsia="zh-CN" w:bidi="ar-SA"/>
              </w:rPr>
              <w:t>租赁证号</w:t>
            </w:r>
          </w:p>
        </w:tc>
        <w:tc>
          <w:tcPr>
            <w:tcW w:w="1090" w:type="dxa"/>
            <w:tcBorders>
              <w:top w:val="single" w:sz="4" w:space="0" w:color="000000"/>
              <w:start w:val="single" w:sz="4" w:space="0" w:color="000000"/>
              <w:bottom w:val="single" w:sz="4" w:space="0" w:color="000000"/>
              <w:end w:val="single" w:sz="4" w:space="0" w:color="000000"/>
            </w:tcBorders>
            <w:vAlign w:val="center"/>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jc w:val="center"/>
              <w:textAlignment w:val="auto"/>
              <w:rPr>
                <w:rFonts w:ascii="方正书宋_GBK" w:hAnsi="方正书宋_GBK" w:eastAsia="方正书宋_GBK" w:cs="方正书宋_GBK"/>
                <w:color w:val="000000"/>
                <w:kern w:val="2"/>
                <w:position w:val="0"/>
                <w:sz w:val="18"/>
                <w:sz w:val="18"/>
                <w:szCs w:val="18"/>
                <w:u w:val="none"/>
                <w:vertAlign w:val="baseline"/>
                <w:lang w:val="en-US" w:eastAsia="zh-CN" w:bidi="ar-SA"/>
              </w:rPr>
            </w:pPr>
            <w:r>
              <w:rPr>
                <w:rFonts w:ascii="方正书宋_GBK" w:hAnsi="方正书宋_GBK" w:cs="方正书宋_GBK" w:eastAsia="方正书宋_GBK"/>
                <w:color w:val="000000"/>
                <w:kern w:val="2"/>
                <w:position w:val="0"/>
                <w:sz w:val="18"/>
                <w:sz w:val="18"/>
                <w:szCs w:val="18"/>
                <w:u w:val="none"/>
                <w:vertAlign w:val="baseline"/>
                <w:lang w:val="en-US" w:eastAsia="zh-CN" w:bidi="ar-SA"/>
              </w:rPr>
              <w:t>里程数</w:t>
            </w:r>
          </w:p>
        </w:tc>
        <w:tc>
          <w:tcPr>
            <w:tcW w:w="1090" w:type="dxa"/>
            <w:tcBorders>
              <w:top w:val="single" w:sz="4" w:space="0" w:color="000000"/>
              <w:start w:val="single" w:sz="4" w:space="0" w:color="000000"/>
              <w:bottom w:val="single" w:sz="4" w:space="0" w:color="000000"/>
              <w:end w:val="single" w:sz="4" w:space="0" w:color="000000"/>
            </w:tcBorders>
            <w:vAlign w:val="center"/>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jc w:val="center"/>
              <w:textAlignment w:val="auto"/>
              <w:rPr>
                <w:rFonts w:ascii="方正书宋_GBK" w:hAnsi="方正书宋_GBK" w:eastAsia="方正书宋_GBK" w:cs="方正书宋_GBK"/>
                <w:color w:val="000000"/>
                <w:kern w:val="2"/>
                <w:position w:val="0"/>
                <w:sz w:val="18"/>
                <w:sz w:val="18"/>
                <w:szCs w:val="18"/>
                <w:u w:val="none"/>
                <w:vertAlign w:val="baseline"/>
                <w:lang w:val="en-US" w:eastAsia="zh-CN" w:bidi="ar-SA"/>
              </w:rPr>
            </w:pPr>
            <w:r>
              <w:rPr>
                <w:rFonts w:ascii="方正书宋_GBK" w:hAnsi="方正书宋_GBK" w:cs="方正书宋_GBK" w:eastAsia="方正书宋_GBK"/>
                <w:color w:val="000000"/>
                <w:kern w:val="2"/>
                <w:position w:val="0"/>
                <w:sz w:val="18"/>
                <w:sz w:val="18"/>
                <w:szCs w:val="18"/>
                <w:u w:val="none"/>
                <w:vertAlign w:val="baseline"/>
                <w:lang w:val="en-US" w:eastAsia="zh-CN" w:bidi="ar-SA"/>
              </w:rPr>
              <w:t>计费方式（</w:t>
            </w:r>
            <w:r>
              <w:rPr>
                <w:rFonts w:eastAsia="方正书宋_GBK" w:cs="方正书宋_GBK" w:ascii="方正书宋_GBK" w:hAnsi="方正书宋_GBK"/>
                <w:color w:val="000000"/>
                <w:kern w:val="2"/>
                <w:position w:val="0"/>
                <w:sz w:val="18"/>
                <w:sz w:val="18"/>
                <w:szCs w:val="18"/>
                <w:u w:val="none"/>
                <w:vertAlign w:val="baseline"/>
                <w:lang w:val="en-US" w:eastAsia="zh-CN" w:bidi="ar-SA"/>
              </w:rPr>
              <w:t>1</w:t>
            </w:r>
            <w:r>
              <w:rPr>
                <w:rFonts w:ascii="方正书宋_GBK" w:hAnsi="方正书宋_GBK" w:cs="方正书宋_GBK" w:eastAsia="方正书宋_GBK"/>
                <w:color w:val="000000"/>
                <w:kern w:val="2"/>
                <w:position w:val="0"/>
                <w:sz w:val="18"/>
                <w:sz w:val="18"/>
                <w:szCs w:val="18"/>
                <w:u w:val="none"/>
                <w:vertAlign w:val="baseline"/>
                <w:lang w:val="en-US" w:eastAsia="zh-CN" w:bidi="ar-SA"/>
              </w:rPr>
              <w:t>）或（</w:t>
            </w:r>
            <w:r>
              <w:rPr>
                <w:rFonts w:eastAsia="方正书宋_GBK" w:cs="方正书宋_GBK" w:ascii="方正书宋_GBK" w:hAnsi="方正书宋_GBK"/>
                <w:color w:val="000000"/>
                <w:kern w:val="2"/>
                <w:position w:val="0"/>
                <w:sz w:val="18"/>
                <w:sz w:val="18"/>
                <w:szCs w:val="18"/>
                <w:u w:val="none"/>
                <w:vertAlign w:val="baseline"/>
                <w:lang w:val="en-US" w:eastAsia="zh-CN" w:bidi="ar-SA"/>
              </w:rPr>
              <w:t>2</w:t>
            </w:r>
            <w:r>
              <w:rPr>
                <w:rFonts w:ascii="方正书宋_GBK" w:hAnsi="方正书宋_GBK" w:cs="方正书宋_GBK" w:eastAsia="方正书宋_GBK"/>
                <w:color w:val="000000"/>
                <w:kern w:val="2"/>
                <w:position w:val="0"/>
                <w:sz w:val="18"/>
                <w:sz w:val="18"/>
                <w:szCs w:val="18"/>
                <w:u w:val="none"/>
                <w:vertAlign w:val="baseline"/>
                <w:lang w:val="en-US" w:eastAsia="zh-CN" w:bidi="ar-SA"/>
              </w:rPr>
              <w:t>）</w:t>
            </w:r>
          </w:p>
        </w:tc>
      </w:tr>
      <w:tr>
        <w:trPr/>
        <w:tc>
          <w:tcPr>
            <w:tcW w:w="1161"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150"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181"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999"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090"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090"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090"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090"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r>
      <w:tr>
        <w:trPr/>
        <w:tc>
          <w:tcPr>
            <w:tcW w:w="1161"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150"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181"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999"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090"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090"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090"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090"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r>
      <w:tr>
        <w:trPr/>
        <w:tc>
          <w:tcPr>
            <w:tcW w:w="1161"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150"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181"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999"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090"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090"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090"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090"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r>
    </w:tbl>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本表不够，可另附表填写</w:t>
      </w:r>
    </w:p>
    <w:p>
      <w:pPr>
        <w:pStyle w:val="Default"/>
        <w:keepNext w:val="false"/>
        <w:keepLines w:val="false"/>
        <w:pageBreakBefore w:val="false"/>
        <w:widowControl w:val="false"/>
        <w:numPr>
          <w:ilvl w:val="0"/>
          <w:numId w:val="1"/>
        </w:numPr>
        <w:kinsoku w:val="true"/>
        <w:overflowPunct w:val="true"/>
        <w:autoSpaceDE w:val="fals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按时间计算：起租时间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时</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分，租期</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时</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分，租金</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元。超过租期的，每日（时、分）租金</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元。乙方现付押金</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w:t>
      </w:r>
    </w:p>
    <w:p>
      <w:pPr>
        <w:pStyle w:val="Default"/>
        <w:keepNext w:val="false"/>
        <w:keepLines w:val="false"/>
        <w:pageBreakBefore w:val="false"/>
        <w:widowControl w:val="false"/>
        <w:numPr>
          <w:ilvl w:val="0"/>
          <w:numId w:val="1"/>
        </w:numPr>
        <w:kinsoku w:val="true"/>
        <w:overflowPunct w:val="true"/>
        <w:autoSpaceDE w:val="fals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按里程计算：限时里程</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公里，租金</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元。超过限时里程的，每公里</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元。乙方现付押金</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乙方共付甲方租金人民币</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元，现付押金</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车辆用途：</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hanging="0" w:start="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租车及还车地址：租车地址</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；还车地址</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。（租赁壹辆以上车辆，有约定不同租车及还车地址的，可另行说明。）</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第二条  甲方的权利</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拥有租赁车辆所有权。</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依合同向乙方计收租金及约定费用。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乙方利用租赁车辆从事非法营运等违法违规活动的，甲方有权终止履行租赁合同。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甲方依法享有的其他权利。</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第三条  甲方的义务</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向乙方支付安全技术检验合格、保险齐全、设备完善的租赁车辆，以及租赁车辆行驶所需的有效证件等。</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 xml:space="preserve">2. </w:t>
      </w:r>
      <w:r>
        <w:rPr>
          <w:rFonts w:ascii="方正书宋_GBK" w:hAnsi="方正书宋_GBK" w:cs="方正书宋_GBK" w:eastAsia="方正书宋_GBK"/>
          <w:color w:val="000000"/>
          <w:kern w:val="2"/>
          <w:sz w:val="22"/>
          <w:szCs w:val="22"/>
          <w:u w:val="none"/>
          <w:lang w:val="en-US" w:eastAsia="zh-CN" w:bidi="ar-SA"/>
        </w:rPr>
        <w:t>如实提供车辆状况信息。</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提供租赁车辆保养以及乙方按操作规程使用租赁车辆出现的故障维修服务。</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发现乙方利用租赁车辆从事违法违规活动的，及时向有关部门举报。</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对所获得的乙方信息保密。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双方约定的其他义务。</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第四条  乙方的权利</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按合同约定拥有租赁车辆使用权。</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有权获知保证安全驾驶所需的车辆技术状况及性能信息。</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有权获得甲方为保障租赁车辆使用功能所提供的相应服务。</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乙方依法享有的其他权利。</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第五条  乙方的义务</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单位租赁车辆的，向甲方提供单位统一社会信用代码证、代理人有效身份证件及授权委托证明、拟驾车人员的机动车驾驶证等材料；个人租赁车辆的，向甲方提供有效身份证件、拟驾车人员的机动车驾驶证等材料。</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 xml:space="preserve">2. </w:t>
      </w:r>
      <w:r>
        <w:rPr>
          <w:rFonts w:ascii="方正书宋_GBK" w:hAnsi="方正书宋_GBK" w:cs="方正书宋_GBK" w:eastAsia="方正书宋_GBK"/>
          <w:color w:val="000000"/>
          <w:kern w:val="2"/>
          <w:sz w:val="22"/>
          <w:szCs w:val="22"/>
          <w:u w:val="none"/>
          <w:lang w:val="en-US" w:eastAsia="zh-CN" w:bidi="ar-SA"/>
        </w:rPr>
        <w:t>按合同约定交纳租金及其他费用。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随车携带《车辆行驶证》、《租赁汽车证》等相关证件。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按车辆性能、操作规程及相关法律法规的规定使用租赁车辆，不得将租赁车辆转交给未持有效机动车驾驶证的人驾驶，不得利用租赁车辆从事非法营运等违法违规活动。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妥善保管租赁车辆，维持车辆原状。非紧急或另有约定情况下，未经甲方允许，不得擅自修理车辆，不得擅自改装、更换、增设他物。协助甲方按规定期限对租赁车辆进行安全技术检验和维护。</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保护甲方车辆所有要不受侵犯。爱护车辆及其附属设备，不得转卖、抵押、质押、典当、转租、破坏租赁车辆及随车物品。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租赁车辆发生损毁、被盗抢或交通事故等突发事件时，应立即通知甲方，并协助甲方及有关部门进行处理。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w:t>
      </w:r>
      <w:r>
        <w:rPr>
          <w:rFonts w:ascii="方正书宋_GBK" w:hAnsi="方正书宋_GBK" w:cs="方正书宋_GBK" w:eastAsia="方正书宋_GBK"/>
          <w:color w:val="000000"/>
          <w:kern w:val="2"/>
          <w:sz w:val="22"/>
          <w:szCs w:val="22"/>
          <w:u w:val="none"/>
          <w:lang w:val="en-US" w:eastAsia="zh-CN" w:bidi="ar-SA"/>
        </w:rPr>
        <w:t>在承租期间发生道路交通违法行为的，应及时到公安部门接受处理。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9.</w:t>
      </w:r>
      <w:r>
        <w:rPr>
          <w:rFonts w:ascii="方正书宋_GBK" w:hAnsi="方正书宋_GBK" w:cs="方正书宋_GBK" w:eastAsia="方正书宋_GBK"/>
          <w:color w:val="000000"/>
          <w:kern w:val="2"/>
          <w:sz w:val="22"/>
          <w:szCs w:val="22"/>
          <w:u w:val="none"/>
          <w:lang w:val="en-US" w:eastAsia="zh-CN" w:bidi="ar-SA"/>
        </w:rPr>
        <w:t>租赁期满，应按约定返还租赁车辆及有关证件等。</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10.</w:t>
      </w:r>
      <w:r>
        <w:rPr>
          <w:rFonts w:ascii="方正书宋_GBK" w:hAnsi="方正书宋_GBK" w:cs="方正书宋_GBK" w:eastAsia="方正书宋_GBK"/>
          <w:color w:val="000000"/>
          <w:kern w:val="2"/>
          <w:sz w:val="22"/>
          <w:szCs w:val="22"/>
          <w:u w:val="none"/>
          <w:lang w:val="en-US" w:eastAsia="zh-CN" w:bidi="ar-SA"/>
        </w:rPr>
        <w:t>双方约定的其他义务。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第六条  甲方的违约责任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甲方未能履行向乙方提供合同约定的车辆、服务等义务时，应承担下列违约责任：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提供的租赁车辆安全技术检验不合格的，乙方有权解除合同，甲方还应向乙方支付租金总额</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的违约金。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逾期交付车辆的，每逾期一日向乙方支付车辆租金总额</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的违约金。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未按约定提供故障维修、救援、车辆替换等服务的，乙方有权解除合同。甲方应退还租赁车辆停驶期间的租金，并支付停驶期间租金总额</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的违约金。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甲方原因导致车辆技术故障的，应承担由此给乙方造成的直接损失。</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车辆危及乙方人身安全的，甲方应承担相应责任。</w:t>
      </w:r>
    </w:p>
    <w:p>
      <w:pPr>
        <w:pStyle w:val="Default"/>
        <w:rPr>
          <w:lang w:val="en-US" w:eastAsia="zh-CN"/>
        </w:rPr>
      </w:pP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双方约定的其他违约责任。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第七条 乙方的违约责任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乙方不能按合同约定交纳费用、使用租赁车辆、保管租赁车辆、归还租赁车辆时，应承担下列责任：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逾期交纳租金的，每逾期一日按应交租金总额的</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交纳违约金。逾期归还租赁车辆的，除继续计收租金外，应交纳逾期应交租金总额</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的违约金。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提前解除合同归还租赁车辆的，应按未履行部分租期租金总额的</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向甲方支付违约金。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乙方有下列行为的，甲方有权解除合同并收回租赁车辆。</w:t>
      </w:r>
    </w:p>
    <w:p>
      <w:pPr>
        <w:pStyle w:val="Default"/>
        <w:keepNext w:val="false"/>
        <w:keepLines w:val="false"/>
        <w:pageBreakBefore w:val="false"/>
        <w:widowControl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）提供虚假信息；</w:t>
      </w:r>
    </w:p>
    <w:p>
      <w:pPr>
        <w:pStyle w:val="Default"/>
        <w:keepNext w:val="false"/>
        <w:keepLines w:val="false"/>
        <w:pageBreakBefore w:val="false"/>
        <w:widowControl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）拖欠租金或其他费用；</w:t>
      </w:r>
    </w:p>
    <w:p>
      <w:pPr>
        <w:pStyle w:val="Default"/>
        <w:keepNext w:val="false"/>
        <w:keepLines w:val="false"/>
        <w:pageBreakBefore w:val="false"/>
        <w:widowControl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）转卖、抵押、质押、典当、转租、破坏租赁车辆或确有证据证明存在上述危险的；</w:t>
      </w:r>
    </w:p>
    <w:p>
      <w:pPr>
        <w:pStyle w:val="Default"/>
        <w:keepNext w:val="false"/>
        <w:keepLines w:val="false"/>
        <w:pageBreakBefore w:val="false"/>
        <w:widowControl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）乙方利用租赁车辆从事违法违规活动的。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承担因不按车辆性能或操作规程使用而造成的租赁车辆修理、停运损失。</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擅自改装、更换、增设他物等改变租赁车辆原状造成的损失。</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未协助甲方按时参加安全技术检测和维护而造成的损失。</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乙方原因导致车辆被第三方扣押的责任。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w:t>
      </w:r>
      <w:r>
        <w:rPr>
          <w:rFonts w:ascii="方正书宋_GBK" w:hAnsi="方正书宋_GBK" w:cs="方正书宋_GBK" w:eastAsia="方正书宋_GBK"/>
          <w:color w:val="000000"/>
          <w:kern w:val="2"/>
          <w:sz w:val="22"/>
          <w:szCs w:val="22"/>
          <w:u w:val="none"/>
          <w:lang w:val="en-US" w:eastAsia="zh-CN" w:bidi="ar-SA"/>
        </w:rPr>
        <w:t>双方约定的其他违约责任。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第八条  担保条款</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乙方可采用保证金或担保人等方式提供担保。采用保证金方式提供担保的，应在合同签订之日一次性向甲方交纳保证金人民币</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元，合同履行完毕后，保证金应退还乙方；采用担保人方式提供担保的，担保人应约定就乙方履行本合同的义务负担保责任。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第九条 特别约定</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甲、乙双方可对本合同内容以书面形式予以增减、细化作为补充条款，但不得违反有关法律法规及政策规定，不得违反自愿、公平、诚实、信用原则。</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第十条 其他</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政府政策重大变化、不可抗力以及其他无法归究于甲、乙双方的原因造成的损失，依照有关法律法规和自愿原则双方协商解决。</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本合同项下发生的争议，双方应协商或向租赁行业组织或消费者协会等部门申请调解解决，协商或调解解决未果的，按下列第</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种方式解决：</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（一）向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仲裁机构申请仲裁；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（二）向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人民法院提起诉讼。</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本合同自双方签订之日起生效。本合同一式两份，经甲乙双方签字或者盖章后生效，甲乙双方各持一份，具有同等法律效力。</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甲方（签章）：</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乙方（签章）： </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甲方经办人：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乙方代理人：</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联系电话：</w:t>
      </w:r>
      <w:r>
        <w:rPr>
          <w:rFonts w:ascii="方正书宋_GBK" w:hAnsi="方正书宋_GBK" w:cs="方正书宋_GBK" w:eastAsia="方正书宋_GBK"/>
          <w:color w:val="000000"/>
          <w:kern w:val="2"/>
          <w:sz w:val="22"/>
          <w:szCs w:val="22"/>
          <w:u w:val="single"/>
          <w:lang w:val="en-US" w:eastAsia="zh-CN" w:bidi="ar-SA"/>
        </w:rPr>
        <w:t xml:space="preserve">                    </w:t>
      </w:r>
    </w:p>
    <w:p>
      <w:pPr>
        <w:pStyle w:val="Default"/>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联系地址：</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联系地址：</w:t>
      </w:r>
      <w:r>
        <w:rPr>
          <w:rFonts w:ascii="方正书宋_GBK" w:hAnsi="方正书宋_GBK" w:cs="方正书宋_GBK" w:eastAsia="方正书宋_GBK"/>
          <w:color w:val="000000"/>
          <w:kern w:val="2"/>
          <w:sz w:val="22"/>
          <w:szCs w:val="22"/>
          <w:u w:val="single"/>
          <w:lang w:val="en-US" w:eastAsia="zh-CN" w:bidi="ar-SA"/>
        </w:rPr>
        <w:t xml:space="preserve">                    </w:t>
      </w:r>
    </w:p>
    <w:p>
      <w:pPr>
        <w:pStyle w:val="Default"/>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Default"/>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担保人（盖章）：</w:t>
      </w:r>
      <w:r>
        <w:rPr>
          <w:rFonts w:ascii="方正书宋_GBK" w:hAnsi="方正书宋_GBK" w:cs="方正书宋_GBK" w:eastAsia="方正书宋_GBK"/>
          <w:color w:val="000000"/>
          <w:kern w:val="2"/>
          <w:sz w:val="22"/>
          <w:szCs w:val="22"/>
          <w:u w:val="single"/>
          <w:lang w:val="en-US" w:eastAsia="zh-CN" w:bidi="ar-SA"/>
        </w:rPr>
        <w:t xml:space="preserve">                   </w:t>
      </w:r>
    </w:p>
    <w:p>
      <w:pPr>
        <w:pStyle w:val="Default"/>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统一社会信用代码或身份证号码：</w:t>
      </w:r>
      <w:r>
        <w:rPr>
          <w:rFonts w:ascii="方正书宋_GBK" w:hAnsi="方正书宋_GBK" w:cs="方正书宋_GBK" w:eastAsia="方正书宋_GBK"/>
          <w:color w:val="000000"/>
          <w:kern w:val="2"/>
          <w:sz w:val="22"/>
          <w:szCs w:val="22"/>
          <w:u w:val="single"/>
          <w:lang w:val="en-US" w:eastAsia="zh-CN" w:bidi="ar-SA"/>
        </w:rPr>
        <w:t xml:space="preserve">                                  </w:t>
      </w:r>
    </w:p>
    <w:p>
      <w:pPr>
        <w:pStyle w:val="Default"/>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w:t>
      </w:r>
      <w:r>
        <w:rPr>
          <w:rFonts w:ascii="方正书宋_GBK" w:hAnsi="方正书宋_GBK" w:cs="方正书宋_GBK" w:eastAsia="方正书宋_GBK"/>
          <w:color w:val="000000"/>
          <w:kern w:val="2"/>
          <w:sz w:val="22"/>
          <w:szCs w:val="22"/>
          <w:u w:val="single"/>
          <w:lang w:val="en-US" w:eastAsia="zh-CN" w:bidi="ar-SA"/>
        </w:rPr>
        <w:t xml:space="preserve">                            </w:t>
      </w:r>
    </w:p>
    <w:p>
      <w:pPr>
        <w:pStyle w:val="Default"/>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联系地址：</w:t>
      </w:r>
      <w:r>
        <w:rPr>
          <w:rFonts w:ascii="方正书宋_GBK" w:hAnsi="方正书宋_GBK" w:cs="方正书宋_GBK" w:eastAsia="方正书宋_GBK"/>
          <w:color w:val="000000"/>
          <w:kern w:val="2"/>
          <w:sz w:val="22"/>
          <w:szCs w:val="22"/>
          <w:u w:val="single"/>
          <w:lang w:val="en-US" w:eastAsia="zh-CN" w:bidi="ar-SA"/>
        </w:rPr>
        <w:t xml:space="preserve">                            </w:t>
      </w:r>
    </w:p>
    <w:p>
      <w:pPr>
        <w:pStyle w:val="Default"/>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签订地点：</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签订时间：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日  </w:t>
      </w:r>
    </w:p>
    <w:p>
      <w:pPr>
        <w:pStyle w:val="Normal"/>
        <w:rPr>
          <w:rFonts w:ascii="仿宋_GB2312" w:hAnsi="仿宋_GB2312" w:eastAsia="仿宋_GB2312" w:cs="方正书宋_GBK"/>
          <w:color w:val="000000"/>
          <w:kern w:val="2"/>
          <w:sz w:val="24"/>
          <w:szCs w:val="22"/>
          <w:u w:val="none"/>
          <w:lang w:val="en-US" w:eastAsia="zh-CN" w:bidi="ar-SA"/>
        </w:rPr>
      </w:pPr>
      <w:r>
        <w:rPr>
          <w:rFonts w:eastAsia="仿宋_GB2312" w:cs="方正书宋_GBK" w:ascii="仿宋_GB2312" w:hAnsi="仿宋_GB2312"/>
          <w:color w:val="000000"/>
          <w:kern w:val="2"/>
          <w:sz w:val="24"/>
          <w:szCs w:val="22"/>
          <w:u w:val="none"/>
          <w:lang w:val="en-US" w:eastAsia="zh-CN" w:bidi="ar-SA"/>
        </w:rPr>
      </w:r>
    </w:p>
    <w:sectPr>
      <w:footerReference w:type="even" r:id="rId4"/>
      <w:footerReference w:type="default" r:id="rId5"/>
      <w:footerReference w:type="first" r:id="rId6"/>
      <w:type w:val="nextPage"/>
      <w:pgSz w:w="11906" w:h="16838"/>
      <w:pgMar w:left="1701" w:right="1701" w:gutter="0" w:header="0" w:top="1418" w:footer="720" w:bottom="1418"/>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Nimbus Roman No9 L"/>
    <w:charset w:val="00" w:characterSet="windows-1252"/>
    <w:family w:val="roman"/>
    <w:pitch w:val="default"/>
  </w:font>
  <w:font w:name="Liberation Sans">
    <w:altName w:val="Arial"/>
    <w:charset w:val="01" w:characterSet="utf-8"/>
    <w:family w:val="swiss"/>
    <w:pitch w:val="variable"/>
  </w:font>
  <w:font w:name="宋体">
    <w:altName w:val="方正书宋_GBK"/>
    <w:charset w:val="00" w:characterSet="windows-1252"/>
    <w:family w:val="auto"/>
    <w:pitch w:val="default"/>
  </w:font>
  <w:font w:name="Arial Unicode MS">
    <w:altName w:val="Nimbus Roman No9 L"/>
    <w:charset w:val="00" w:characterSet="windows-1252"/>
    <w:family w:val="swiss"/>
    <w:pitch w:val="default"/>
  </w:font>
  <w:font w:name="Arial">
    <w:altName w:val="Nimbus Roman No9 L"/>
    <w:charset w:val="00" w:characterSet="windows-1252"/>
    <w:family w:val="swiss"/>
    <w:pitch w:val="default"/>
  </w:font>
  <w:font w:name="仿宋_GB2312">
    <w:charset w:val="86"/>
    <w:family w:val="modern"/>
    <w:pitch w:val="default"/>
  </w:font>
  <w:font w:name="仿宋">
    <w:charset w:val="86"/>
    <w:family w:val="modern"/>
    <w:pitch w:val="default"/>
  </w:font>
  <w:font w:name="方正小标宋_GBK">
    <w:charset w:val="86"/>
    <w:family w:val="auto"/>
    <w:pitch w:val="default"/>
  </w:font>
  <w:font w:name="方正楷体_GBK">
    <w:charset w:val="86"/>
    <w:family w:val="auto"/>
    <w:pitch w:val="default"/>
  </w:font>
  <w:font w:name="楷体_GB2312">
    <w:altName w:val="楷体"/>
    <w:charset w:val="00" w:characterSet="windows-1252"/>
    <w:family w:val="auto"/>
    <w:pitch w:val="default"/>
  </w:font>
  <w:font w:name="黑体">
    <w:charset w:val="86"/>
    <w:family w:val="auto"/>
    <w:pitch w:val="default"/>
  </w:font>
  <w:font w:name="方正黑体_GBK">
    <w:charset w:val="86"/>
    <w:family w:val="auto"/>
    <w:pitch w:val="default"/>
  </w:font>
  <w:font w:name="方正书宋_GBK">
    <w:charset w:val="86"/>
    <w:family w:val="auto"/>
    <w:pitch w:val="default"/>
  </w:font>
  <w:font w:name="宋体">
    <w:altName w:val="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sz w:val="28"/>
        <w:szCs w:val="28"/>
      </w:rPr>
    </w:pPr>
    <w:r>
      <w:rPr>
        <w:sz w:val="28"/>
        <w:szCs w:val="2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rFonts w:ascii="宋体;方正书宋_GBK" w:hAnsi="宋体;方正书宋_GBK" w:cs="宋体;方正书宋_GBK"/>
        <w:sz w:val="28"/>
        <w:szCs w:val="28"/>
      </w:rPr>
    </w:pPr>
    <w:r>
      <w:rPr>
        <w:rFonts w:ascii="宋体;方正书宋_GBK" w:hAnsi="宋体;方正书宋_GBK" w:cs="宋体;方正书宋_GBK"/>
        <w:sz w:val="28"/>
        <w:szCs w:val="28"/>
      </w:rPr>
      <w:fldChar w:fldCharType="begin"/>
    </w:r>
    <w:r>
      <w:rPr>
        <w:sz w:val="28"/>
        <w:szCs w:val="28"/>
        <w:rFonts w:ascii="宋体;方正书宋_GBK" w:hAnsi="宋体;方正书宋_GBK" w:cs="宋体;方正书宋_GBK"/>
      </w:rPr>
      <w:instrText xml:space="preserve"> PAGE </w:instrText>
    </w:r>
    <w:r>
      <w:rPr>
        <w:sz w:val="28"/>
        <w:szCs w:val="28"/>
        <w:rFonts w:ascii="宋体;方正书宋_GBK" w:hAnsi="宋体;方正书宋_GBK" w:cs="宋体;方正书宋_GBK"/>
      </w:rPr>
      <w:fldChar w:fldCharType="separate"/>
    </w:r>
    <w:r>
      <w:rPr>
        <w:sz w:val="28"/>
        <w:szCs w:val="28"/>
        <w:rFonts w:ascii="宋体;方正书宋_GBK" w:hAnsi="宋体;方正书宋_GBK" w:cs="宋体;方正书宋_GBK"/>
      </w:rPr>
      <w:t>4</w:t>
    </w:r>
    <w:r>
      <w:rPr>
        <w:sz w:val="28"/>
        <w:szCs w:val="28"/>
        <w:rFonts w:ascii="宋体;方正书宋_GBK" w:hAnsi="宋体;方正书宋_GBK" w:cs="宋体;方正书宋_GBK"/>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rFonts w:ascii="宋体;方正书宋_GBK" w:hAnsi="宋体;方正书宋_GBK" w:cs="宋体;方正书宋_GBK"/>
        <w:sz w:val="28"/>
        <w:szCs w:val="28"/>
      </w:rPr>
    </w:pPr>
    <w:r>
      <w:rPr>
        <w:rFonts w:ascii="宋体;方正书宋_GBK" w:hAnsi="宋体;方正书宋_GBK" w:cs="宋体;方正书宋_GBK"/>
        <w:sz w:val="28"/>
        <w:szCs w:val="28"/>
      </w:rPr>
      <w:fldChar w:fldCharType="begin"/>
    </w:r>
    <w:r>
      <w:rPr>
        <w:sz w:val="28"/>
        <w:szCs w:val="28"/>
        <w:rFonts w:ascii="宋体;方正书宋_GBK" w:hAnsi="宋体;方正书宋_GBK" w:cs="宋体;方正书宋_GBK"/>
      </w:rPr>
      <w:instrText xml:space="preserve"> PAGE </w:instrText>
    </w:r>
    <w:r>
      <w:rPr>
        <w:sz w:val="28"/>
        <w:szCs w:val="28"/>
        <w:rFonts w:ascii="宋体;方正书宋_GBK" w:hAnsi="宋体;方正书宋_GBK" w:cs="宋体;方正书宋_GBK"/>
      </w:rPr>
      <w:fldChar w:fldCharType="separate"/>
    </w:r>
    <w:r>
      <w:rPr>
        <w:sz w:val="28"/>
        <w:szCs w:val="28"/>
        <w:rFonts w:ascii="宋体;方正书宋_GBK" w:hAnsi="宋体;方正书宋_GBK" w:cs="宋体;方正书宋_GBK"/>
      </w:rPr>
      <w:t>3</w:t>
    </w:r>
    <w:r>
      <w:rPr>
        <w:sz w:val="28"/>
        <w:szCs w:val="28"/>
        <w:rFonts w:ascii="宋体;方正书宋_GBK" w:hAnsi="宋体;方正书宋_GBK" w:cs="宋体;方正书宋_GBK"/>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0"/>
        </w:tabs>
        <w:ind w:start="0" w:hanging="0"/>
      </w:pPr>
    </w:lvl>
  </w:abstractNum>
  <w:abstractNum w:abstractNumId="2">
    <w:lvl w:ilvl="0">
      <w:start w:val="1"/>
      <w:numFmt w:val="chineseCountingThousand"/>
      <w:suff w:val="space"/>
      <w:lvlText w:val="第%1条"/>
      <w:lvlJc w:val="start"/>
      <w:pPr>
        <w:tabs>
          <w:tab w:val="num" w:pos="0"/>
        </w:tabs>
        <w:ind w:start="44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420"/>
  <w:autoHyphenation w:val="true"/>
  <w:hyphenationZone w:val="0"/>
  <w:evenAndOddHeaders/>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Nimbus Roman No9 L" w:hAnsi="Times New Roman;Nimbus Roman No9 L" w:eastAsia="宋体;方正书宋_GBK" w:cs="Times New Roman;Nimbus Roman No9 L"/>
      <w:color w:val="auto"/>
      <w:kern w:val="2"/>
      <w:sz w:val="21"/>
      <w:szCs w:val="24"/>
      <w:lang w:val="en-US" w:eastAsia="zh-CN" w:bidi="ar-SA"/>
    </w:rPr>
  </w:style>
  <w:style w:type="character" w:styleId="WW8Num2z0">
    <w:name w:val="WW8Num2z0"/>
    <w:qFormat/>
    <w:rPr/>
  </w:style>
  <w:style w:type="character" w:styleId="WW8Num3z0">
    <w:name w:val="WW8Num3z0"/>
    <w:qFormat/>
    <w:rPr/>
  </w:style>
  <w:style w:type="character" w:styleId="Style14">
    <w:name w:val="默认段落字体"/>
    <w:qFormat/>
    <w:rPr/>
  </w:style>
  <w:style w:type="character" w:styleId="Char">
    <w:name w:val="批注文字 Char"/>
    <w:qFormat/>
    <w:rPr>
      <w:kern w:val="2"/>
      <w:sz w:val="21"/>
      <w:szCs w:val="24"/>
    </w:rPr>
  </w:style>
  <w:style w:type="character" w:styleId="Char1">
    <w:name w:val="批注框文本 Char"/>
    <w:qFormat/>
    <w:rPr>
      <w:kern w:val="2"/>
      <w:sz w:val="18"/>
      <w:szCs w:val="18"/>
    </w:rPr>
  </w:style>
  <w:style w:type="character" w:styleId="Char2">
    <w:name w:val="页脚 Char"/>
    <w:qFormat/>
    <w:rPr>
      <w:kern w:val="2"/>
      <w:sz w:val="18"/>
      <w:szCs w:val="18"/>
    </w:rPr>
  </w:style>
  <w:style w:type="character" w:styleId="Char3">
    <w:name w:val="页眉 Char"/>
    <w:qFormat/>
    <w:rPr>
      <w:kern w:val="2"/>
      <w:sz w:val="18"/>
      <w:szCs w:val="18"/>
    </w:rPr>
  </w:style>
  <w:style w:type="character" w:styleId="Char4">
    <w:name w:val="批注主题 Char"/>
    <w:qFormat/>
    <w:rPr>
      <w:b/>
      <w:bCs/>
      <w:kern w:val="2"/>
      <w:sz w:val="21"/>
      <w:szCs w:val="24"/>
    </w:rPr>
  </w:style>
  <w:style w:type="character" w:styleId="Strong">
    <w:name w:val="Strong"/>
    <w:qFormat/>
    <w:rPr>
      <w:b/>
      <w:bCs/>
    </w:rPr>
  </w:style>
  <w:style w:type="character" w:styleId="PageNumber">
    <w:name w:val="page number"/>
    <w:basedOn w:val="Style14"/>
    <w:rPr/>
  </w:style>
  <w:style w:type="character" w:styleId="Style15">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批注文字"/>
    <w:basedOn w:val="Normal"/>
    <w:qFormat/>
    <w:pPr>
      <w:jc w:val="start"/>
    </w:pPr>
    <w:rPr/>
  </w:style>
  <w:style w:type="paragraph" w:styleId="Style17">
    <w:name w:val="纯文本"/>
    <w:basedOn w:val="Normal"/>
    <w:qFormat/>
    <w:pPr/>
    <w:rPr>
      <w:rFonts w:ascii="宋体;方正书宋_GBK" w:hAnsi="宋体;方正书宋_GBK" w:eastAsia="宋体;方正书宋_GBK" w:cs="Courier New;DejaVu Sans"/>
      <w:sz w:val="21"/>
      <w:szCs w:val="21"/>
    </w:rPr>
  </w:style>
  <w:style w:type="paragraph" w:styleId="Style18">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9">
    <w:name w:val="普通(网站)"/>
    <w:basedOn w:val="Normal"/>
    <w:qFormat/>
    <w:pPr>
      <w:widowControl/>
      <w:spacing w:lineRule="auto" w:line="360" w:before="100" w:after="100"/>
      <w:jc w:val="start"/>
    </w:pPr>
    <w:rPr>
      <w:rFonts w:ascii="Arial Unicode MS;Nimbus Roman No9 L" w:hAnsi="Arial Unicode MS;Nimbus Roman No9 L" w:eastAsia="Arial Unicode MS;Nimbus Roman No9 L" w:cs="Arial Unicode MS;Nimbus Roman No9 L"/>
      <w:color w:val="000000"/>
      <w:kern w:val="0"/>
      <w:sz w:val="18"/>
    </w:rPr>
  </w:style>
  <w:style w:type="paragraph" w:styleId="Style20">
    <w:name w:val="批注主题"/>
    <w:basedOn w:val="Style16"/>
    <w:next w:val="Style16"/>
    <w:qFormat/>
    <w:pPr/>
    <w:rPr>
      <w:b/>
      <w:bCs/>
    </w:rPr>
  </w:style>
  <w:style w:type="paragraph" w:styleId="Default">
    <w:name w:val="Default"/>
    <w:qFormat/>
    <w:pPr>
      <w:widowControl w:val="false"/>
      <w:autoSpaceDE w:val="false"/>
      <w:bidi w:val="0"/>
    </w:pPr>
    <w:rPr>
      <w:rFonts w:ascii="Arial;Nimbus Roman No9 L" w:hAnsi="Arial;Nimbus Roman No9 L" w:eastAsia="宋体;方正书宋_GBK" w:cs="Arial;Nimbus Roman No9 L"/>
      <w:color w:val="000000"/>
      <w:sz w:val="24"/>
      <w:szCs w:val="24"/>
      <w:lang w:val="en-US" w:eastAsia="zh-CN" w:bidi="hi-IN"/>
    </w:rPr>
  </w:style>
  <w:style w:type="paragraph" w:styleId="CM19">
    <w:name w:val="CM19"/>
    <w:basedOn w:val="Default"/>
    <w:next w:val="Default"/>
    <w:qFormat/>
    <w:pPr/>
    <w:rPr>
      <w:sz w:val="24"/>
      <w:szCs w:val="24"/>
    </w:rPr>
  </w:style>
  <w:style w:type="paragraph" w:styleId="CM20">
    <w:name w:val="CM20"/>
    <w:basedOn w:val="Default"/>
    <w:next w:val="Default"/>
    <w:qFormat/>
    <w:pPr/>
    <w:rPr>
      <w:sz w:val="24"/>
      <w:szCs w:val="24"/>
    </w:rPr>
  </w:style>
  <w:style w:type="paragraph" w:styleId="CM1">
    <w:name w:val="CM1"/>
    <w:basedOn w:val="Default"/>
    <w:next w:val="Default"/>
    <w:qFormat/>
    <w:pPr/>
    <w:rPr>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36480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2016-04-17T08:26:00Z</dcterms:created>
  <dc:creator>黄月梅</dc:creator>
  <dc:description/>
  <dc:language>zh-CN</dc:language>
  <cp:lastModifiedBy>jih</cp:lastModifiedBy>
  <cp:lastPrinted>2015-02-10T18:34:00Z</cp:lastPrinted>
  <dcterms:modified xsi:type="dcterms:W3CDTF">2022-01-21T23:35:36Z</dcterms:modified>
  <cp:revision>2</cp:revision>
  <dc:subject/>
  <dc:title>合同编号：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