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spacing w:lineRule="exact" w:line="4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SF</w:t>
      </w:r>
      <w:r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>2014</w:t>
      </w:r>
      <w:r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>0113</w:t>
      </w:r>
    </w:p>
    <w:p>
      <w:pPr>
        <w:pStyle w:val="New"/>
        <w:spacing w:lineRule="exact" w:line="4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ew"/>
        <w:jc w:val="center"/>
        <w:rPr>
          <w:rFonts w:ascii="方正小标宋_GBK" w:hAnsi="方正小标宋_GBK" w:eastAsia="方正小标宋_GBK" w:cs="方正小标宋_GBK"/>
          <w:b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 w:val="false"/>
          <w:sz w:val="40"/>
          <w:szCs w:val="40"/>
        </w:rPr>
        <w:t>广州市仙草（凉粉草）种植收购合同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bCs w:val="false"/>
          <w:sz w:val="22"/>
          <w:szCs w:val="22"/>
          <w:lang w:val="zh-CN" w:eastAsia="zh-CN"/>
        </w:rPr>
      </w:pPr>
      <w:r>
        <w:rPr>
          <w:rFonts w:eastAsia="宋体" w:cs="宋体" w:ascii="宋体" w:hAnsi="宋体"/>
          <w:b/>
          <w:bCs w:val="false"/>
          <w:sz w:val="22"/>
          <w:szCs w:val="22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3906520</wp:posOffset>
                </wp:positionH>
                <wp:positionV relativeFrom="paragraph">
                  <wp:posOffset>262890</wp:posOffset>
                </wp:positionV>
                <wp:extent cx="1790065" cy="9213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921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0.95pt;height:72.55pt;mso-wrap-distance-left:9.05pt;mso-wrap-distance-right:9.05pt;mso-wrap-distance-top:0pt;mso-wrap-distance-bottom:0pt;margin-top:20.7pt;mso-position-vertical-relative:text;margin-left:30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甲方（收购方）：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乙方（种植方）：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双方在平等互利、协商致的基础上，经充分协商，就仙草（凉粉草）种植收购事宜订立本合同。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一、种植仙草（凉粉草）的面积、种苗数量和预付款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（一）乙方种植仙草（凉粉草）水田</w:t>
      </w:r>
      <w:r>
        <w:rPr>
          <w:rFonts w:ascii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sz w:val="22"/>
          <w:szCs w:val="22"/>
        </w:rPr>
        <w:t>亩、旱地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亩，共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亩。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（二）甲方于合同签订之日起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天内向乙方提供种苗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株，并应乙方要求派出技术人员对乙方种植进行指导。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（三）甲方向乙方预付生产费用款每亩</w:t>
      </w:r>
      <w:r>
        <w:rPr>
          <w:rFonts w:ascii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sz w:val="22"/>
          <w:szCs w:val="22"/>
        </w:rPr>
        <w:t>元（一亩起），共</w:t>
      </w:r>
      <w:r>
        <w:rPr>
          <w:rFonts w:ascii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sz w:val="22"/>
          <w:szCs w:val="22"/>
        </w:rPr>
        <w:t>元；种植面积达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亩以上的甲方可提供农膜。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二、收购价格及结算方式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（一）收购标准及价格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一级标准为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>，收购保护价：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eastAsia="宋体" w:cs="宋体" w:ascii="宋体" w:hAnsi="宋体"/>
          <w:sz w:val="22"/>
          <w:szCs w:val="22"/>
        </w:rPr>
        <w:t>/</w:t>
      </w:r>
      <w:r>
        <w:rPr>
          <w:rFonts w:ascii="宋体" w:hAnsi="宋体" w:cs="宋体"/>
          <w:sz w:val="22"/>
          <w:szCs w:val="22"/>
        </w:rPr>
        <w:t>公斤。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二级标准为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>，收购保护价：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eastAsia="宋体" w:cs="宋体" w:ascii="宋体" w:hAnsi="宋体"/>
          <w:sz w:val="22"/>
          <w:szCs w:val="22"/>
        </w:rPr>
        <w:t>/</w:t>
      </w:r>
      <w:r>
        <w:rPr>
          <w:rFonts w:ascii="宋体" w:hAnsi="宋体" w:cs="宋体"/>
          <w:sz w:val="22"/>
          <w:szCs w:val="22"/>
        </w:rPr>
        <w:t>公斤。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三级标准为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>，收购保护价：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eastAsia="宋体" w:cs="宋体" w:ascii="宋体" w:hAnsi="宋体"/>
          <w:sz w:val="22"/>
          <w:szCs w:val="22"/>
        </w:rPr>
        <w:t>/</w:t>
      </w:r>
      <w:r>
        <w:rPr>
          <w:rFonts w:ascii="宋体" w:hAnsi="宋体" w:cs="宋体"/>
          <w:sz w:val="22"/>
          <w:szCs w:val="22"/>
        </w:rPr>
        <w:t>公斤。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具体收购价按照收购时市场收购价另行确定，但不得低于保护价。一、二、三级以外部分由双方另议收购方式和价格。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结算时甲方扣除预付款和农膜费用后向乙方支付余款，如不需农膜、预付款的则按实计。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（二）结算方式：双方同意采取以下第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种结算方式：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、现金结算的，甲方应在收购后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天内付给乙方；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、采用银行转账方式结算的，所有收购款应在交付后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天内转账完毕。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三、质量和检验标准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（一）质量标准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、仙草（凉粉草）晒干（枝茎干脆易折断）；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、农药残留不超标；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、不含沙石、草根、杂草等杂质；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、其他要求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（二）检验标准、方法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（三）检验地点及期限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四、交货时间、地点和方式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合同期限自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日至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日止。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乙方种植的仙草（凉粉草）全部由甲方收购，甲方于</w:t>
      </w:r>
      <w:r>
        <w:rPr>
          <w:rFonts w:ascii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sz w:val="22"/>
          <w:szCs w:val="22"/>
        </w:rPr>
        <w:t>时驻点进行收购。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（一）乙方不按约定全部供货给甲方，则按每亩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元向甲方支付违约金。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（二）甲方不按约定全部收购，则按每亩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元向乙方支付违约金，并承担相对应的预付款和农膜费用。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（三）甲方逾期付款的，每日按应付款的万分之五向乙方支付逾期付款的违约金。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六、争议解决方式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种方式解决。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、提交广州仲裁委员会仲裁。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 xml:space="preserve">七、其他约定事项 </w:t>
      </w:r>
      <w:r>
        <w:rPr>
          <w:rFonts w:ascii="宋体" w:hAnsi="宋体" w:cs="宋体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</w:t>
      </w:r>
      <w:r>
        <w:rPr>
          <w:rFonts w:ascii="宋体" w:hAnsi="宋体" w:cs="宋体"/>
          <w:sz w:val="22"/>
          <w:szCs w:val="22"/>
        </w:rPr>
        <w:t>本合同一式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份，甲方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份，乙方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份。未尽事宜，双方另行约定。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甲方：（签章）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</w:t>
      </w:r>
      <w:r>
        <w:rPr>
          <w:rFonts w:ascii="宋体" w:hAnsi="宋体" w:cs="宋体"/>
          <w:sz w:val="22"/>
          <w:szCs w:val="22"/>
        </w:rPr>
        <w:t>乙方：（签章）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法定代表人：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>法定代表人：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委托代理人：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 xml:space="preserve"> 委托代理人：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住所：      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>住所：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身份证号码：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>身份证号码：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电话：     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 xml:space="preserve">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/>
      </w:pPr>
      <w:r>
        <w:rPr>
          <w:rFonts w:ascii="宋体" w:hAnsi="宋体" w:cs="宋体"/>
          <w:sz w:val="22"/>
          <w:szCs w:val="22"/>
        </w:rPr>
        <w:t xml:space="preserve">银行账号：  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sz w:val="22"/>
          <w:szCs w:val="22"/>
        </w:rPr>
        <w:t>银行账号：</w:t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LibreOffice/25.2.2.2$MacOSX_AARCH64 LibreOffice_project/7370d4be9e3cf6031a51beef54ff3bda878e3fac</Application>
  <AppVersion>15.0000</AppVersion>
  <Pages>2</Pages>
  <Words>932</Words>
  <Characters>941</Characters>
  <CharactersWithSpaces>1765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2022-01-27T17:16:03Z</dcterms:modified>
  <cp:revision>2</cp:revision>
  <dc:subject/>
  <dc:title>SF—2014—0113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