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 xml:space="preserve">JF-2008-040 </w:t>
      </w:r>
      <w:r>
        <w:rPr>
          <w:szCs w:val="21"/>
        </w:rPr>
        <w:t xml:space="preserve">                              </w:t>
      </w:r>
      <w:r>
        <w:rPr>
          <w:szCs w:val="21"/>
        </w:rPr>
        <w:t>合同编号：</w:t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天津市钢材买卖合同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Times New Roman"/>
          <w:szCs w:val="21"/>
        </w:rPr>
        <w:t xml:space="preserve">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签订时间：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签订地点：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根据《中华人民共和国合同法》及其他有关法律、行政法规的规定，买卖双方在平等、自愿、公平、诚实信用的基础上，就钢材买卖事宜达成协议如下：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所购钢材基本情况                     单位：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09"/>
        <w:gridCol w:w="551"/>
        <w:gridCol w:w="495"/>
        <w:gridCol w:w="881"/>
        <w:gridCol w:w="636"/>
        <w:gridCol w:w="636"/>
        <w:gridCol w:w="636"/>
        <w:gridCol w:w="470"/>
        <w:gridCol w:w="652"/>
        <w:gridCol w:w="653"/>
      </w:tblGrid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批次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合计人民币（大写）   万   仟  佰  拾  元  角   分（小写）：￥        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第二条  质量标准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第三条  交货：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295"/>
        <w:gridCol w:w="1154"/>
        <w:gridCol w:w="541"/>
        <w:gridCol w:w="635"/>
        <w:gridCol w:w="847"/>
        <w:gridCol w:w="635"/>
        <w:gridCol w:w="635"/>
        <w:gridCol w:w="635"/>
        <w:gridCol w:w="634"/>
        <w:gridCol w:w="508"/>
      </w:tblGrid>
      <w:tr>
        <w:trPr>
          <w:trHeight w:val="312" w:hRule="atLeast"/>
        </w:trPr>
        <w:tc>
          <w:tcPr>
            <w:tcW w:w="144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收货单位</w:t>
            </w:r>
          </w:p>
        </w:tc>
        <w:tc>
          <w:tcPr>
            <w:tcW w:w="20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到       站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时间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地点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方式</w:t>
            </w:r>
          </w:p>
        </w:tc>
      </w:tr>
      <w:tr>
        <w:trPr>
          <w:trHeight w:val="312" w:hRule="atLeast"/>
        </w:trPr>
        <w:tc>
          <w:tcPr>
            <w:tcW w:w="144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路局</w:t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车站</w:t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专用线</w:t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送货</w:t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自提</w:t>
            </w:r>
          </w:p>
        </w:tc>
      </w:tr>
      <w:tr>
        <w:trPr>
          <w:trHeight w:val="312" w:hRule="atLeast"/>
        </w:trPr>
        <w:tc>
          <w:tcPr>
            <w:tcW w:w="2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2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2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2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第四条  验收：</w:t>
      </w:r>
      <w:r>
        <w:rPr>
          <w:rFonts w:ascii="方正书宋_GBK" w:hAnsi="方正书宋_GBK" w:cs="方正书宋_GBK" w:eastAsia="方正书宋_GBK"/>
          <w:sz w:val="22"/>
          <w:szCs w:val="22"/>
        </w:rPr>
        <w:t>对于钢材产品的规格型号、数量、材质等与约定不符或有其他质量问题的，买方异议期为卖方交货后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日内，异议经核实，卖方应无条件补足或换货。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验收标准：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付款方式及时间：双方约定以第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1. </w:t>
      </w:r>
      <w:r>
        <w:rPr>
          <w:rFonts w:ascii="方正书宋_GBK" w:hAnsi="方正书宋_GBK" w:cs="方正书宋_GBK" w:eastAsia="方正书宋_GBK"/>
          <w:sz w:val="22"/>
          <w:szCs w:val="22"/>
        </w:rPr>
        <w:t>签定合同时，买方支付（□定金  □预付款）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元（定金不得超过总价款的</w:t>
      </w:r>
      <w:r>
        <w:rPr>
          <w:rFonts w:eastAsia="方正书宋_GBK" w:cs="方正书宋_GBK" w:ascii="方正书宋_GBK" w:hAnsi="方正书宋_GBK"/>
          <w:sz w:val="22"/>
          <w:szCs w:val="22"/>
        </w:rPr>
        <w:t>20%</w:t>
      </w:r>
      <w:r>
        <w:rPr>
          <w:rFonts w:ascii="方正书宋_GBK" w:hAnsi="方正书宋_GBK" w:cs="方正书宋_GBK" w:eastAsia="方正书宋_GBK"/>
          <w:sz w:val="22"/>
          <w:szCs w:val="22"/>
        </w:rPr>
        <w:t>），货到验收后一次性支付余款；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2.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</w:t>
      </w:r>
      <w:r>
        <w:rPr>
          <w:rFonts w:eastAsia="方正书宋_GBK" w:cs="方正书宋_GBK" w:ascii="方正书宋_GBK" w:hAnsi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第六条  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（一）卖方违约责任：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、钢材产品经专业机构检测不符合国家标准或合同约定质量标准的，卖方应无条件换、退货，或赔偿买方由此受到的损失。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、卖方迟延交货的，每日应向买方支付迟延部分价款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的违约金；迟延交货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、买方迟延提货的，每日应向卖方支付迟延部分价款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、买方无正当理由单方解除合同的，应赔偿由此给卖方造成的损失，已支付定金的无权要求返还。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第七条  争议解决方式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第八条  其他约定事项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第九条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对本合同的变更或补充不合理地减轻或免除卖方应承担的责任的，仍以本合同为准。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 xml:space="preserve">第十条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本合同未定事项，双方可协商签定补充协议。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买方（章）：                       卖方（章）：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                            住所：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邮编：                            邮编：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电话：                            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                      法定代表人：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                      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                        开户银行：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                        帐    号：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：                           </w:t>
      </w: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2022-02-18T17:03:10Z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